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Cs w:val="32"/>
        </w:rPr>
      </w:pPr>
      <w:r>
        <w:rPr>
          <w:rFonts w:hint="eastAsia" w:ascii="黑体" w:hAnsi="黑体" w:eastAsia="黑体" w:cs="黑体"/>
          <w:szCs w:val="32"/>
        </w:rPr>
        <w:t>附件</w:t>
      </w:r>
    </w:p>
    <w:p>
      <w:pPr>
        <w:spacing w:line="560" w:lineRule="exact"/>
        <w:rPr>
          <w:rFonts w:ascii="方正小标宋简体" w:eastAsia="方正小标宋简体"/>
          <w:sz w:val="40"/>
        </w:rPr>
      </w:pPr>
    </w:p>
    <w:p>
      <w:pPr>
        <w:spacing w:line="560" w:lineRule="exact"/>
        <w:jc w:val="center"/>
        <w:rPr>
          <w:rFonts w:ascii="方正小标宋简体" w:eastAsia="方正小标宋简体"/>
          <w:sz w:val="40"/>
        </w:rPr>
      </w:pPr>
      <w:r>
        <w:rPr>
          <w:rFonts w:hint="eastAsia" w:ascii="方正小标宋简体" w:eastAsia="方正小标宋简体"/>
          <w:sz w:val="40"/>
        </w:rPr>
        <w:t>《深圳市全链条支持创新药和创新医疗器械发展若干措施（征求意见稿）》</w:t>
      </w:r>
    </w:p>
    <w:p>
      <w:pPr>
        <w:spacing w:line="560" w:lineRule="exact"/>
        <w:jc w:val="center"/>
        <w:rPr>
          <w:rFonts w:ascii="方正小标宋简体" w:eastAsia="方正小标宋简体"/>
          <w:sz w:val="40"/>
        </w:rPr>
      </w:pPr>
      <w:r>
        <w:rPr>
          <w:rFonts w:hint="eastAsia" w:ascii="方正小标宋简体" w:eastAsia="方正小标宋简体"/>
          <w:sz w:val="40"/>
        </w:rPr>
        <w:t>公众意见采纳情况表</w:t>
      </w:r>
    </w:p>
    <w:tbl>
      <w:tblPr>
        <w:tblStyle w:val="6"/>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7994"/>
        <w:gridCol w:w="119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737" w:type="dxa"/>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7994" w:type="dxa"/>
            <w:vAlign w:val="center"/>
          </w:tcPr>
          <w:p>
            <w:pPr>
              <w:jc w:val="center"/>
              <w:rPr>
                <w:rFonts w:ascii="宋体" w:hAnsi="宋体" w:eastAsia="宋体"/>
                <w:b/>
                <w:sz w:val="24"/>
                <w:szCs w:val="24"/>
              </w:rPr>
            </w:pPr>
            <w:r>
              <w:rPr>
                <w:rFonts w:hint="eastAsia" w:ascii="宋体" w:hAnsi="宋体" w:eastAsia="宋体"/>
                <w:b/>
                <w:sz w:val="24"/>
                <w:szCs w:val="24"/>
              </w:rPr>
              <w:t>反馈意见及建议</w:t>
            </w:r>
          </w:p>
        </w:tc>
        <w:tc>
          <w:tcPr>
            <w:tcW w:w="1191" w:type="dxa"/>
          </w:tcPr>
          <w:p>
            <w:pPr>
              <w:jc w:val="center"/>
              <w:rPr>
                <w:rFonts w:hint="eastAsia" w:ascii="宋体" w:hAnsi="宋体" w:eastAsia="宋体"/>
                <w:b/>
                <w:sz w:val="24"/>
                <w:szCs w:val="24"/>
              </w:rPr>
            </w:pPr>
            <w:r>
              <w:rPr>
                <w:rFonts w:hint="eastAsia" w:ascii="宋体" w:hAnsi="宋体" w:eastAsia="宋体"/>
                <w:b/>
                <w:sz w:val="24"/>
                <w:szCs w:val="24"/>
              </w:rPr>
              <w:t>采纳情况</w:t>
            </w:r>
          </w:p>
        </w:tc>
        <w:tc>
          <w:tcPr>
            <w:tcW w:w="4253" w:type="dxa"/>
            <w:vAlign w:val="center"/>
          </w:tcPr>
          <w:p>
            <w:pPr>
              <w:jc w:val="center"/>
              <w:rPr>
                <w:rFonts w:ascii="宋体" w:hAnsi="宋体" w:eastAsia="宋体"/>
                <w:b/>
                <w:sz w:val="24"/>
                <w:szCs w:val="24"/>
              </w:rPr>
            </w:pPr>
            <w:r>
              <w:rPr>
                <w:rFonts w:hint="eastAsia" w:ascii="宋体" w:hAnsi="宋体" w:eastAsia="宋体"/>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37" w:type="dxa"/>
            <w:vAlign w:val="center"/>
          </w:tcPr>
          <w:p>
            <w:pPr>
              <w:spacing w:line="360" w:lineRule="exact"/>
              <w:jc w:val="center"/>
              <w:rPr>
                <w:sz w:val="24"/>
                <w:szCs w:val="24"/>
              </w:rPr>
            </w:pPr>
            <w:r>
              <w:rPr>
                <w:sz w:val="24"/>
                <w:szCs w:val="24"/>
              </w:rPr>
              <w:t>1</w:t>
            </w:r>
          </w:p>
        </w:tc>
        <w:tc>
          <w:tcPr>
            <w:tcW w:w="7994" w:type="dxa"/>
          </w:tcPr>
          <w:p>
            <w:pPr>
              <w:spacing w:line="360" w:lineRule="exact"/>
              <w:rPr>
                <w:sz w:val="24"/>
                <w:szCs w:val="24"/>
              </w:rPr>
            </w:pPr>
            <w:r>
              <w:rPr>
                <w:rFonts w:hint="eastAsia"/>
                <w:sz w:val="24"/>
                <w:szCs w:val="24"/>
              </w:rPr>
              <w:t>建议补充支持性政策：</w:t>
            </w:r>
          </w:p>
          <w:p>
            <w:pPr>
              <w:spacing w:line="360" w:lineRule="exact"/>
              <w:rPr>
                <w:sz w:val="24"/>
                <w:szCs w:val="24"/>
              </w:rPr>
            </w:pPr>
            <w:r>
              <w:rPr>
                <w:rFonts w:hint="eastAsia"/>
                <w:sz w:val="24"/>
                <w:szCs w:val="24"/>
              </w:rPr>
              <w:t>一、鼓励人工智能在药械领域的应用，提升新药研发和转化速度。</w:t>
            </w:r>
          </w:p>
          <w:p>
            <w:pPr>
              <w:spacing w:line="360" w:lineRule="exact"/>
              <w:rPr>
                <w:sz w:val="24"/>
                <w:szCs w:val="24"/>
              </w:rPr>
            </w:pPr>
            <w:r>
              <w:rPr>
                <w:rFonts w:hint="eastAsia"/>
                <w:sz w:val="24"/>
                <w:szCs w:val="24"/>
              </w:rPr>
              <w:t>着眼于创新药未来研发发展趋势，构建具有自主知识产权、可控制、可主导的人工智能药物研发应用至关重要，建议：（</w:t>
            </w:r>
            <w:r>
              <w:rPr>
                <w:sz w:val="24"/>
                <w:szCs w:val="24"/>
              </w:rPr>
              <w:t>1）通过专项资金支持等形式，鼓励国内人工智能药物研发应用的发展。我国人工智能药物研发应用起步较晚，目前尚处在初期阶段，国内相关企业不足20家。建议通过专项资金支持等形式，鼓励创新药企业与人工智能企业相互合作，发挥各自优势，协同融合创新，推动人工智能技术在创新药领域的不断发展。（2）提升成果转化交易服务平台层级，便于</w:t>
            </w:r>
            <w:r>
              <w:rPr>
                <w:rFonts w:hint="eastAsia"/>
                <w:sz w:val="24"/>
                <w:szCs w:val="24"/>
              </w:rPr>
              <w:t>“</w:t>
            </w:r>
            <w:r>
              <w:rPr>
                <w:sz w:val="24"/>
                <w:szCs w:val="24"/>
              </w:rPr>
              <w:t>人工智能+药械</w:t>
            </w:r>
            <w:r>
              <w:rPr>
                <w:rFonts w:hint="eastAsia"/>
                <w:sz w:val="24"/>
                <w:szCs w:val="24"/>
              </w:rPr>
              <w:t>”</w:t>
            </w:r>
            <w:r>
              <w:rPr>
                <w:sz w:val="24"/>
                <w:szCs w:val="24"/>
              </w:rPr>
              <w:t>取得预期效果。当前，制约人工智能应用发展的主要因素，仍然在于高质量数</w:t>
            </w:r>
            <w:r>
              <w:rPr>
                <w:rFonts w:hint="eastAsia"/>
                <w:sz w:val="24"/>
                <w:szCs w:val="24"/>
              </w:rPr>
              <w:t>据资源的合规获取和交易流通有效规则的确立。在更高层级上搭建起统一的一站式创新药成果转化交易服务平台，有利于更好统筹各类数据资源的开放共享和有序流动，也有利于增强各主体参与平台服务的热情，不断提高创新药成果转化效率。（</w:t>
            </w:r>
            <w:r>
              <w:rPr>
                <w:sz w:val="24"/>
                <w:szCs w:val="24"/>
              </w:rPr>
              <w:t>3）加速试点工作推进，重视典型案例的指导示范作用。对于人工智能在药械领域已有的实践应用，应鼓励相关部门在认真调研的基础上，总结经验做法，先行确定试点政策和试点范围，明确试点周期和试点任务。对于优秀的实践案例，应扩大宣传力度，为创新药企业的研发提质提供实用的参考性方案。</w:t>
            </w:r>
          </w:p>
        </w:tc>
        <w:tc>
          <w:tcPr>
            <w:tcW w:w="1191" w:type="dxa"/>
            <w:vAlign w:val="center"/>
          </w:tcPr>
          <w:p>
            <w:pPr>
              <w:spacing w:line="360" w:lineRule="exact"/>
              <w:jc w:val="center"/>
              <w:rPr>
                <w:rFonts w:hint="eastAsia"/>
                <w:sz w:val="24"/>
                <w:szCs w:val="24"/>
              </w:rPr>
            </w:pPr>
            <w:r>
              <w:rPr>
                <w:rFonts w:hint="eastAsia"/>
                <w:sz w:val="24"/>
                <w:szCs w:val="24"/>
              </w:rPr>
              <w:t>已采纳</w:t>
            </w:r>
          </w:p>
        </w:tc>
        <w:tc>
          <w:tcPr>
            <w:tcW w:w="4253" w:type="dxa"/>
            <w:vAlign w:val="center"/>
          </w:tcPr>
          <w:p>
            <w:pPr>
              <w:spacing w:line="360" w:lineRule="exact"/>
              <w:rPr>
                <w:sz w:val="24"/>
                <w:szCs w:val="24"/>
              </w:rPr>
            </w:pPr>
            <w:r>
              <w:rPr>
                <w:rFonts w:hint="eastAsia"/>
                <w:sz w:val="24"/>
                <w:szCs w:val="24"/>
              </w:rPr>
              <w:t>人工智能药物研发应用相关内容已在“（三）强化人工智能赋能药械研发”集中体现，后续我委将发布申报指南，通过专项资金鼓励人工智能药物研发应用。提升成果转化交易服务平台层级相关内容已在“（三十七）支持建设医疗健康大数据平台”和“（三十八）支持医疗健康数据共享交易”中体现，将更好统筹各类药械数据资源的开放共享和有序流动。人工智能赋能药械领域的实践应用相关内容体现在“（二十四）提升专业园区供给”中，我市正加速推进“人工智能</w:t>
            </w:r>
            <w:r>
              <w:rPr>
                <w:sz w:val="24"/>
                <w:szCs w:val="24"/>
              </w:rPr>
              <w:t>+</w:t>
            </w:r>
            <w:r>
              <w:rPr>
                <w:rFonts w:hint="eastAsia"/>
                <w:sz w:val="24"/>
                <w:szCs w:val="24"/>
              </w:rPr>
              <w:t>”特色园区建设，将汇聚一批具备指导示范作用的典型实践案例。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37" w:type="dxa"/>
            <w:vAlign w:val="center"/>
          </w:tcPr>
          <w:p>
            <w:pPr>
              <w:spacing w:line="360" w:lineRule="exact"/>
              <w:jc w:val="center"/>
              <w:rPr>
                <w:sz w:val="24"/>
                <w:szCs w:val="24"/>
              </w:rPr>
            </w:pPr>
            <w:r>
              <w:rPr>
                <w:rFonts w:hint="eastAsia"/>
                <w:sz w:val="24"/>
                <w:szCs w:val="24"/>
              </w:rPr>
              <w:t>2</w:t>
            </w:r>
          </w:p>
        </w:tc>
        <w:tc>
          <w:tcPr>
            <w:tcW w:w="7994" w:type="dxa"/>
          </w:tcPr>
          <w:p>
            <w:pPr>
              <w:spacing w:line="360" w:lineRule="exact"/>
              <w:rPr>
                <w:sz w:val="24"/>
                <w:szCs w:val="24"/>
              </w:rPr>
            </w:pPr>
            <w:r>
              <w:rPr>
                <w:rFonts w:hint="eastAsia"/>
                <w:sz w:val="24"/>
                <w:szCs w:val="24"/>
              </w:rPr>
              <w:t>建议补充支持性政策：</w:t>
            </w:r>
          </w:p>
          <w:p>
            <w:pPr>
              <w:spacing w:line="360" w:lineRule="exact"/>
              <w:rPr>
                <w:sz w:val="24"/>
                <w:szCs w:val="24"/>
              </w:rPr>
            </w:pPr>
            <w:r>
              <w:rPr>
                <w:rFonts w:hint="eastAsia"/>
                <w:sz w:val="24"/>
                <w:szCs w:val="24"/>
              </w:rPr>
              <w:t>二、丰富创新药推动传播渠道，提升国内药企品牌塑造能力。</w:t>
            </w:r>
          </w:p>
          <w:p>
            <w:pPr>
              <w:spacing w:line="360" w:lineRule="exact"/>
              <w:rPr>
                <w:sz w:val="24"/>
                <w:szCs w:val="24"/>
              </w:rPr>
            </w:pPr>
            <w:r>
              <w:rPr>
                <w:rFonts w:hint="eastAsia"/>
                <w:sz w:val="24"/>
                <w:szCs w:val="24"/>
              </w:rPr>
              <w:t>建议：（</w:t>
            </w:r>
            <w:r>
              <w:rPr>
                <w:sz w:val="24"/>
                <w:szCs w:val="24"/>
              </w:rPr>
              <w:t>1）协助企业共同进行品牌塑造。支持创新药械企业不断完善品牌战略，进一步提升品牌意识。鼓励传统媒体、新媒体等各类传播渠道，利用</w:t>
            </w:r>
            <w:r>
              <w:rPr>
                <w:rFonts w:hint="eastAsia"/>
                <w:sz w:val="24"/>
                <w:szCs w:val="24"/>
              </w:rPr>
              <w:t>“</w:t>
            </w:r>
            <w:r>
              <w:rPr>
                <w:sz w:val="24"/>
                <w:szCs w:val="24"/>
              </w:rPr>
              <w:t>品牌强国工程</w:t>
            </w:r>
            <w:r>
              <w:rPr>
                <w:rFonts w:hint="eastAsia"/>
                <w:sz w:val="24"/>
                <w:szCs w:val="24"/>
              </w:rPr>
              <w:t>”</w:t>
            </w:r>
            <w:r>
              <w:rPr>
                <w:sz w:val="24"/>
                <w:szCs w:val="24"/>
              </w:rPr>
              <w:t>等形式，积极宣传国产创新药品牌，讲好企业创新故事，营造国产品牌可资信赖的社会舆论和氛围。在适宜条件下，允许创新药械鼓励应用目录向社会公开，以促进高价值创新药械更好推广应用。（2）丰富创新药械产品学术推广渠道。数字化大发展的当下，新产品的推广方式已发生了明显变化，应进一步支持和鼓励创新药械企业尝试和使用新的技术方式进行创新药械学术推广。允许企业布局和构建线上推</w:t>
            </w:r>
            <w:r>
              <w:rPr>
                <w:rFonts w:hint="eastAsia"/>
                <w:sz w:val="24"/>
                <w:szCs w:val="24"/>
              </w:rPr>
              <w:t>广渠道，运用互联网等形式，开展与临床专业技术人员的良性互动。监管部门应考虑细化药械营销的合规行为规范，对创新药械学术推广活动保持审慎而适度的执法裁量。（</w:t>
            </w:r>
            <w:r>
              <w:rPr>
                <w:sz w:val="24"/>
                <w:szCs w:val="24"/>
              </w:rPr>
              <w:t>3）适度放开创新药广告向消费者传播的限制。商品广告，除了引导使用的功能，不能忽视其加速信息传播的有益作用。创新药产品的上市，代表着新的技术解决方案和新的疾病治疗方式，会为数以万计的患者及其家人带来希望。受限于我国现有法律对处方药广告的严格管控，产品上市与患者知悉间总会存在难以逾越的时间差。建议借鉴美国等国家的治理方式，区分不同场景和类别，有条件的允许部分创新</w:t>
            </w:r>
            <w:r>
              <w:rPr>
                <w:rFonts w:hint="eastAsia"/>
                <w:sz w:val="24"/>
                <w:szCs w:val="24"/>
              </w:rPr>
              <w:t>药产品对使用者进行广告宣传。</w:t>
            </w:r>
          </w:p>
        </w:tc>
        <w:tc>
          <w:tcPr>
            <w:tcW w:w="1191" w:type="dxa"/>
            <w:vAlign w:val="center"/>
          </w:tcPr>
          <w:p>
            <w:pPr>
              <w:spacing w:line="360" w:lineRule="exact"/>
              <w:jc w:val="center"/>
              <w:rPr>
                <w:rFonts w:hint="eastAsia" w:eastAsia="仿宋_GB2312"/>
                <w:sz w:val="24"/>
                <w:szCs w:val="24"/>
                <w:lang w:eastAsia="zh-CN"/>
              </w:rPr>
            </w:pPr>
            <w:r>
              <w:rPr>
                <w:rFonts w:hint="eastAsia"/>
                <w:sz w:val="24"/>
                <w:szCs w:val="24"/>
                <w:lang w:eastAsia="zh-CN"/>
              </w:rPr>
              <w:t>解释说明</w:t>
            </w:r>
          </w:p>
        </w:tc>
        <w:tc>
          <w:tcPr>
            <w:tcW w:w="4253" w:type="dxa"/>
            <w:vAlign w:val="center"/>
          </w:tcPr>
          <w:p>
            <w:pPr>
              <w:spacing w:line="360" w:lineRule="exact"/>
              <w:rPr>
                <w:sz w:val="24"/>
                <w:szCs w:val="24"/>
              </w:rPr>
            </w:pPr>
            <w:r>
              <w:rPr>
                <w:rFonts w:hint="eastAsia"/>
                <w:sz w:val="24"/>
                <w:szCs w:val="24"/>
              </w:rPr>
              <w:t>本措施专门制定支持创新药和创新医疗器械市场推广的7条具体条款，包括优化药品和医疗器械采购模式、支持创新产品应用推广、健全医疗机构用药考核机制、支持商业保险扩大保障范围、助力企业出海发展、拓展境外器械维修业务、支持企业在深圳投资发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37" w:type="dxa"/>
            <w:vAlign w:val="center"/>
          </w:tcPr>
          <w:p>
            <w:pPr>
              <w:spacing w:line="360" w:lineRule="exact"/>
              <w:jc w:val="center"/>
              <w:rPr>
                <w:sz w:val="24"/>
                <w:szCs w:val="24"/>
              </w:rPr>
            </w:pPr>
            <w:r>
              <w:rPr>
                <w:rFonts w:hint="eastAsia"/>
                <w:sz w:val="24"/>
                <w:szCs w:val="24"/>
              </w:rPr>
              <w:t>3</w:t>
            </w:r>
          </w:p>
        </w:tc>
        <w:tc>
          <w:tcPr>
            <w:tcW w:w="7994" w:type="dxa"/>
          </w:tcPr>
          <w:p>
            <w:pPr>
              <w:spacing w:line="360" w:lineRule="exact"/>
              <w:rPr>
                <w:sz w:val="24"/>
                <w:szCs w:val="24"/>
              </w:rPr>
            </w:pPr>
            <w:r>
              <w:rPr>
                <w:rFonts w:hint="eastAsia"/>
                <w:sz w:val="24"/>
                <w:szCs w:val="24"/>
              </w:rPr>
              <w:t>针对“（五）大力支持创新药研发和引进。聚焦核酸药物、蛋白和多肽药物、微生物药物、小分子创新药物、现代中药等方向，支持研制一批创新药和改良型新药成果。对于完成临床前研究、</w:t>
            </w:r>
            <w:r>
              <w:rPr>
                <w:sz w:val="24"/>
                <w:szCs w:val="24"/>
              </w:rPr>
              <w:t>I期、Ⅱ期、Ⅲ期临床试验并获批上市、实现产出的创新药和改良型新药，按照现行政策给予资助。对于通过注册地迁移、收购并购引进创新药管线的，参照上述政策给予资助。</w:t>
            </w:r>
            <w:r>
              <w:rPr>
                <w:rFonts w:hint="eastAsia"/>
                <w:sz w:val="24"/>
                <w:szCs w:val="24"/>
              </w:rPr>
              <w:t>”</w:t>
            </w:r>
            <w:r>
              <w:rPr>
                <w:sz w:val="24"/>
                <w:szCs w:val="24"/>
              </w:rPr>
              <w:t>提出以下修改意见。</w:t>
            </w:r>
          </w:p>
          <w:p>
            <w:pPr>
              <w:spacing w:line="360" w:lineRule="exact"/>
              <w:rPr>
                <w:sz w:val="24"/>
                <w:szCs w:val="24"/>
              </w:rPr>
            </w:pPr>
            <w:r>
              <w:rPr>
                <w:rFonts w:hint="eastAsia"/>
                <w:sz w:val="24"/>
                <w:szCs w:val="24"/>
              </w:rPr>
              <w:t>建议“对于完成临床前研究、</w:t>
            </w:r>
            <w:r>
              <w:rPr>
                <w:sz w:val="24"/>
                <w:szCs w:val="24"/>
              </w:rPr>
              <w:t>I期、II期、III期临床试验并获批上市、实现产出的创新药和改良型新药，按照现行政策给予资助。</w:t>
            </w:r>
            <w:r>
              <w:rPr>
                <w:rFonts w:hint="eastAsia"/>
                <w:sz w:val="24"/>
                <w:szCs w:val="24"/>
              </w:rPr>
              <w:t>”</w:t>
            </w:r>
            <w:r>
              <w:rPr>
                <w:sz w:val="24"/>
                <w:szCs w:val="24"/>
              </w:rPr>
              <w:t>修改为</w:t>
            </w:r>
            <w:r>
              <w:rPr>
                <w:rFonts w:hint="eastAsia"/>
                <w:sz w:val="24"/>
                <w:szCs w:val="24"/>
              </w:rPr>
              <w:t>“</w:t>
            </w:r>
            <w:r>
              <w:rPr>
                <w:sz w:val="24"/>
                <w:szCs w:val="24"/>
              </w:rPr>
              <w:t>对于完成临床前研究、I期、II期、III期临床试验的1类创新药和改良型新药，按照现行政策给予分阶段资助</w:t>
            </w:r>
            <w:r>
              <w:rPr>
                <w:rFonts w:hint="eastAsia"/>
                <w:sz w:val="24"/>
                <w:szCs w:val="24"/>
              </w:rPr>
              <w:t>”。</w:t>
            </w:r>
          </w:p>
        </w:tc>
        <w:tc>
          <w:tcPr>
            <w:tcW w:w="1191" w:type="dxa"/>
            <w:vAlign w:val="center"/>
          </w:tcPr>
          <w:p>
            <w:pPr>
              <w:spacing w:line="360" w:lineRule="exact"/>
              <w:jc w:val="center"/>
              <w:rPr>
                <w:rFonts w:hint="eastAsia"/>
                <w:sz w:val="24"/>
                <w:szCs w:val="24"/>
              </w:rPr>
            </w:pPr>
            <w:r>
              <w:rPr>
                <w:rFonts w:hint="eastAsia"/>
                <w:sz w:val="24"/>
                <w:szCs w:val="24"/>
              </w:rPr>
              <w:t>已采纳</w:t>
            </w:r>
          </w:p>
        </w:tc>
        <w:tc>
          <w:tcPr>
            <w:tcW w:w="4253" w:type="dxa"/>
            <w:vAlign w:val="center"/>
          </w:tcPr>
          <w:p>
            <w:pPr>
              <w:spacing w:line="360" w:lineRule="exact"/>
              <w:rPr>
                <w:sz w:val="24"/>
                <w:szCs w:val="24"/>
              </w:rPr>
            </w:pPr>
            <w:r>
              <w:rPr>
                <w:rFonts w:hint="eastAsia"/>
                <w:sz w:val="24"/>
                <w:szCs w:val="24"/>
              </w:rPr>
              <w:t>本措施参照现行政策《深圳市促进生物医药产业集群高质量发展的若干措施》执行标准。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37" w:type="dxa"/>
            <w:vAlign w:val="center"/>
          </w:tcPr>
          <w:p>
            <w:pPr>
              <w:spacing w:line="360" w:lineRule="exact"/>
              <w:jc w:val="center"/>
              <w:rPr>
                <w:sz w:val="24"/>
                <w:szCs w:val="24"/>
              </w:rPr>
            </w:pPr>
            <w:r>
              <w:rPr>
                <w:sz w:val="24"/>
                <w:szCs w:val="24"/>
              </w:rPr>
              <w:t>4</w:t>
            </w:r>
          </w:p>
        </w:tc>
        <w:tc>
          <w:tcPr>
            <w:tcW w:w="7994" w:type="dxa"/>
          </w:tcPr>
          <w:p>
            <w:pPr>
              <w:spacing w:line="360" w:lineRule="exact"/>
              <w:rPr>
                <w:sz w:val="24"/>
                <w:szCs w:val="24"/>
              </w:rPr>
            </w:pPr>
            <w:r>
              <w:rPr>
                <w:rFonts w:hint="eastAsia"/>
                <w:sz w:val="24"/>
                <w:szCs w:val="24"/>
              </w:rPr>
              <w:t>原文：（五）大力支持创新药研发和引进</w:t>
            </w:r>
            <w:r>
              <w:rPr>
                <w:sz w:val="24"/>
                <w:szCs w:val="24"/>
              </w:rPr>
              <w:t>…对于完成临床前研究、1期、I1期、I期临床试验并获批上市、实现产出的创新药和改良型新药，按照现行政策给予资助。</w:t>
            </w:r>
          </w:p>
          <w:p>
            <w:pPr>
              <w:spacing w:line="360" w:lineRule="exact"/>
              <w:rPr>
                <w:sz w:val="24"/>
                <w:szCs w:val="24"/>
              </w:rPr>
            </w:pPr>
            <w:r>
              <w:rPr>
                <w:rFonts w:hint="eastAsia"/>
                <w:sz w:val="24"/>
                <w:szCs w:val="24"/>
              </w:rPr>
              <w:t>建议修改为：对于完成临床前研究、</w:t>
            </w:r>
            <w:r>
              <w:rPr>
                <w:sz w:val="24"/>
                <w:szCs w:val="24"/>
              </w:rPr>
              <w:t>I期、II期、III期临床试验的1类创新药和改良型新药，按照现行政策给予分阶段资助。</w:t>
            </w:r>
          </w:p>
        </w:tc>
        <w:tc>
          <w:tcPr>
            <w:tcW w:w="1191" w:type="dxa"/>
            <w:vAlign w:val="center"/>
          </w:tcPr>
          <w:p>
            <w:pPr>
              <w:spacing w:line="360" w:lineRule="exact"/>
              <w:jc w:val="center"/>
              <w:rPr>
                <w:rFonts w:hint="eastAsia"/>
                <w:sz w:val="24"/>
                <w:szCs w:val="24"/>
              </w:rPr>
            </w:pPr>
            <w:r>
              <w:rPr>
                <w:rFonts w:hint="eastAsia"/>
                <w:sz w:val="24"/>
                <w:szCs w:val="24"/>
              </w:rPr>
              <w:t>已采纳</w:t>
            </w:r>
          </w:p>
        </w:tc>
        <w:tc>
          <w:tcPr>
            <w:tcW w:w="4253" w:type="dxa"/>
            <w:vAlign w:val="center"/>
          </w:tcPr>
          <w:p>
            <w:pPr>
              <w:spacing w:line="360" w:lineRule="exact"/>
              <w:rPr>
                <w:sz w:val="24"/>
                <w:szCs w:val="24"/>
              </w:rPr>
            </w:pPr>
            <w:r>
              <w:rPr>
                <w:rFonts w:hint="eastAsia"/>
                <w:sz w:val="24"/>
                <w:szCs w:val="24"/>
              </w:rPr>
              <w:t>本措施参照现行政策《深圳市促进生物医药产业集群高质量发展的若干措施》执行标准。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37" w:type="dxa"/>
            <w:vAlign w:val="center"/>
          </w:tcPr>
          <w:p>
            <w:pPr>
              <w:spacing w:line="360" w:lineRule="exact"/>
              <w:jc w:val="center"/>
              <w:rPr>
                <w:sz w:val="24"/>
                <w:szCs w:val="24"/>
              </w:rPr>
            </w:pPr>
            <w:r>
              <w:rPr>
                <w:sz w:val="24"/>
                <w:szCs w:val="24"/>
              </w:rPr>
              <w:t>5</w:t>
            </w:r>
          </w:p>
        </w:tc>
        <w:tc>
          <w:tcPr>
            <w:tcW w:w="7994" w:type="dxa"/>
          </w:tcPr>
          <w:p>
            <w:pPr>
              <w:spacing w:line="360" w:lineRule="exact"/>
              <w:rPr>
                <w:sz w:val="24"/>
                <w:szCs w:val="24"/>
              </w:rPr>
            </w:pPr>
            <w:r>
              <w:rPr>
                <w:sz w:val="24"/>
                <w:szCs w:val="24"/>
              </w:rPr>
              <w:t>对于（二）加强共性关键核心技术攻关中需要布局技术攻关的项目，建议在合成生物核心技术项增加基因信息存储、元件线路分析设计、细胞的原位表征一体化技术、无细胞或多细胞体系构建与筛选技术，以及细胞分泌物检测和递送系统；</w:t>
            </w:r>
          </w:p>
        </w:tc>
        <w:tc>
          <w:tcPr>
            <w:tcW w:w="1191" w:type="dxa"/>
            <w:vAlign w:val="center"/>
          </w:tcPr>
          <w:p>
            <w:pPr>
              <w:spacing w:line="360" w:lineRule="exact"/>
              <w:jc w:val="center"/>
              <w:rPr>
                <w:rFonts w:hint="eastAsia"/>
                <w:sz w:val="24"/>
                <w:szCs w:val="24"/>
              </w:rPr>
            </w:pPr>
            <w:r>
              <w:rPr>
                <w:rFonts w:hint="eastAsia"/>
                <w:sz w:val="24"/>
                <w:szCs w:val="24"/>
              </w:rPr>
              <w:t>已采纳</w:t>
            </w:r>
          </w:p>
        </w:tc>
        <w:tc>
          <w:tcPr>
            <w:tcW w:w="4253" w:type="dxa"/>
            <w:vAlign w:val="center"/>
          </w:tcPr>
          <w:p>
            <w:pPr>
              <w:spacing w:line="360" w:lineRule="exact"/>
              <w:rPr>
                <w:sz w:val="24"/>
                <w:szCs w:val="24"/>
              </w:rPr>
            </w:pPr>
            <w:r>
              <w:rPr>
                <w:rFonts w:hint="eastAsia"/>
                <w:sz w:val="24"/>
                <w:szCs w:val="24"/>
              </w:rPr>
              <w:t>已在政策中增加“细胞原位表征一体化”“无细胞或多细胞体系构建与筛选”等合成生物核心技术。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37" w:type="dxa"/>
            <w:vAlign w:val="center"/>
          </w:tcPr>
          <w:p>
            <w:pPr>
              <w:spacing w:line="360" w:lineRule="exact"/>
              <w:jc w:val="center"/>
              <w:rPr>
                <w:sz w:val="24"/>
                <w:szCs w:val="24"/>
              </w:rPr>
            </w:pPr>
            <w:r>
              <w:rPr>
                <w:sz w:val="24"/>
                <w:szCs w:val="24"/>
              </w:rPr>
              <w:t>6</w:t>
            </w:r>
          </w:p>
        </w:tc>
        <w:tc>
          <w:tcPr>
            <w:tcW w:w="7994" w:type="dxa"/>
          </w:tcPr>
          <w:p>
            <w:pPr>
              <w:spacing w:line="360" w:lineRule="exact"/>
              <w:rPr>
                <w:sz w:val="24"/>
                <w:szCs w:val="24"/>
              </w:rPr>
            </w:pPr>
            <w:r>
              <w:rPr>
                <w:sz w:val="24"/>
                <w:szCs w:val="24"/>
              </w:rPr>
              <w:t>对于（三）强化人工智能赋能药械研发，建议针对各类分子(核酸、蛋白质/肽、糖类、脂类等)、元件线路、底盘细胞、无细胞及多细胞体系，增加结构功能等信息的分析、预测及设计的算法软件开发及更新迭代;</w:t>
            </w:r>
          </w:p>
        </w:tc>
        <w:tc>
          <w:tcPr>
            <w:tcW w:w="1191" w:type="dxa"/>
            <w:vAlign w:val="center"/>
          </w:tcPr>
          <w:p>
            <w:pPr>
              <w:spacing w:line="360" w:lineRule="exact"/>
              <w:jc w:val="center"/>
              <w:rPr>
                <w:rFonts w:hint="eastAsia"/>
                <w:sz w:val="24"/>
                <w:szCs w:val="24"/>
              </w:rPr>
            </w:pPr>
            <w:r>
              <w:rPr>
                <w:rFonts w:hint="eastAsia"/>
                <w:sz w:val="24"/>
                <w:szCs w:val="24"/>
              </w:rPr>
              <w:t>已采纳</w:t>
            </w:r>
          </w:p>
        </w:tc>
        <w:tc>
          <w:tcPr>
            <w:tcW w:w="4253" w:type="dxa"/>
            <w:vAlign w:val="center"/>
          </w:tcPr>
          <w:p>
            <w:pPr>
              <w:spacing w:line="360" w:lineRule="exact"/>
              <w:rPr>
                <w:sz w:val="24"/>
                <w:szCs w:val="24"/>
              </w:rPr>
            </w:pPr>
            <w:r>
              <w:rPr>
                <w:rFonts w:hint="eastAsia"/>
                <w:sz w:val="24"/>
                <w:szCs w:val="24"/>
              </w:rPr>
              <w:t>本措施相关表述已囊括针对各类分子、细胞等的结构功能信息分析、预测及设计算法软件开发及更新迭代支持方向，后续政策实施过程中，将在申报指南中对具体支持方向进一步明确。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37" w:type="dxa"/>
            <w:vAlign w:val="center"/>
          </w:tcPr>
          <w:p>
            <w:pPr>
              <w:spacing w:line="360" w:lineRule="exact"/>
              <w:jc w:val="center"/>
              <w:rPr>
                <w:sz w:val="24"/>
                <w:szCs w:val="24"/>
              </w:rPr>
            </w:pPr>
            <w:r>
              <w:rPr>
                <w:rFonts w:hint="eastAsia"/>
                <w:sz w:val="24"/>
                <w:szCs w:val="24"/>
              </w:rPr>
              <w:t>7</w:t>
            </w:r>
          </w:p>
        </w:tc>
        <w:tc>
          <w:tcPr>
            <w:tcW w:w="7994" w:type="dxa"/>
            <w:vAlign w:val="center"/>
          </w:tcPr>
          <w:p>
            <w:pPr>
              <w:spacing w:line="360" w:lineRule="exact"/>
              <w:rPr>
                <w:sz w:val="24"/>
                <w:szCs w:val="24"/>
              </w:rPr>
            </w:pPr>
            <w:r>
              <w:rPr>
                <w:sz w:val="24"/>
                <w:szCs w:val="24"/>
              </w:rPr>
              <w:t>对于（七）大力支持高端生命科学仪器研制，建议增加底盘细胞培养筛选的试剂耗材、发酵设备以及自动化系统。</w:t>
            </w:r>
          </w:p>
        </w:tc>
        <w:tc>
          <w:tcPr>
            <w:tcW w:w="1191" w:type="dxa"/>
            <w:vAlign w:val="center"/>
          </w:tcPr>
          <w:p>
            <w:pPr>
              <w:spacing w:line="360" w:lineRule="exact"/>
              <w:jc w:val="center"/>
              <w:rPr>
                <w:rFonts w:hint="eastAsia"/>
                <w:sz w:val="24"/>
                <w:szCs w:val="24"/>
              </w:rPr>
            </w:pPr>
            <w:r>
              <w:rPr>
                <w:rFonts w:hint="eastAsia"/>
                <w:sz w:val="24"/>
                <w:szCs w:val="24"/>
              </w:rPr>
              <w:t>已采纳</w:t>
            </w:r>
            <w:bookmarkStart w:id="0" w:name="_GoBack"/>
            <w:bookmarkEnd w:id="0"/>
          </w:p>
        </w:tc>
        <w:tc>
          <w:tcPr>
            <w:tcW w:w="4253" w:type="dxa"/>
            <w:vAlign w:val="center"/>
          </w:tcPr>
          <w:p>
            <w:pPr>
              <w:spacing w:line="360" w:lineRule="exact"/>
              <w:rPr>
                <w:sz w:val="24"/>
                <w:szCs w:val="24"/>
              </w:rPr>
            </w:pPr>
            <w:r>
              <w:rPr>
                <w:rFonts w:hint="eastAsia"/>
                <w:sz w:val="24"/>
                <w:szCs w:val="24"/>
              </w:rPr>
              <w:t>本措施相关表述已囊括底盘细胞发酵设备及自动化系统等相关仪器研制，后续政策实施过程中，将在申报指南中对具体支持方向进一步明确。</w:t>
            </w:r>
          </w:p>
        </w:tc>
      </w:tr>
    </w:tbl>
    <w:p>
      <w:pPr>
        <w:jc w:val="center"/>
        <w:rPr>
          <w:rFonts w:ascii="方正小标宋简体" w:eastAsia="方正小标宋简体"/>
          <w:sz w:val="40"/>
        </w:rPr>
      </w:pPr>
    </w:p>
    <w:sectPr>
      <w:footerReference r:id="rId3" w:type="default"/>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sz w:val="24"/>
      </w:rPr>
    </w:sdtEndPr>
    <w:sdtContent>
      <w:p>
        <w:pPr>
          <w:pStyle w:val="3"/>
          <w:jc w:val="center"/>
          <w:rPr>
            <w:sz w:val="24"/>
          </w:rPr>
        </w:pPr>
        <w:r>
          <w:rPr>
            <w:sz w:val="24"/>
          </w:rPr>
          <w:fldChar w:fldCharType="begin"/>
        </w:r>
        <w:r>
          <w:rPr>
            <w:sz w:val="24"/>
          </w:rPr>
          <w:instrText xml:space="preserve">PAGE   \* MERGEFORMAT</w:instrText>
        </w:r>
        <w:r>
          <w:rPr>
            <w:sz w:val="24"/>
          </w:rPr>
          <w:fldChar w:fldCharType="separate"/>
        </w:r>
        <w:r>
          <w:rPr>
            <w:sz w:val="24"/>
            <w:lang w:val="zh-CN"/>
          </w:rPr>
          <w:t>4</w:t>
        </w:r>
        <w:r>
          <w:rPr>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revisionView w:markup="0"/>
  <w:trackRevisions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B46B70"/>
    <w:rsid w:val="00024B22"/>
    <w:rsid w:val="0003533E"/>
    <w:rsid w:val="00074032"/>
    <w:rsid w:val="00096EDB"/>
    <w:rsid w:val="000B09D2"/>
    <w:rsid w:val="000D1D20"/>
    <w:rsid w:val="000F499C"/>
    <w:rsid w:val="00141AA5"/>
    <w:rsid w:val="0019640F"/>
    <w:rsid w:val="001B43BC"/>
    <w:rsid w:val="001D62ED"/>
    <w:rsid w:val="002E73C3"/>
    <w:rsid w:val="00331088"/>
    <w:rsid w:val="00365848"/>
    <w:rsid w:val="003A6452"/>
    <w:rsid w:val="003C6722"/>
    <w:rsid w:val="004134D5"/>
    <w:rsid w:val="00422539"/>
    <w:rsid w:val="00457832"/>
    <w:rsid w:val="00467F07"/>
    <w:rsid w:val="004A63F0"/>
    <w:rsid w:val="00500127"/>
    <w:rsid w:val="005E26EF"/>
    <w:rsid w:val="005F77C4"/>
    <w:rsid w:val="00667BA9"/>
    <w:rsid w:val="006E068E"/>
    <w:rsid w:val="006F218D"/>
    <w:rsid w:val="007065D3"/>
    <w:rsid w:val="00717769"/>
    <w:rsid w:val="007D5A0F"/>
    <w:rsid w:val="0086561A"/>
    <w:rsid w:val="00865BF1"/>
    <w:rsid w:val="00900DAC"/>
    <w:rsid w:val="009068D2"/>
    <w:rsid w:val="0094301D"/>
    <w:rsid w:val="00985BB9"/>
    <w:rsid w:val="009C6918"/>
    <w:rsid w:val="00A22A44"/>
    <w:rsid w:val="00AA4B36"/>
    <w:rsid w:val="00B46B70"/>
    <w:rsid w:val="00B47411"/>
    <w:rsid w:val="00BA0F7F"/>
    <w:rsid w:val="00CB18CC"/>
    <w:rsid w:val="00CB65AB"/>
    <w:rsid w:val="00CC67D2"/>
    <w:rsid w:val="00D93359"/>
    <w:rsid w:val="00E55F68"/>
    <w:rsid w:val="00E852E5"/>
    <w:rsid w:val="00E856BB"/>
    <w:rsid w:val="00ED5CF0"/>
    <w:rsid w:val="00EE0C79"/>
    <w:rsid w:val="00EE11F6"/>
    <w:rsid w:val="00EE2870"/>
    <w:rsid w:val="00F90A2B"/>
    <w:rsid w:val="075F8229"/>
    <w:rsid w:val="0D6FB5DD"/>
    <w:rsid w:val="0F7FB207"/>
    <w:rsid w:val="26BFB2DE"/>
    <w:rsid w:val="2A6B6C2E"/>
    <w:rsid w:val="32BFD052"/>
    <w:rsid w:val="37EE801E"/>
    <w:rsid w:val="3FBF3BB7"/>
    <w:rsid w:val="3FDC5AF2"/>
    <w:rsid w:val="3FEDE73C"/>
    <w:rsid w:val="3FF9AA74"/>
    <w:rsid w:val="4BE7F2EE"/>
    <w:rsid w:val="4BFFF8C7"/>
    <w:rsid w:val="4DFFC92F"/>
    <w:rsid w:val="57B71A0B"/>
    <w:rsid w:val="5CDEB873"/>
    <w:rsid w:val="5FF5E3D6"/>
    <w:rsid w:val="5FFF06E2"/>
    <w:rsid w:val="69FF8ECE"/>
    <w:rsid w:val="6BB9450D"/>
    <w:rsid w:val="6FB2E868"/>
    <w:rsid w:val="6FDFD202"/>
    <w:rsid w:val="71352CE7"/>
    <w:rsid w:val="760D00F9"/>
    <w:rsid w:val="76DE110E"/>
    <w:rsid w:val="76FEA5FE"/>
    <w:rsid w:val="777BA845"/>
    <w:rsid w:val="7B8FC209"/>
    <w:rsid w:val="7BDD8200"/>
    <w:rsid w:val="7BDD8A54"/>
    <w:rsid w:val="7BFAE235"/>
    <w:rsid w:val="7BFDB99F"/>
    <w:rsid w:val="7D973EC4"/>
    <w:rsid w:val="7DF82A09"/>
    <w:rsid w:val="7DFE01B8"/>
    <w:rsid w:val="7F17F8EF"/>
    <w:rsid w:val="7FD9723F"/>
    <w:rsid w:val="7FDF5361"/>
    <w:rsid w:val="7FDFA039"/>
    <w:rsid w:val="7FE99759"/>
    <w:rsid w:val="7FFD27DA"/>
    <w:rsid w:val="7FFF3CA4"/>
    <w:rsid w:val="7FFF8862"/>
    <w:rsid w:val="85FFD5D9"/>
    <w:rsid w:val="8FF78EB4"/>
    <w:rsid w:val="97F37DA2"/>
    <w:rsid w:val="98D11312"/>
    <w:rsid w:val="BDFDB95D"/>
    <w:rsid w:val="BEBF170A"/>
    <w:rsid w:val="BEEFE959"/>
    <w:rsid w:val="BFEB916B"/>
    <w:rsid w:val="BFEE53E9"/>
    <w:rsid w:val="C3FDD31B"/>
    <w:rsid w:val="C4F6439B"/>
    <w:rsid w:val="CEE71FEE"/>
    <w:rsid w:val="D39C9510"/>
    <w:rsid w:val="D7F72E86"/>
    <w:rsid w:val="DB3E300A"/>
    <w:rsid w:val="DCEF97D8"/>
    <w:rsid w:val="DFE16B20"/>
    <w:rsid w:val="DFE36D3F"/>
    <w:rsid w:val="E3AFC314"/>
    <w:rsid w:val="E57F1ABD"/>
    <w:rsid w:val="EDFBA578"/>
    <w:rsid w:val="EEFFE76D"/>
    <w:rsid w:val="F5ED2AB8"/>
    <w:rsid w:val="F76F9C58"/>
    <w:rsid w:val="F7E6C237"/>
    <w:rsid w:val="FB5BD1C3"/>
    <w:rsid w:val="FBE15331"/>
    <w:rsid w:val="FCBF1E3D"/>
    <w:rsid w:val="FD3F5124"/>
    <w:rsid w:val="FDFE5C15"/>
    <w:rsid w:val="FEAD7E8B"/>
    <w:rsid w:val="FED3B14D"/>
    <w:rsid w:val="FF359826"/>
    <w:rsid w:val="FF7B7DB7"/>
    <w:rsid w:val="FFBFA923"/>
    <w:rsid w:val="FFCF0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仿宋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cs="仿宋_GB2312" w:hAnsiTheme="minorHAnsi"/>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377</Words>
  <Characters>2149</Characters>
  <Lines>17</Lines>
  <Paragraphs>5</Paragraphs>
  <TotalTime>176</TotalTime>
  <ScaleCrop>false</ScaleCrop>
  <LinksUpToDate>false</LinksUpToDate>
  <CharactersWithSpaces>2521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2024-07-07T11:04:00Z</dcterms:created>
  <dc:creator>胡瑞</dc:creator>
  <cp:lastModifiedBy>赵一臣</cp:lastModifiedBy>
  <cp:lastPrinted>2024-10-23T16:21:00Z</cp:lastPrinted>
  <dcterms:modified xsi:type="dcterms:W3CDTF">2024-10-29T15:24:03Z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5225335AD87BCE7E1B68866694BC71CE</vt:lpwstr>
  </property>
</Properties>
</file>