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firstLine="0" w:firstLineChars="0"/>
        <w:jc w:val="left"/>
        <w:rPr>
          <w:rFonts w:hint="default" w:ascii="宋体" w:hAnsi="宋体" w:eastAsia="宋体" w:cs="宋体"/>
          <w:b/>
          <w:bCs/>
          <w:sz w:val="44"/>
          <w:szCs w:val="44"/>
          <w:lang w:val="en-US" w:eastAsia="zh-CN"/>
        </w:rPr>
      </w:pPr>
      <w:r>
        <w:rPr>
          <w:rFonts w:hint="eastAsia" w:ascii="黑体" w:hAnsi="黑体" w:eastAsia="黑体" w:cs="黑体"/>
          <w:b w:val="0"/>
          <w:bCs w:val="0"/>
          <w:sz w:val="32"/>
          <w:szCs w:val="32"/>
          <w:lang w:val="en-US" w:eastAsia="zh-CN"/>
        </w:rPr>
        <w:t>附件</w:t>
      </w:r>
      <w:r>
        <w:rPr>
          <w:rFonts w:hint="eastAsia" w:ascii="宋体" w:hAnsi="宋体" w:eastAsia="宋体" w:cs="宋体"/>
          <w:b/>
          <w:bCs/>
          <w:sz w:val="44"/>
          <w:szCs w:val="44"/>
          <w:lang w:val="en-US" w:eastAsia="zh-CN"/>
        </w:rPr>
        <w:t xml:space="preserve"> </w:t>
      </w:r>
    </w:p>
    <w:p>
      <w:pPr>
        <w:spacing w:line="600" w:lineRule="exact"/>
        <w:ind w:firstLine="640"/>
        <w:jc w:val="center"/>
        <w:rPr>
          <w:rFonts w:hint="eastAsia" w:ascii="宋体" w:hAnsi="宋体" w:eastAsia="宋体" w:cs="宋体"/>
          <w:b/>
          <w:bCs/>
          <w:sz w:val="44"/>
          <w:szCs w:val="44"/>
          <w:lang w:val="en-US" w:eastAsia="zh-CN"/>
        </w:rPr>
      </w:pPr>
    </w:p>
    <w:p>
      <w:pPr>
        <w:spacing w:line="600" w:lineRule="exact"/>
        <w:ind w:firstLine="64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《深圳市关于促进智能网联汽车产业高质量发展的若干措施</w:t>
      </w:r>
    </w:p>
    <w:p>
      <w:pPr>
        <w:spacing w:line="600" w:lineRule="exact"/>
        <w:ind w:firstLine="64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（征求意见稿）》社会公众意见及采纳情况表</w:t>
      </w:r>
    </w:p>
    <w:p>
      <w:pPr>
        <w:spacing w:line="600" w:lineRule="exact"/>
        <w:ind w:firstLine="640"/>
        <w:jc w:val="center"/>
        <w:rPr>
          <w:rFonts w:hint="eastAsia" w:ascii="宋体" w:hAnsi="宋体" w:eastAsia="宋体" w:cs="宋体"/>
          <w:b/>
          <w:bCs/>
          <w:sz w:val="44"/>
          <w:szCs w:val="44"/>
          <w:lang w:val="en-US" w:eastAsia="zh-CN"/>
        </w:rPr>
      </w:pP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091"/>
        <w:gridCol w:w="7091"/>
        <w:gridCol w:w="1496"/>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sz w:val="28"/>
                <w:szCs w:val="22"/>
                <w:vertAlign w:val="baseline"/>
                <w:lang w:val="en-US" w:eastAsia="zh-CN"/>
              </w:rPr>
            </w:pPr>
            <w:r>
              <w:rPr>
                <w:rFonts w:hint="eastAsia" w:ascii="黑体" w:hAnsi="黑体" w:eastAsia="黑体" w:cs="黑体"/>
                <w:b w:val="0"/>
                <w:bCs w:val="0"/>
                <w:sz w:val="28"/>
                <w:szCs w:val="22"/>
                <w:vertAlign w:val="baseline"/>
                <w:lang w:val="en-US" w:eastAsia="zh-CN"/>
              </w:rPr>
              <w:t>序号</w:t>
            </w:r>
          </w:p>
        </w:tc>
        <w:tc>
          <w:tcPr>
            <w:tcW w:w="38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sz w:val="28"/>
                <w:szCs w:val="22"/>
                <w:vertAlign w:val="baseline"/>
                <w:lang w:val="en-US" w:eastAsia="zh-CN"/>
              </w:rPr>
            </w:pPr>
            <w:r>
              <w:rPr>
                <w:rFonts w:hint="eastAsia" w:ascii="黑体" w:hAnsi="黑体" w:eastAsia="黑体" w:cs="黑体"/>
                <w:b w:val="0"/>
                <w:bCs w:val="0"/>
                <w:sz w:val="28"/>
                <w:szCs w:val="22"/>
                <w:vertAlign w:val="baseline"/>
                <w:lang w:val="en-US" w:eastAsia="zh-CN"/>
              </w:rPr>
              <w:t>单位/个人</w:t>
            </w: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sz w:val="28"/>
                <w:szCs w:val="22"/>
                <w:vertAlign w:val="baseline"/>
                <w:lang w:val="en-US" w:eastAsia="zh-CN"/>
              </w:rPr>
            </w:pPr>
            <w:r>
              <w:rPr>
                <w:rFonts w:hint="eastAsia" w:ascii="黑体" w:hAnsi="黑体" w:eastAsia="黑体" w:cs="黑体"/>
                <w:b w:val="0"/>
                <w:bCs w:val="0"/>
                <w:sz w:val="28"/>
                <w:szCs w:val="22"/>
                <w:vertAlign w:val="baseline"/>
                <w:lang w:val="en-US" w:eastAsia="zh-CN"/>
              </w:rPr>
              <w:t>反馈意见建议</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sz w:val="28"/>
                <w:szCs w:val="22"/>
                <w:vertAlign w:val="baseline"/>
                <w:lang w:val="en-US" w:eastAsia="zh-CN"/>
              </w:rPr>
            </w:pPr>
            <w:r>
              <w:rPr>
                <w:rFonts w:hint="eastAsia" w:ascii="黑体" w:hAnsi="黑体" w:eastAsia="黑体" w:cs="黑体"/>
                <w:b w:val="0"/>
                <w:bCs w:val="0"/>
                <w:sz w:val="28"/>
                <w:szCs w:val="22"/>
                <w:vertAlign w:val="baseline"/>
                <w:lang w:val="en-US" w:eastAsia="zh-CN"/>
              </w:rPr>
              <w:t>是否采纳</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黑体" w:hAnsi="黑体" w:eastAsia="黑体" w:cs="黑体"/>
                <w:b w:val="0"/>
                <w:bCs w:val="0"/>
                <w:sz w:val="28"/>
                <w:szCs w:val="22"/>
                <w:vertAlign w:val="baseline"/>
                <w:lang w:val="en-US" w:eastAsia="zh-CN"/>
              </w:rPr>
            </w:pPr>
            <w:r>
              <w:rPr>
                <w:rFonts w:hint="eastAsia" w:ascii="黑体" w:hAnsi="黑体" w:eastAsia="黑体" w:cs="黑体"/>
                <w:b w:val="0"/>
                <w:bCs w:val="0"/>
                <w:sz w:val="28"/>
                <w:szCs w:val="22"/>
                <w:vertAlign w:val="baseline"/>
                <w:lang w:val="en-US"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1</w:t>
            </w:r>
          </w:p>
        </w:tc>
        <w:tc>
          <w:tcPr>
            <w:tcW w:w="38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单位</w:t>
            </w: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kern w:val="2"/>
                <w:sz w:val="28"/>
                <w:szCs w:val="28"/>
                <w:vertAlign w:val="baseline"/>
                <w:lang w:val="en-US" w:eastAsia="zh-CN" w:bidi="ar-SA"/>
              </w:rPr>
            </w:pPr>
            <w:r>
              <w:rPr>
                <w:rFonts w:hint="eastAsia"/>
                <w:b w:val="0"/>
                <w:bCs w:val="0"/>
                <w:sz w:val="28"/>
                <w:szCs w:val="28"/>
                <w:vertAlign w:val="baseline"/>
                <w:lang w:val="en-US" w:eastAsia="zh-CN"/>
              </w:rPr>
              <w:t>建议</w:t>
            </w:r>
            <w:r>
              <w:rPr>
                <w:rFonts w:hint="eastAsia"/>
                <w:sz w:val="28"/>
                <w:szCs w:val="28"/>
                <w:vertAlign w:val="baseline"/>
                <w:lang w:val="en-US" w:eastAsia="zh-CN"/>
              </w:rPr>
              <w:t>第（九）条鼓励开展道路测试。“对我市参与深圳坪山智能网联交通测试区测试并获得深圳智能网联汽车道路测试或示范应用等资格的主体，减收至少20%的测试费用”修改为</w:t>
            </w:r>
            <w:r>
              <w:rPr>
                <w:rFonts w:hint="eastAsia"/>
                <w:b w:val="0"/>
                <w:bCs w:val="0"/>
                <w:sz w:val="28"/>
                <w:szCs w:val="28"/>
                <w:vertAlign w:val="baseline"/>
                <w:lang w:val="en-US" w:eastAsia="zh-CN"/>
              </w:rPr>
              <w:t>减收至少30%的测试费用。</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theme="minorBidi"/>
                <w:kern w:val="2"/>
                <w:sz w:val="28"/>
                <w:szCs w:val="28"/>
                <w:vertAlign w:val="baseline"/>
                <w:lang w:val="en-US" w:eastAsia="zh-CN" w:bidi="ar-SA"/>
              </w:rPr>
            </w:pPr>
            <w:r>
              <w:rPr>
                <w:rFonts w:hint="eastAsia"/>
                <w:sz w:val="28"/>
                <w:szCs w:val="28"/>
                <w:vertAlign w:val="baseline"/>
                <w:lang w:val="en-US" w:eastAsia="zh-CN"/>
              </w:rPr>
              <w:t>采纳</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sz w:val="28"/>
                <w:szCs w:val="28"/>
                <w:vertAlign w:val="baseline"/>
                <w:lang w:val="en-US" w:eastAsia="zh-CN"/>
              </w:rPr>
              <w:t>已吸纳修改。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2</w:t>
            </w:r>
          </w:p>
        </w:tc>
        <w:tc>
          <w:tcPr>
            <w:tcW w:w="38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kern w:val="2"/>
                <w:sz w:val="28"/>
                <w:szCs w:val="28"/>
                <w:vertAlign w:val="baseline"/>
                <w:lang w:val="en-US" w:eastAsia="zh-CN" w:bidi="ar-SA"/>
              </w:rPr>
            </w:pPr>
            <w:r>
              <w:rPr>
                <w:rFonts w:hint="eastAsia"/>
                <w:b w:val="0"/>
                <w:bCs w:val="0"/>
                <w:sz w:val="28"/>
                <w:szCs w:val="28"/>
                <w:vertAlign w:val="baseline"/>
                <w:lang w:val="en-US" w:eastAsia="zh-CN"/>
              </w:rPr>
              <w:t>建议</w:t>
            </w:r>
            <w:r>
              <w:rPr>
                <w:rFonts w:hint="eastAsia"/>
                <w:sz w:val="28"/>
                <w:szCs w:val="28"/>
                <w:vertAlign w:val="baseline"/>
                <w:lang w:val="en-US" w:eastAsia="zh-CN"/>
              </w:rPr>
              <w:t>第（十）条丰富示范应用场景。修改为“有序开放街区、道路、机场、港口等作为智能网联车辆示范应用场景，鼓励开展开放场景内自动驾驶出租车、公交、短途接驳、物流配送、清扫车等形式的示范应用，</w:t>
            </w:r>
            <w:r>
              <w:rPr>
                <w:rFonts w:hint="eastAsia"/>
                <w:b w:val="0"/>
                <w:bCs w:val="0"/>
                <w:sz w:val="28"/>
                <w:szCs w:val="28"/>
                <w:vertAlign w:val="baseline"/>
                <w:lang w:val="en-US" w:eastAsia="zh-CN"/>
              </w:rPr>
              <w:t>鼓励无人载人示范应用，</w:t>
            </w:r>
            <w:r>
              <w:rPr>
                <w:rFonts w:hint="eastAsia"/>
                <w:sz w:val="28"/>
                <w:szCs w:val="28"/>
                <w:vertAlign w:val="baseline"/>
                <w:lang w:val="en-US" w:eastAsia="zh-CN"/>
              </w:rPr>
              <w:t>对每台车辆自动驾驶行驶里程累计达到10000公里的运营主体，示范应用效果良好的按项目总投资的20%予以最高不超过500万元资助”。</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sz w:val="28"/>
                <w:szCs w:val="28"/>
                <w:vertAlign w:val="baseline"/>
                <w:lang w:val="en-US" w:eastAsia="zh-CN"/>
              </w:rPr>
              <w:t>原文表述已包含“</w:t>
            </w:r>
            <w:r>
              <w:rPr>
                <w:rFonts w:hint="default"/>
                <w:sz w:val="28"/>
                <w:szCs w:val="28"/>
                <w:vertAlign w:val="baseline"/>
                <w:lang w:val="zh-CN" w:eastAsia="zh-CN"/>
              </w:rPr>
              <w:t>鼓励无人载人示范应用</w:t>
            </w:r>
            <w:r>
              <w:rPr>
                <w:rFonts w:hint="eastAsia"/>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3</w:t>
            </w:r>
          </w:p>
        </w:tc>
        <w:tc>
          <w:tcPr>
            <w:tcW w:w="38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仿宋_GB2312" w:hAnsi="仿宋_GB2312" w:eastAsia="仿宋_GB2312" w:cstheme="minorBidi"/>
                <w:b w:val="0"/>
                <w:bCs w:val="0"/>
                <w:kern w:val="2"/>
                <w:sz w:val="28"/>
                <w:szCs w:val="28"/>
                <w:vertAlign w:val="baseline"/>
                <w:lang w:val="en-US" w:eastAsia="zh-CN" w:bidi="ar-SA"/>
              </w:rPr>
            </w:pPr>
            <w:r>
              <w:rPr>
                <w:rFonts w:hint="eastAsia"/>
                <w:b w:val="0"/>
                <w:bCs w:val="0"/>
                <w:sz w:val="28"/>
                <w:szCs w:val="28"/>
                <w:vertAlign w:val="baseline"/>
                <w:lang w:val="en-US" w:eastAsia="zh-CN"/>
              </w:rPr>
              <w:t>建议第（十一）条探索开展商业运营。将“鼓励开展载人、载物、特种作业等商业化运营活动”修改为“鼓励开展载人、载物、特种作业等商业化运营活动，鼓励开展无人商业运营探索”。</w:t>
            </w:r>
          </w:p>
        </w:tc>
        <w:tc>
          <w:tcPr>
            <w:tcW w:w="1496"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r>
              <w:rPr>
                <w:rFonts w:hint="eastAsia"/>
                <w:sz w:val="28"/>
                <w:szCs w:val="28"/>
                <w:vertAlign w:val="baseline"/>
                <w:lang w:val="en-US" w:eastAsia="zh-CN"/>
              </w:rPr>
              <w:t>解释说明</w:t>
            </w:r>
          </w:p>
        </w:tc>
        <w:tc>
          <w:tcPr>
            <w:tcW w:w="3839" w:type="dxa"/>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sz w:val="28"/>
                <w:szCs w:val="28"/>
                <w:vertAlign w:val="baseline"/>
                <w:lang w:val="en-US" w:eastAsia="zh-CN"/>
              </w:rPr>
            </w:pPr>
            <w:r>
              <w:rPr>
                <w:rFonts w:hint="eastAsia"/>
                <w:sz w:val="28"/>
                <w:szCs w:val="28"/>
                <w:vertAlign w:val="baseline"/>
                <w:lang w:val="en-US" w:eastAsia="zh-CN"/>
              </w:rPr>
              <w:t>原文表述已包含“</w:t>
            </w:r>
            <w:r>
              <w:rPr>
                <w:rFonts w:hint="default"/>
                <w:sz w:val="28"/>
                <w:szCs w:val="28"/>
                <w:vertAlign w:val="baseline"/>
                <w:lang w:val="zh-CN" w:eastAsia="zh-CN"/>
              </w:rPr>
              <w:t>鼓励开展无人商业运营探索</w:t>
            </w:r>
            <w:r>
              <w:rPr>
                <w:rFonts w:hint="eastAsia"/>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4</w:t>
            </w:r>
          </w:p>
        </w:tc>
        <w:tc>
          <w:tcPr>
            <w:tcW w:w="38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个人</w:t>
            </w: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b w:val="0"/>
                <w:bCs w:val="0"/>
                <w:sz w:val="28"/>
                <w:szCs w:val="28"/>
                <w:vertAlign w:val="baseline"/>
                <w:lang w:val="en-US" w:eastAsia="zh-CN"/>
              </w:rPr>
              <w:t>建议在第七条搭建公共服务平台，增加“高精地图应用试点”相关支持政策。</w:t>
            </w:r>
            <w:r>
              <w:rPr>
                <w:rFonts w:hint="eastAsia"/>
                <w:sz w:val="28"/>
                <w:szCs w:val="28"/>
                <w:vertAlign w:val="baseline"/>
                <w:lang w:val="en-US" w:eastAsia="zh-CN"/>
              </w:rPr>
              <w:t>建议增加“高精地图应用试点”相关支持政策。具体内容为“支持企业在政府部门开放的高精度地图应用试点范围内开展高精度地图业务，探索地图众包等新型模式，探索高精度地图数据安全保密新技术，开展地方标准体系研究。按参与主体项目研发投入的40%予以最高不超过1500万元资助”。</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sz w:val="28"/>
                <w:szCs w:val="28"/>
                <w:vertAlign w:val="baseline"/>
                <w:lang w:val="en-US" w:eastAsia="zh-CN"/>
              </w:rPr>
            </w:pPr>
            <w:r>
              <w:rPr>
                <w:rFonts w:hint="eastAsia"/>
                <w:sz w:val="28"/>
                <w:szCs w:val="28"/>
                <w:vertAlign w:val="baseline"/>
                <w:lang w:val="en-US" w:eastAsia="zh-CN"/>
              </w:rPr>
              <w:t>搭建</w:t>
            </w:r>
            <w:r>
              <w:rPr>
                <w:rFonts w:hint="default"/>
                <w:sz w:val="28"/>
                <w:szCs w:val="28"/>
                <w:vertAlign w:val="baseline"/>
                <w:lang w:val="en-US" w:eastAsia="zh-CN"/>
              </w:rPr>
              <w:t>公共服务平台</w:t>
            </w:r>
            <w:r>
              <w:rPr>
                <w:rFonts w:hint="eastAsia"/>
                <w:sz w:val="28"/>
                <w:szCs w:val="28"/>
                <w:vertAlign w:val="baseline"/>
                <w:lang w:val="en-US" w:eastAsia="zh-CN"/>
              </w:rPr>
              <w:t>中已包含“高精度地图”内容，具体扶持标准按我市相关依据文件设置。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5</w:t>
            </w:r>
          </w:p>
        </w:tc>
        <w:tc>
          <w:tcPr>
            <w:tcW w:w="38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b w:val="0"/>
                <w:bCs w:val="0"/>
                <w:sz w:val="28"/>
                <w:szCs w:val="28"/>
                <w:vertAlign w:val="baseline"/>
                <w:lang w:val="en-US" w:eastAsia="zh-CN"/>
              </w:rPr>
              <w:t>建议第九条鼓励开展道路测试，增加道路测试支持政策涉及范围。</w:t>
            </w:r>
            <w:r>
              <w:rPr>
                <w:rFonts w:hint="eastAsia"/>
                <w:sz w:val="28"/>
                <w:szCs w:val="28"/>
                <w:vertAlign w:val="baseline"/>
                <w:lang w:val="en-US" w:eastAsia="zh-CN"/>
              </w:rPr>
              <w:t>目前，深圳开放的智能网联测试道路覆盖福田、南山、盐田、宝安、光明、龙华、龙岗、坪山、大鹏9个行政区域。第九条规定只有在“参与深圳坪山智能网联交通测试区测试并获得深圳智能网联汽车道路测试或示范应用等资格的主体，减收至少20%的测试费用”，建议将此范围增加至所有开放道路测试的行政区域。</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sz w:val="28"/>
                <w:szCs w:val="28"/>
                <w:vertAlign w:val="baseline"/>
                <w:lang w:val="en-US" w:eastAsia="zh-CN"/>
              </w:rPr>
            </w:pPr>
            <w:r>
              <w:rPr>
                <w:rFonts w:hint="eastAsia"/>
                <w:sz w:val="28"/>
                <w:szCs w:val="28"/>
                <w:vertAlign w:val="baseline"/>
                <w:lang w:val="en-US" w:eastAsia="zh-CN"/>
              </w:rPr>
              <w:t>坪山深圳智能网联交通测试示范平台是我市唯一智能网联汽车测试场，该条措施针对在该测试场的测试费用优惠，包括全市参与测试主体。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6</w:t>
            </w:r>
          </w:p>
        </w:tc>
        <w:tc>
          <w:tcPr>
            <w:tcW w:w="38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b w:val="0"/>
                <w:bCs w:val="0"/>
                <w:sz w:val="28"/>
                <w:szCs w:val="28"/>
                <w:vertAlign w:val="baseline"/>
                <w:lang w:val="en-US" w:eastAsia="zh-CN"/>
              </w:rPr>
              <w:t>建议第十二条完善基础设施服务，增加对参与企业的资助政策。</w:t>
            </w:r>
            <w:r>
              <w:rPr>
                <w:rFonts w:hint="eastAsia"/>
                <w:sz w:val="28"/>
                <w:szCs w:val="28"/>
                <w:vertAlign w:val="baseline"/>
                <w:lang w:val="en-US" w:eastAsia="zh-CN"/>
              </w:rPr>
              <w:t>建议将企业纳入基础设施服务主体，具体内容为“支持跨领域合作组建新型市场主体，探索智能基础设施投资、建设、运营机制。支持企业等主体参与测试区交通管理及信息发布系统智能化升级，开展智能路侧设备规模化、车用无线通信网络建设，参与主体项目研发投入的40%予以最高不超过1500万元资助”。</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sz w:val="28"/>
                <w:szCs w:val="28"/>
                <w:vertAlign w:val="baseline"/>
                <w:lang w:val="en-US" w:eastAsia="zh-CN"/>
              </w:rPr>
            </w:pPr>
            <w:r>
              <w:rPr>
                <w:rFonts w:hint="eastAsia"/>
                <w:sz w:val="28"/>
                <w:szCs w:val="28"/>
                <w:vertAlign w:val="baseline"/>
                <w:lang w:val="en-US" w:eastAsia="zh-CN"/>
              </w:rPr>
              <w:t>鼓励企业参与智能网联汽车基础设施建设，对企业相关产品在关键技术攻关、产业化等环节已有对应的支持措施。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7</w:t>
            </w:r>
          </w:p>
        </w:tc>
        <w:tc>
          <w:tcPr>
            <w:tcW w:w="38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个人</w:t>
            </w: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default"/>
                <w:sz w:val="28"/>
                <w:szCs w:val="28"/>
                <w:vertAlign w:val="baseline"/>
                <w:lang w:val="en-US" w:eastAsia="zh-CN"/>
              </w:rPr>
              <w:t>《征求意见稿》中第二部分（推动关键技术攻关）、第七部分（搭建公共服务平台）内容，可重点参考附件《产业基础创新发展目录（2021年版）》（以下简称“目录”，详见附件）中第26页列出的智能网联汽车领域关键基础产品和技术清单。</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采纳</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sz w:val="28"/>
                <w:szCs w:val="28"/>
                <w:vertAlign w:val="baseline"/>
                <w:lang w:val="en-US" w:eastAsia="zh-CN"/>
              </w:rPr>
            </w:pPr>
            <w:r>
              <w:rPr>
                <w:rFonts w:hint="eastAsia"/>
                <w:sz w:val="28"/>
                <w:szCs w:val="28"/>
                <w:vertAlign w:val="baseline"/>
                <w:lang w:val="en-US" w:eastAsia="zh-CN"/>
              </w:rPr>
              <w:t>已吸纳修改。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 w:hRule="atLeast"/>
        </w:trPr>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8</w:t>
            </w:r>
          </w:p>
        </w:tc>
        <w:tc>
          <w:tcPr>
            <w:tcW w:w="38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个人</w:t>
            </w: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b w:val="0"/>
                <w:bCs w:val="0"/>
                <w:sz w:val="28"/>
                <w:szCs w:val="28"/>
                <w:vertAlign w:val="baseline"/>
                <w:lang w:val="en-US" w:eastAsia="zh-CN"/>
              </w:rPr>
              <w:t>建议</w:t>
            </w:r>
            <w:r>
              <w:rPr>
                <w:rFonts w:hint="eastAsia"/>
                <w:sz w:val="28"/>
                <w:szCs w:val="28"/>
                <w:vertAlign w:val="baseline"/>
                <w:lang w:val="en-US" w:eastAsia="zh-CN"/>
              </w:rPr>
              <w:t>前言第二段中明确措施适用主体，增加“已于全国范围内/深圳市本地”登记注册的限定词。</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sz w:val="28"/>
                <w:szCs w:val="28"/>
                <w:vertAlign w:val="baseline"/>
                <w:lang w:val="en-US" w:eastAsia="zh-CN"/>
              </w:rPr>
              <w:t>已明确适用主体具备独立法人资格。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9</w:t>
            </w:r>
          </w:p>
        </w:tc>
        <w:tc>
          <w:tcPr>
            <w:tcW w:w="38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b w:val="0"/>
                <w:bCs w:val="0"/>
                <w:sz w:val="28"/>
                <w:szCs w:val="28"/>
                <w:vertAlign w:val="baseline"/>
                <w:lang w:val="en-US" w:eastAsia="zh-CN"/>
              </w:rPr>
              <w:t>建议</w:t>
            </w:r>
            <w:r>
              <w:rPr>
                <w:rFonts w:hint="default"/>
                <w:sz w:val="28"/>
                <w:szCs w:val="28"/>
                <w:vertAlign w:val="baseline"/>
                <w:lang w:val="en-US" w:eastAsia="zh-CN"/>
              </w:rPr>
              <w:t>第一章第四条</w:t>
            </w:r>
            <w:r>
              <w:rPr>
                <w:rFonts w:hint="eastAsia"/>
                <w:sz w:val="28"/>
                <w:szCs w:val="28"/>
                <w:vertAlign w:val="baseline"/>
                <w:lang w:val="en-US" w:eastAsia="zh-CN"/>
              </w:rPr>
              <w:t>加大产业化力度，</w:t>
            </w:r>
            <w:r>
              <w:rPr>
                <w:rFonts w:hint="default"/>
                <w:sz w:val="28"/>
                <w:szCs w:val="28"/>
                <w:vertAlign w:val="baseline"/>
                <w:lang w:val="en-US" w:eastAsia="zh-CN"/>
              </w:rPr>
              <w:t>就“符合条件的产业化项目”中“产业化”的标准和依据可以参考规模程度、收益及毛利率等因素进行明确规定。</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sz w:val="28"/>
                <w:szCs w:val="28"/>
                <w:vertAlign w:val="baseline"/>
                <w:lang w:val="en-US" w:eastAsia="zh-CN"/>
              </w:rPr>
            </w:pPr>
            <w:r>
              <w:rPr>
                <w:rFonts w:hint="eastAsia"/>
                <w:sz w:val="28"/>
                <w:szCs w:val="28"/>
                <w:vertAlign w:val="baseline"/>
                <w:lang w:val="en-US" w:eastAsia="zh-CN"/>
              </w:rPr>
              <w:t>对符合条件的产业化项目的评估在评审阶段有详细的指标要求，不在本措施中体现。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10</w:t>
            </w:r>
          </w:p>
        </w:tc>
        <w:tc>
          <w:tcPr>
            <w:tcW w:w="38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b w:val="0"/>
                <w:bCs w:val="0"/>
                <w:sz w:val="28"/>
                <w:szCs w:val="28"/>
                <w:vertAlign w:val="baseline"/>
                <w:lang w:val="en-US" w:eastAsia="zh-CN"/>
              </w:rPr>
              <w:t>建议</w:t>
            </w:r>
            <w:r>
              <w:rPr>
                <w:rFonts w:hint="default"/>
                <w:sz w:val="28"/>
                <w:szCs w:val="28"/>
                <w:vertAlign w:val="baseline"/>
                <w:lang w:val="en-US" w:eastAsia="zh-CN"/>
              </w:rPr>
              <w:t>第四章第十四条</w:t>
            </w:r>
            <w:r>
              <w:rPr>
                <w:rFonts w:hint="eastAsia"/>
                <w:sz w:val="28"/>
                <w:szCs w:val="28"/>
                <w:vertAlign w:val="baseline"/>
                <w:lang w:val="en-US" w:eastAsia="zh-CN"/>
              </w:rPr>
              <w:t>加强行业交流合作，</w:t>
            </w:r>
            <w:r>
              <w:rPr>
                <w:rFonts w:hint="default"/>
                <w:sz w:val="28"/>
                <w:szCs w:val="28"/>
                <w:vertAlign w:val="baseline"/>
                <w:lang w:val="en-US" w:eastAsia="zh-CN"/>
              </w:rPr>
              <w:t>就“按项目择优予以最高不超过500万元资助”中明确优秀项目的选拔、评定标准及评优比例。</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sz w:val="28"/>
                <w:szCs w:val="28"/>
                <w:vertAlign w:val="baseline"/>
                <w:lang w:val="en-US" w:eastAsia="zh-CN"/>
              </w:rPr>
            </w:pPr>
            <w:r>
              <w:rPr>
                <w:rFonts w:hint="eastAsia"/>
                <w:sz w:val="28"/>
                <w:szCs w:val="28"/>
                <w:vertAlign w:val="baseline"/>
                <w:lang w:val="en-US" w:eastAsia="zh-CN"/>
              </w:rPr>
              <w:t>项</w:t>
            </w:r>
            <w:bookmarkStart w:id="0" w:name="_GoBack"/>
            <w:bookmarkEnd w:id="0"/>
            <w:r>
              <w:rPr>
                <w:rFonts w:hint="eastAsia"/>
                <w:sz w:val="28"/>
                <w:szCs w:val="28"/>
                <w:vertAlign w:val="baseline"/>
                <w:lang w:val="en-US" w:eastAsia="zh-CN"/>
              </w:rPr>
              <w:t>目的</w:t>
            </w:r>
            <w:r>
              <w:rPr>
                <w:rFonts w:hint="default"/>
                <w:sz w:val="28"/>
                <w:szCs w:val="28"/>
                <w:vertAlign w:val="baseline"/>
                <w:lang w:val="en-US" w:eastAsia="zh-CN"/>
              </w:rPr>
              <w:t>选拔、评定标准</w:t>
            </w:r>
            <w:r>
              <w:rPr>
                <w:rFonts w:hint="eastAsia"/>
                <w:sz w:val="28"/>
                <w:szCs w:val="28"/>
                <w:vertAlign w:val="baseline"/>
                <w:lang w:val="en-US" w:eastAsia="zh-CN"/>
              </w:rPr>
              <w:t>在评审阶段有具体要求。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11</w:t>
            </w:r>
          </w:p>
        </w:tc>
        <w:tc>
          <w:tcPr>
            <w:tcW w:w="385" w:type="pct"/>
            <w:vMerge w:val="restar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r>
              <w:rPr>
                <w:rFonts w:hint="eastAsia"/>
                <w:sz w:val="28"/>
                <w:szCs w:val="28"/>
                <w:vertAlign w:val="baseline"/>
                <w:lang w:val="en-US" w:eastAsia="zh-CN"/>
              </w:rPr>
              <w:t>个人</w:t>
            </w: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建议</w:t>
            </w:r>
            <w:r>
              <w:rPr>
                <w:rFonts w:hint="eastAsia"/>
                <w:sz w:val="28"/>
                <w:szCs w:val="28"/>
                <w:vertAlign w:val="baseline"/>
                <w:lang w:val="en-US" w:eastAsia="zh-CN"/>
              </w:rPr>
              <w:t>第（二）条关键技术攻关的“高精度定位”改为“北斗高精度定位”。理由是北斗高精度定位属于国产自研，建议优先支持。</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sz w:val="28"/>
                <w:szCs w:val="28"/>
                <w:vertAlign w:val="baseline"/>
                <w:lang w:val="en-US" w:eastAsia="zh-CN"/>
              </w:rPr>
              <w:t>高精度定位已包含“北斗高精度定位”。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12</w:t>
            </w:r>
          </w:p>
        </w:tc>
        <w:tc>
          <w:tcPr>
            <w:tcW w:w="38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建议</w:t>
            </w:r>
            <w:r>
              <w:rPr>
                <w:rFonts w:hint="eastAsia"/>
                <w:sz w:val="28"/>
                <w:szCs w:val="28"/>
                <w:vertAlign w:val="baseline"/>
                <w:lang w:val="en-US" w:eastAsia="zh-CN"/>
              </w:rPr>
              <w:t>第（七）条公共服务平台增加一个“智能网联运营平台”。</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sz w:val="28"/>
                <w:szCs w:val="28"/>
                <w:vertAlign w:val="baseline"/>
                <w:lang w:val="en-US" w:eastAsia="zh-CN"/>
              </w:rPr>
            </w:pPr>
            <w:r>
              <w:rPr>
                <w:rFonts w:hint="eastAsia"/>
                <w:sz w:val="28"/>
                <w:szCs w:val="28"/>
                <w:vertAlign w:val="baseline"/>
                <w:lang w:val="en-US" w:eastAsia="zh-CN"/>
              </w:rPr>
              <w:t>运营平台不属于产业公共服务平台范畴。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13</w:t>
            </w:r>
          </w:p>
        </w:tc>
        <w:tc>
          <w:tcPr>
            <w:tcW w:w="385" w:type="pct"/>
            <w:vMerge w:val="continue"/>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sz w:val="28"/>
                <w:szCs w:val="28"/>
                <w:vertAlign w:val="baseline"/>
                <w:lang w:val="en-US" w:eastAsia="zh-CN"/>
              </w:rPr>
            </w:pPr>
          </w:p>
        </w:tc>
        <w:tc>
          <w:tcPr>
            <w:tcW w:w="2503"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b w:val="0"/>
                <w:bCs w:val="0"/>
                <w:sz w:val="28"/>
                <w:szCs w:val="28"/>
                <w:vertAlign w:val="baseline"/>
                <w:lang w:val="en-US" w:eastAsia="zh-CN"/>
              </w:rPr>
            </w:pPr>
            <w:r>
              <w:rPr>
                <w:rFonts w:hint="eastAsia"/>
                <w:b w:val="0"/>
                <w:bCs w:val="0"/>
                <w:sz w:val="28"/>
                <w:szCs w:val="28"/>
                <w:vertAlign w:val="baseline"/>
                <w:lang w:val="en-US" w:eastAsia="zh-CN"/>
              </w:rPr>
              <w:t>建议</w:t>
            </w:r>
            <w:r>
              <w:rPr>
                <w:rFonts w:hint="eastAsia"/>
                <w:sz w:val="28"/>
                <w:szCs w:val="28"/>
                <w:vertAlign w:val="baseline"/>
                <w:lang w:val="en-US" w:eastAsia="zh-CN"/>
              </w:rPr>
              <w:t>第（十二）条完善基础配套环境中增加“5G基站”等设备。</w:t>
            </w:r>
          </w:p>
        </w:tc>
        <w:tc>
          <w:tcPr>
            <w:tcW w:w="528"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center"/>
              <w:textAlignment w:val="auto"/>
              <w:rPr>
                <w:rFonts w:hint="default"/>
                <w:sz w:val="28"/>
                <w:szCs w:val="28"/>
                <w:vertAlign w:val="baseline"/>
                <w:lang w:val="en-US" w:eastAsia="zh-CN"/>
              </w:rPr>
            </w:pPr>
            <w:r>
              <w:rPr>
                <w:rFonts w:hint="eastAsia"/>
                <w:sz w:val="28"/>
                <w:szCs w:val="28"/>
                <w:vertAlign w:val="baseline"/>
                <w:lang w:val="en-US" w:eastAsia="zh-CN"/>
              </w:rPr>
              <w:t>解释说明</w:t>
            </w:r>
          </w:p>
        </w:tc>
        <w:tc>
          <w:tcPr>
            <w:tcW w:w="1355" w:type="pct"/>
            <w:vAlign w:val="center"/>
          </w:tcPr>
          <w:p>
            <w:pPr>
              <w:keepNext w:val="0"/>
              <w:keepLines w:val="0"/>
              <w:pageBreakBefore w:val="0"/>
              <w:kinsoku/>
              <w:wordWrap/>
              <w:overflowPunct/>
              <w:topLinePunct w:val="0"/>
              <w:autoSpaceDE/>
              <w:autoSpaceDN/>
              <w:bidi w:val="0"/>
              <w:adjustRightInd/>
              <w:snapToGrid w:val="0"/>
              <w:spacing w:line="240" w:lineRule="auto"/>
              <w:ind w:left="0" w:leftChars="0" w:firstLine="0" w:firstLineChars="0"/>
              <w:jc w:val="both"/>
              <w:textAlignment w:val="auto"/>
              <w:rPr>
                <w:rFonts w:hint="default" w:eastAsia="宋体"/>
                <w:sz w:val="28"/>
                <w:szCs w:val="28"/>
                <w:vertAlign w:val="baseline"/>
                <w:lang w:val="en-US" w:eastAsia="zh-CN"/>
              </w:rPr>
            </w:pPr>
            <w:r>
              <w:rPr>
                <w:rFonts w:hint="eastAsia"/>
                <w:sz w:val="28"/>
                <w:szCs w:val="28"/>
                <w:vertAlign w:val="baseline"/>
                <w:lang w:val="en-US" w:eastAsia="zh-CN"/>
              </w:rPr>
              <w:t>5G基站属网络与通信产业集群内容，为避免重复，在本措施不再体现。</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MzM2OTkwNDViMmYwY2ZiZGIyMzkzZDUzNTdlMmUifQ=="/>
  </w:docVars>
  <w:rsids>
    <w:rsidRoot w:val="00172A27"/>
    <w:rsid w:val="04366E72"/>
    <w:rsid w:val="063E5612"/>
    <w:rsid w:val="08626C5A"/>
    <w:rsid w:val="08CF2152"/>
    <w:rsid w:val="0B261C51"/>
    <w:rsid w:val="0D2D5CD7"/>
    <w:rsid w:val="10D26947"/>
    <w:rsid w:val="134011BE"/>
    <w:rsid w:val="15B53438"/>
    <w:rsid w:val="1AEC0C3B"/>
    <w:rsid w:val="21C127EB"/>
    <w:rsid w:val="24C14EEA"/>
    <w:rsid w:val="25AE1C46"/>
    <w:rsid w:val="26264560"/>
    <w:rsid w:val="2ABA5B76"/>
    <w:rsid w:val="2E7776AB"/>
    <w:rsid w:val="350A0CE2"/>
    <w:rsid w:val="366A124C"/>
    <w:rsid w:val="37F13640"/>
    <w:rsid w:val="3EF7BB12"/>
    <w:rsid w:val="46093888"/>
    <w:rsid w:val="47B652B1"/>
    <w:rsid w:val="494938EB"/>
    <w:rsid w:val="4AFF4AF3"/>
    <w:rsid w:val="4F7B6CB8"/>
    <w:rsid w:val="51D6428E"/>
    <w:rsid w:val="56660156"/>
    <w:rsid w:val="5BE03293"/>
    <w:rsid w:val="5C433901"/>
    <w:rsid w:val="5E475C6B"/>
    <w:rsid w:val="6404025C"/>
    <w:rsid w:val="66703465"/>
    <w:rsid w:val="6760172C"/>
    <w:rsid w:val="6E626484"/>
    <w:rsid w:val="6E9A449E"/>
    <w:rsid w:val="6FF3CF64"/>
    <w:rsid w:val="71935CBA"/>
    <w:rsid w:val="735D972E"/>
    <w:rsid w:val="747A415B"/>
    <w:rsid w:val="74A60BEE"/>
    <w:rsid w:val="77DFDABC"/>
    <w:rsid w:val="79CD5581"/>
    <w:rsid w:val="7A6E2B6E"/>
    <w:rsid w:val="7DFA2072"/>
    <w:rsid w:val="7EC10E0D"/>
    <w:rsid w:val="7FA93818"/>
    <w:rsid w:val="966BC16D"/>
    <w:rsid w:val="B9CDCE5F"/>
    <w:rsid w:val="D8BFB6D8"/>
    <w:rsid w:val="F7AD62AC"/>
    <w:rsid w:val="FD519084"/>
    <w:rsid w:val="FFA7F705"/>
    <w:rsid w:val="FFF59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80" w:lineRule="exact"/>
      <w:ind w:firstLine="640" w:firstLineChars="200"/>
      <w:jc w:val="both"/>
    </w:pPr>
    <w:rPr>
      <w:rFonts w:ascii="仿宋_GB2312" w:hAnsi="仿宋_GB2312" w:eastAsia="仿宋_GB2312"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1707</Words>
  <Characters>1743</Characters>
  <Lines>0</Lines>
  <Paragraphs>0</Paragraphs>
  <TotalTime>24</TotalTime>
  <ScaleCrop>false</ScaleCrop>
  <LinksUpToDate>false</LinksUpToDate>
  <CharactersWithSpaces>1744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2022-11-08T17:49:00Z</dcterms:created>
  <dc:creator>Derek</dc:creator>
  <cp:lastModifiedBy>梁继允</cp:lastModifiedBy>
  <cp:lastPrinted>2022-11-19T18:17:00Z</cp:lastPrinted>
  <dcterms:modified xsi:type="dcterms:W3CDTF">2022-11-21T01:51:50Z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09A85F33B01A4637BA6A229EEF1C89D5</vt:lpwstr>
  </property>
</Properties>
</file>