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sz w:val="36"/>
          <w:szCs w:val="32"/>
          <w:highlight w:val="none"/>
        </w:rPr>
      </w:pPr>
      <w:bookmarkStart w:id="1" w:name="_GoBack"/>
    </w:p>
    <w:p>
      <w:pPr>
        <w:jc w:val="center"/>
        <w:rPr>
          <w:rFonts w:hint="eastAsia" w:ascii="宋体" w:hAnsi="宋体" w:eastAsia="宋体" w:cs="Times New Roman"/>
          <w:b/>
          <w:sz w:val="36"/>
          <w:szCs w:val="32"/>
          <w:highlight w:val="none"/>
        </w:rPr>
      </w:pPr>
      <w:r>
        <w:rPr>
          <w:rFonts w:hint="eastAsia" w:ascii="宋体" w:hAnsi="宋体" w:eastAsia="宋体" w:cs="Arial"/>
          <w:b/>
          <w:bCs/>
          <w:sz w:val="36"/>
          <w:szCs w:val="36"/>
          <w:highlight w:val="none"/>
        </w:rPr>
        <w:t>转化医学领域重大科技基础设施项目谋划预研</w:t>
      </w:r>
    </w:p>
    <w:p>
      <w:pPr>
        <w:jc w:val="center"/>
        <w:rPr>
          <w:rFonts w:hint="eastAsia" w:ascii="黑体" w:hAnsi="黑体" w:eastAsia="黑体" w:cs="Times New Roman"/>
          <w:sz w:val="96"/>
          <w:szCs w:val="32"/>
          <w:highlight w:val="none"/>
        </w:rPr>
      </w:pPr>
    </w:p>
    <w:p>
      <w:pPr>
        <w:jc w:val="center"/>
        <w:rPr>
          <w:rFonts w:hint="eastAsia" w:ascii="黑体" w:hAnsi="黑体" w:eastAsia="黑体" w:cs="Times New Roman"/>
          <w:sz w:val="96"/>
          <w:szCs w:val="32"/>
          <w:highlight w:val="none"/>
        </w:rPr>
      </w:pPr>
      <w:r>
        <w:rPr>
          <w:rFonts w:hint="eastAsia" w:ascii="黑体" w:hAnsi="黑体" w:eastAsia="黑体" w:cs="Times New Roman"/>
          <w:sz w:val="96"/>
          <w:szCs w:val="32"/>
          <w:highlight w:val="none"/>
        </w:rPr>
        <w:t>招</w:t>
      </w:r>
    </w:p>
    <w:p>
      <w:pPr>
        <w:jc w:val="center"/>
        <w:rPr>
          <w:rFonts w:hint="eastAsia" w:ascii="黑体" w:hAnsi="黑体" w:eastAsia="黑体" w:cs="Times New Roman"/>
          <w:sz w:val="96"/>
          <w:szCs w:val="32"/>
          <w:highlight w:val="none"/>
        </w:rPr>
      </w:pPr>
    </w:p>
    <w:p>
      <w:pPr>
        <w:jc w:val="center"/>
        <w:rPr>
          <w:rFonts w:hint="eastAsia" w:ascii="黑体" w:hAnsi="黑体" w:eastAsia="黑体" w:cs="Times New Roman"/>
          <w:sz w:val="96"/>
          <w:szCs w:val="32"/>
          <w:highlight w:val="none"/>
        </w:rPr>
      </w:pPr>
      <w:r>
        <w:rPr>
          <w:rFonts w:hint="eastAsia" w:ascii="黑体" w:hAnsi="黑体" w:eastAsia="黑体" w:cs="Times New Roman"/>
          <w:sz w:val="96"/>
          <w:szCs w:val="32"/>
          <w:highlight w:val="none"/>
        </w:rPr>
        <w:t>标</w:t>
      </w:r>
    </w:p>
    <w:p>
      <w:pPr>
        <w:jc w:val="center"/>
        <w:rPr>
          <w:rFonts w:hint="eastAsia" w:ascii="黑体" w:hAnsi="黑体" w:eastAsia="黑体" w:cs="Times New Roman"/>
          <w:sz w:val="96"/>
          <w:szCs w:val="32"/>
          <w:highlight w:val="none"/>
        </w:rPr>
      </w:pPr>
    </w:p>
    <w:p>
      <w:pPr>
        <w:jc w:val="center"/>
        <w:rPr>
          <w:rFonts w:hint="eastAsia" w:ascii="黑体" w:hAnsi="黑体" w:eastAsia="黑体" w:cs="Times New Roman"/>
          <w:sz w:val="96"/>
          <w:szCs w:val="32"/>
          <w:highlight w:val="none"/>
        </w:rPr>
      </w:pPr>
      <w:r>
        <w:rPr>
          <w:rFonts w:hint="eastAsia" w:ascii="黑体" w:hAnsi="黑体" w:eastAsia="黑体" w:cs="Times New Roman"/>
          <w:sz w:val="96"/>
          <w:szCs w:val="32"/>
          <w:highlight w:val="none"/>
        </w:rPr>
        <w:t>书</w:t>
      </w:r>
    </w:p>
    <w:p>
      <w:pPr>
        <w:jc w:val="center"/>
        <w:rPr>
          <w:rFonts w:hint="eastAsia" w:ascii="宋体" w:hAnsi="宋体" w:eastAsia="宋体" w:cs="Times New Roman"/>
          <w:sz w:val="32"/>
          <w:szCs w:val="32"/>
          <w:highlight w:val="none"/>
        </w:rPr>
      </w:pPr>
    </w:p>
    <w:p>
      <w:pPr>
        <w:jc w:val="center"/>
        <w:rPr>
          <w:rFonts w:hint="eastAsia" w:ascii="宋体" w:hAnsi="宋体" w:eastAsia="宋体" w:cs="Times New Roman"/>
          <w:sz w:val="32"/>
          <w:szCs w:val="32"/>
          <w:highlight w:val="none"/>
        </w:rPr>
      </w:pPr>
    </w:p>
    <w:p>
      <w:pPr>
        <w:jc w:val="center"/>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深圳市发展和改革委员会</w:t>
      </w:r>
    </w:p>
    <w:p>
      <w:pPr>
        <w:jc w:val="center"/>
        <w:rPr>
          <w:rFonts w:hint="eastAsia" w:ascii="宋体" w:hAnsi="宋体"/>
          <w:sz w:val="32"/>
          <w:szCs w:val="32"/>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imes New Roman"/>
          <w:sz w:val="32"/>
          <w:szCs w:val="32"/>
          <w:highlight w:val="none"/>
        </w:rPr>
        <w:t>2026年</w:t>
      </w:r>
      <w:r>
        <w:rPr>
          <w:rFonts w:hint="eastAsia" w:ascii="宋体" w:hAnsi="宋体" w:eastAsia="宋体" w:cs="Times New Roman"/>
          <w:sz w:val="32"/>
          <w:szCs w:val="32"/>
          <w:highlight w:val="none"/>
          <w:lang w:val="en-US" w:eastAsia="zh-CN"/>
        </w:rPr>
        <w:t>6</w:t>
      </w:r>
      <w:r>
        <w:rPr>
          <w:rFonts w:hint="eastAsia" w:ascii="宋体" w:hAnsi="宋体" w:eastAsia="宋体" w:cs="Times New Roman"/>
          <w:sz w:val="32"/>
          <w:szCs w:val="32"/>
          <w:highlight w:val="none"/>
        </w:rPr>
        <w:t>月</w:t>
      </w:r>
    </w:p>
    <w:p>
      <w:pPr>
        <w:jc w:val="center"/>
        <w:rPr>
          <w:rFonts w:ascii="Calibri" w:hAnsi="Calibri" w:eastAsia="宋体" w:cs="Times New Roman"/>
          <w:highlight w:val="none"/>
        </w:rPr>
      </w:pPr>
    </w:p>
    <w:p>
      <w:pPr>
        <w:adjustRightInd w:val="0"/>
        <w:snapToGrid w:val="0"/>
        <w:jc w:val="center"/>
        <w:rPr>
          <w:rFonts w:hint="eastAsia" w:ascii="宋体" w:hAnsi="宋体" w:eastAsia="宋体" w:cs="Arial"/>
          <w:b/>
          <w:bCs/>
          <w:sz w:val="44"/>
          <w:szCs w:val="44"/>
          <w:highlight w:val="none"/>
        </w:rPr>
      </w:pPr>
      <w:bookmarkStart w:id="0" w:name="OLE_LINK10"/>
      <w:r>
        <w:rPr>
          <w:rFonts w:hint="eastAsia" w:ascii="宋体" w:hAnsi="宋体" w:eastAsia="宋体" w:cs="Arial"/>
          <w:b/>
          <w:bCs/>
          <w:sz w:val="44"/>
          <w:szCs w:val="44"/>
          <w:highlight w:val="none"/>
        </w:rPr>
        <w:t>转化医学领域重大科技基础设施</w:t>
      </w:r>
    </w:p>
    <w:p>
      <w:pPr>
        <w:adjustRightInd w:val="0"/>
        <w:snapToGrid w:val="0"/>
        <w:jc w:val="center"/>
        <w:rPr>
          <w:rFonts w:hint="eastAsia" w:ascii="宋体" w:hAnsi="宋体" w:eastAsia="宋体" w:cs="Arial"/>
          <w:b/>
          <w:bCs/>
          <w:sz w:val="44"/>
          <w:szCs w:val="44"/>
          <w:highlight w:val="none"/>
        </w:rPr>
      </w:pPr>
      <w:r>
        <w:rPr>
          <w:rFonts w:hint="eastAsia" w:ascii="宋体" w:hAnsi="宋体" w:eastAsia="宋体" w:cs="Arial"/>
          <w:b/>
          <w:bCs/>
          <w:sz w:val="44"/>
          <w:szCs w:val="44"/>
          <w:highlight w:val="none"/>
        </w:rPr>
        <w:t>项目谋划预研招标书</w:t>
      </w:r>
    </w:p>
    <w:bookmarkEnd w:id="0"/>
    <w:p>
      <w:pPr>
        <w:spacing w:line="560" w:lineRule="exact"/>
        <w:ind w:firstLine="642" w:firstLineChars="200"/>
        <w:outlineLvl w:val="0"/>
        <w:rPr>
          <w:rFonts w:hint="eastAsia" w:ascii="黑体" w:hAnsi="黑体" w:eastAsia="黑体" w:cs="Times New Roman"/>
          <w:b/>
          <w:bCs/>
          <w:sz w:val="32"/>
          <w:szCs w:val="32"/>
          <w:highlight w:val="none"/>
        </w:rPr>
      </w:pP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一、项目概况</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（一）项目名称：转化医学领域重大科技基础设施项目谋划预研。</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（二）服务期限：自合同签订之日起</w:t>
      </w:r>
      <w:r>
        <w:rPr>
          <w:rFonts w:hint="eastAsia" w:ascii="仿宋_GB2312" w:hAnsi="Times New Roman" w:eastAsia="仿宋_GB2312" w:cs="Times New Roman"/>
          <w:bCs/>
          <w:sz w:val="32"/>
          <w:szCs w:val="32"/>
          <w:highlight w:val="none"/>
        </w:rPr>
        <w:t>6</w:t>
      </w:r>
      <w:r>
        <w:rPr>
          <w:rFonts w:hint="eastAsia" w:ascii="仿宋_GB2312" w:hAnsi="仿宋" w:eastAsia="仿宋_GB2312" w:cs="仿宋_GB2312"/>
          <w:sz w:val="32"/>
          <w:szCs w:val="32"/>
          <w:highlight w:val="none"/>
        </w:rPr>
        <w:t>个月。</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（三）项目预算：预算金额74.1万元以下。</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二、项目内容</w:t>
      </w:r>
    </w:p>
    <w:p>
      <w:pPr>
        <w:adjustRightInd w:val="0"/>
        <w:snapToGrid w:val="0"/>
        <w:spacing w:line="560" w:lineRule="exact"/>
        <w:ind w:firstLine="640" w:firstLineChars="200"/>
        <w:outlineLvl w:val="0"/>
        <w:rPr>
          <w:rFonts w:hint="eastAsia"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一）梳理国内外转化医学平台建设经验。分析美国国立转化科学促进中心、北京国家转化医学研究中心等知名机构或设施的运行情况、服务能力与发展挑战，调研北京、上海等城市转化医学设施支撑产业发展实践，厘清深圳转化医学设施战略定位与差异化发展路径。</w:t>
      </w:r>
    </w:p>
    <w:p>
      <w:pPr>
        <w:adjustRightInd w:val="0"/>
        <w:snapToGrid w:val="0"/>
        <w:spacing w:line="560" w:lineRule="exact"/>
        <w:ind w:firstLine="640" w:firstLineChars="200"/>
        <w:outlineLvl w:val="0"/>
        <w:rPr>
          <w:rFonts w:hint="eastAsia"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二）剖析深圳转化医学发展堵点与建设需求。深入我市医疗机构、科研院所及企业，梳理转化医学领域基础研究到临床应用全环节痛点，明确“临床前评价-临床试验-中试生产-监管科学”全链条建设需求，结合深圳已有三甲医院临床资源，研究面向关键瓶颈环节的重大科技基础设施及前沿交叉平台布局方案，推动产学研医需求精准对接。</w:t>
      </w:r>
    </w:p>
    <w:p>
      <w:pPr>
        <w:adjustRightInd w:val="0"/>
        <w:snapToGrid w:val="0"/>
        <w:spacing w:line="560" w:lineRule="exact"/>
        <w:ind w:firstLine="640" w:firstLineChars="200"/>
        <w:outlineLvl w:val="0"/>
        <w:rPr>
          <w:rFonts w:hint="eastAsia" w:ascii="仿宋_GB2312" w:hAnsi="仿宋_GB2312" w:eastAsia="仿宋_GB2312" w:cs="Times New Roman"/>
          <w:sz w:val="32"/>
          <w:szCs w:val="32"/>
          <w:highlight w:val="none"/>
        </w:rPr>
      </w:pPr>
      <w:r>
        <w:rPr>
          <w:rFonts w:hint="eastAsia" w:ascii="仿宋_GB2312" w:hAnsi="仿宋_GB2312" w:eastAsia="仿宋_GB2312" w:cs="Times New Roman"/>
          <w:sz w:val="32"/>
          <w:szCs w:val="32"/>
          <w:highlight w:val="none"/>
        </w:rPr>
        <w:t>（三）谋划转化医学领域重大项目。紧扣大湾区大健康、生物医药产业需求及国家重大战略，衔接粤港澳大湾区国际科技创新中心资源，谋划可落地的转化医学重大科技基础设施项目，以及高端医疗装备转化、重大疾病防治等方向创新平台项目。</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三、项目实施要求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（一）项目成果应遵循国家颁布的有关</w:t>
      </w:r>
      <w:r>
        <w:rPr>
          <w:rFonts w:hint="eastAsia" w:ascii="仿宋_GB2312" w:hAnsi="Times New Roman" w:eastAsia="仿宋_GB2312" w:cs="Times New Roman"/>
          <w:bCs/>
          <w:sz w:val="32"/>
          <w:szCs w:val="32"/>
          <w:highlight w:val="none"/>
          <w:lang w:eastAsia="zh-CN"/>
        </w:rPr>
        <w:t>法律法规</w:t>
      </w:r>
      <w:r>
        <w:rPr>
          <w:rFonts w:hint="eastAsia" w:ascii="仿宋_GB2312" w:hAnsi="Times New Roman" w:eastAsia="仿宋_GB2312" w:cs="Times New Roman"/>
          <w:bCs/>
          <w:sz w:val="32"/>
          <w:szCs w:val="32"/>
          <w:highlight w:val="none"/>
        </w:rPr>
        <w:t>及政策要求，符合相关的技术规范和标准。</w:t>
      </w:r>
    </w:p>
    <w:p>
      <w:pPr>
        <w:spacing w:line="560" w:lineRule="exact"/>
        <w:ind w:firstLine="640" w:firstLineChars="200"/>
        <w:outlineLvl w:val="2"/>
        <w:rPr>
          <w:rFonts w:ascii="仿宋_GB2312" w:hAnsi="Times New Roman" w:eastAsia="仿宋_GB2312" w:cs="Times New Roman"/>
          <w:bCs/>
          <w:sz w:val="32"/>
          <w:szCs w:val="32"/>
          <w:highlight w:val="none"/>
        </w:rPr>
      </w:pPr>
      <w:r>
        <w:rPr>
          <w:rFonts w:hint="eastAsia" w:ascii="仿宋_GB2312" w:hAnsi="Times New Roman" w:eastAsia="仿宋_GB2312" w:cs="Times New Roman"/>
          <w:bCs/>
          <w:sz w:val="32"/>
          <w:szCs w:val="32"/>
          <w:highlight w:val="none"/>
        </w:rPr>
        <w:t>（二）研究过程中应当广泛深入开展调查研究，系统梳理国内外先进转化医学平台建设情况，深入我市医疗机构、科研院所及相关企业，系统剖析转化医学领域从基础研究到临床应用各环节存在的堵点痛点，梳理“临床前评价</w:t>
      </w:r>
      <w:r>
        <w:rPr>
          <w:rFonts w:hint="eastAsia" w:ascii="仿宋_GB2312" w:hAnsi="仿宋_GB2312" w:eastAsia="仿宋_GB2312" w:cs="Times New Roman"/>
          <w:sz w:val="32"/>
          <w:szCs w:val="32"/>
          <w:highlight w:val="none"/>
          <w:lang w:eastAsia="zh-CN"/>
        </w:rPr>
        <w:t>—</w:t>
      </w:r>
      <w:r>
        <w:rPr>
          <w:rFonts w:hint="eastAsia" w:ascii="仿宋_GB2312" w:hAnsi="Times New Roman" w:eastAsia="仿宋_GB2312" w:cs="Times New Roman"/>
          <w:bCs/>
          <w:sz w:val="32"/>
          <w:szCs w:val="32"/>
          <w:highlight w:val="none"/>
        </w:rPr>
        <w:t>临床试验</w:t>
      </w:r>
      <w:r>
        <w:rPr>
          <w:rFonts w:hint="eastAsia" w:ascii="仿宋_GB2312" w:hAnsi="仿宋_GB2312" w:eastAsia="仿宋_GB2312" w:cs="Times New Roman"/>
          <w:sz w:val="32"/>
          <w:szCs w:val="32"/>
          <w:highlight w:val="none"/>
          <w:lang w:eastAsia="zh-CN"/>
        </w:rPr>
        <w:t>—</w:t>
      </w:r>
      <w:r>
        <w:rPr>
          <w:rFonts w:hint="eastAsia" w:ascii="仿宋_GB2312" w:hAnsi="Times New Roman" w:eastAsia="仿宋_GB2312" w:cs="Times New Roman"/>
          <w:bCs/>
          <w:sz w:val="32"/>
          <w:szCs w:val="32"/>
          <w:highlight w:val="none"/>
        </w:rPr>
        <w:t>中试生产</w:t>
      </w:r>
      <w:r>
        <w:rPr>
          <w:rFonts w:hint="eastAsia" w:ascii="仿宋_GB2312" w:hAnsi="仿宋_GB2312" w:eastAsia="仿宋_GB2312" w:cs="Times New Roman"/>
          <w:sz w:val="32"/>
          <w:szCs w:val="32"/>
          <w:highlight w:val="none"/>
          <w:lang w:eastAsia="zh-CN"/>
        </w:rPr>
        <w:t>—</w:t>
      </w:r>
      <w:r>
        <w:rPr>
          <w:rFonts w:hint="eastAsia" w:ascii="仿宋_GB2312" w:hAnsi="Times New Roman" w:eastAsia="仿宋_GB2312" w:cs="Times New Roman"/>
          <w:bCs/>
          <w:sz w:val="32"/>
          <w:szCs w:val="32"/>
          <w:highlight w:val="none"/>
        </w:rPr>
        <w:t>监管科学”全链条建设需求。</w:t>
      </w:r>
    </w:p>
    <w:p>
      <w:pPr>
        <w:spacing w:line="560" w:lineRule="exact"/>
        <w:ind w:firstLine="640" w:firstLineChars="200"/>
        <w:outlineLvl w:val="2"/>
        <w:rPr>
          <w:rFonts w:ascii="仿宋_GB2312" w:hAnsi="Times New Roman" w:eastAsia="仿宋_GB2312" w:cs="Times New Roman"/>
          <w:bCs/>
          <w:sz w:val="32"/>
          <w:szCs w:val="32"/>
          <w:highlight w:val="none"/>
        </w:rPr>
      </w:pPr>
      <w:r>
        <w:rPr>
          <w:rFonts w:hint="eastAsia" w:ascii="仿宋_GB2312" w:hAnsi="Times New Roman" w:eastAsia="仿宋_GB2312" w:cs="Times New Roman"/>
          <w:bCs/>
          <w:sz w:val="32"/>
          <w:szCs w:val="32"/>
          <w:highlight w:val="none"/>
        </w:rPr>
        <w:t>（三）研究成果要有前瞻性，立足我市及大湾区生物医药产业创新需求，聚焦转化医学关键瓶颈方向，视野开阔；具有系统性，内容要体系完整、内容全面、材料丰富；研究成果要具有实用性，符合深圳实际，谋划项目针对性和可实施性强。</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四、项目成果交付要求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提交研究成果纸质版</w:t>
      </w:r>
      <w:r>
        <w:rPr>
          <w:rFonts w:hint="eastAsia" w:ascii="仿宋_GB2312" w:hAnsi="Times New Roman" w:eastAsia="仿宋_GB2312" w:cs="Times New Roman"/>
          <w:bCs/>
          <w:sz w:val="32"/>
          <w:szCs w:val="32"/>
          <w:highlight w:val="none"/>
          <w:lang w:val="en-US" w:eastAsia="zh-CN"/>
        </w:rPr>
        <w:t>5</w:t>
      </w:r>
      <w:r>
        <w:rPr>
          <w:rFonts w:hint="eastAsia" w:ascii="仿宋_GB2312" w:hAnsi="Times New Roman" w:eastAsia="仿宋_GB2312" w:cs="Times New Roman"/>
          <w:bCs/>
          <w:sz w:val="32"/>
          <w:szCs w:val="32"/>
          <w:highlight w:val="none"/>
        </w:rPr>
        <w:t>份和电子版，文件能够简明扼要介绍成果核心内容与主要结论，明确项目谋划情况。</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五、投标资格要求</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（一）在中华人民共和国境内注册、具有独立承担民事责任能力的法人。</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（二）投标人必须具备相关经营范围（咨询服务等），具备开展本项目研究的基本条件和研究能力，项目服务团队不少于5人，核心成员应具有较高专业水平和较强综合研究能力、熟悉相关领域情况。</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（三）参加本次政府采购活动前</w:t>
      </w:r>
      <w:r>
        <w:rPr>
          <w:rFonts w:ascii="仿宋_GB2312" w:hAnsi="Times New Roman" w:eastAsia="仿宋_GB2312" w:cs="Times New Roman"/>
          <w:bCs/>
          <w:sz w:val="32"/>
          <w:szCs w:val="32"/>
          <w:highlight w:val="none"/>
        </w:rPr>
        <w:t>3年内在经营活动中没有重大违法记录（提供声明函，格式自拟）。</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六、投标时间、方式及联系人</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（一）投标时间：</w:t>
      </w:r>
      <w:r>
        <w:rPr>
          <w:rFonts w:ascii="仿宋_GB2312" w:hAnsi="Times New Roman" w:eastAsia="仿宋_GB2312" w:cs="Times New Roman"/>
          <w:bCs/>
          <w:sz w:val="32"/>
          <w:szCs w:val="32"/>
          <w:highlight w:val="none"/>
        </w:rPr>
        <w:t>202</w:t>
      </w:r>
      <w:r>
        <w:rPr>
          <w:rFonts w:hint="eastAsia" w:ascii="仿宋_GB2312" w:hAnsi="Times New Roman" w:eastAsia="仿宋_GB2312" w:cs="Times New Roman"/>
          <w:bCs/>
          <w:sz w:val="32"/>
          <w:szCs w:val="32"/>
          <w:highlight w:val="none"/>
        </w:rPr>
        <w:t>6</w:t>
      </w:r>
      <w:r>
        <w:rPr>
          <w:rFonts w:ascii="仿宋_GB2312" w:hAnsi="Times New Roman" w:eastAsia="仿宋_GB2312" w:cs="Times New Roman"/>
          <w:bCs/>
          <w:sz w:val="32"/>
          <w:szCs w:val="32"/>
          <w:highlight w:val="none"/>
        </w:rPr>
        <w:t>年</w:t>
      </w:r>
      <w:r>
        <w:rPr>
          <w:rFonts w:hint="eastAsia" w:ascii="仿宋_GB2312" w:hAnsi="Times New Roman"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rPr>
        <w:t>月</w:t>
      </w:r>
      <w:r>
        <w:rPr>
          <w:rFonts w:hint="eastAsia" w:ascii="仿宋_GB2312" w:hAnsi="Times New Roman" w:eastAsia="仿宋_GB2312" w:cs="Times New Roman"/>
          <w:bCs/>
          <w:sz w:val="32"/>
          <w:szCs w:val="32"/>
          <w:highlight w:val="none"/>
          <w:lang w:val="en-US" w:eastAsia="zh-CN"/>
        </w:rPr>
        <w:t>19</w:t>
      </w:r>
      <w:r>
        <w:rPr>
          <w:rFonts w:hint="eastAsia" w:ascii="仿宋_GB2312" w:hAnsi="Times New Roman" w:eastAsia="仿宋_GB2312" w:cs="Times New Roman"/>
          <w:bCs/>
          <w:sz w:val="32"/>
          <w:szCs w:val="32"/>
          <w:highlight w:val="none"/>
        </w:rPr>
        <w:t>日至</w:t>
      </w:r>
      <w:r>
        <w:rPr>
          <w:rFonts w:hint="eastAsia" w:ascii="仿宋_GB2312" w:hAnsi="Times New Roman"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rPr>
        <w:t>月</w:t>
      </w:r>
      <w:r>
        <w:rPr>
          <w:rFonts w:hint="eastAsia" w:ascii="仿宋_GB2312" w:hAnsi="Times New Roman" w:eastAsia="仿宋_GB2312" w:cs="Times New Roman"/>
          <w:bCs/>
          <w:sz w:val="32"/>
          <w:szCs w:val="32"/>
          <w:highlight w:val="none"/>
          <w:lang w:val="en-US" w:eastAsia="zh-CN"/>
        </w:rPr>
        <w:t>28</w:t>
      </w:r>
      <w:r>
        <w:rPr>
          <w:rFonts w:hint="eastAsia" w:ascii="仿宋_GB2312" w:hAnsi="Times New Roman" w:eastAsia="仿宋_GB2312" w:cs="Times New Roman"/>
          <w:bCs/>
          <w:sz w:val="32"/>
          <w:szCs w:val="32"/>
          <w:highlight w:val="none"/>
        </w:rPr>
        <w:t>日</w:t>
      </w:r>
      <w:r>
        <w:rPr>
          <w:rFonts w:hint="eastAsia" w:ascii="仿宋_GB2312" w:hAnsi="Times New Roman" w:eastAsia="仿宋_GB2312" w:cs="Times New Roman"/>
          <w:bCs/>
          <w:sz w:val="32"/>
          <w:szCs w:val="32"/>
          <w:highlight w:val="none"/>
        </w:rPr>
        <w:t>，每日上午</w:t>
      </w:r>
      <w:r>
        <w:rPr>
          <w:rFonts w:ascii="仿宋_GB2312" w:hAnsi="Times New Roman" w:eastAsia="仿宋_GB2312" w:cs="Times New Roman"/>
          <w:bCs/>
          <w:sz w:val="32"/>
          <w:szCs w:val="32"/>
          <w:highlight w:val="none"/>
        </w:rPr>
        <w:t>9:00-12:00，下午2:00-5:45（节假日除外）。逾期未投标将不再受理。</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（二）投标地点：深圳市福田区福中三路市民中心</w:t>
      </w:r>
      <w:r>
        <w:rPr>
          <w:rFonts w:ascii="仿宋_GB2312" w:hAnsi="Times New Roman" w:eastAsia="仿宋_GB2312" w:cs="Times New Roman"/>
          <w:bCs/>
          <w:sz w:val="32"/>
          <w:szCs w:val="32"/>
          <w:highlight w:val="none"/>
        </w:rPr>
        <w:t>B区行政服务大厅2号市发展和改革委卡座（可邮寄，以送达日期为投标日期）。</w:t>
      </w:r>
    </w:p>
    <w:p>
      <w:pPr>
        <w:spacing w:line="560" w:lineRule="exact"/>
        <w:ind w:firstLine="640" w:firstLineChars="200"/>
        <w:outlineLvl w:val="2"/>
        <w:rPr>
          <w:rFonts w:ascii="仿宋_GB2312" w:hAnsi="Times New Roman" w:eastAsia="仿宋_GB2312" w:cs="Times New Roman"/>
          <w:b/>
          <w:bCs/>
          <w:sz w:val="32"/>
          <w:szCs w:val="32"/>
          <w:highlight w:val="none"/>
        </w:rPr>
      </w:pPr>
      <w:r>
        <w:rPr>
          <w:rFonts w:hint="eastAsia" w:ascii="仿宋_GB2312" w:hAnsi="Times New Roman" w:eastAsia="仿宋_GB2312" w:cs="Times New Roman"/>
          <w:bCs/>
          <w:sz w:val="32"/>
          <w:szCs w:val="32"/>
          <w:highlight w:val="none"/>
        </w:rPr>
        <w:t>（三）联系人：</w:t>
      </w:r>
      <w:r>
        <w:rPr>
          <w:rFonts w:hint="eastAsia" w:ascii="仿宋_GB2312" w:hAnsi="微软雅黑" w:eastAsia="仿宋_GB2312" w:cs="Times New Roman"/>
          <w:color w:val="040404"/>
          <w:sz w:val="32"/>
          <w:szCs w:val="32"/>
          <w:highlight w:val="none"/>
        </w:rPr>
        <w:t>88125842（收件咨询）、88125971（业务咨询）</w:t>
      </w:r>
      <w:r>
        <w:rPr>
          <w:rFonts w:hint="eastAsia" w:ascii="仿宋_GB2312" w:hAnsi="Times New Roman" w:eastAsia="仿宋_GB2312" w:cs="Times New Roman"/>
          <w:bCs/>
          <w:sz w:val="32"/>
          <w:szCs w:val="32"/>
          <w:highlight w:val="none"/>
        </w:rPr>
        <w:t>。</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七、投标文件递交内容</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（一）投标单位简介、投标人营业执照及相关证照（提供加盖公章的复印件，原件备查）。</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（二）法定代表人证明书及授权委托书（原件加盖公章）。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（三）法定代表人及受委托人身份证复印件（复印件加盖公章）。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（四）项目方案及报价单（原件加盖公章）。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（五）投标人相关领域/项目经验证明材料（复印件加盖公章）。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（六）拟安排项目负责人情况（原件加盖公章）。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（七）拟安排团队人员情况（原件加盖公章）。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（八）投标人无重大违法记录声明函（原件加盖公章，格式自拟）。</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（九）投标及履约承诺函原件（格式见附件）。</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（十）住所地不在深圳的投标人应提供营业场所证明原件。</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（十一）投标人认为有必要提供的</w:t>
      </w:r>
      <w:r>
        <w:rPr>
          <w:rFonts w:hint="eastAsia" w:ascii="仿宋_GB2312" w:hAnsi="仿宋_GB2312" w:eastAsia="仿宋_GB2312" w:cs="仿宋_GB2312"/>
          <w:sz w:val="32"/>
          <w:szCs w:val="32"/>
          <w:highlight w:val="none"/>
          <w:lang w:eastAsia="zh-CN"/>
        </w:rPr>
        <w:t>其他</w:t>
      </w:r>
      <w:r>
        <w:rPr>
          <w:rFonts w:hint="eastAsia" w:ascii="仿宋_GB2312" w:hAnsi="仿宋_GB2312" w:eastAsia="仿宋_GB2312" w:cs="仿宋_GB2312"/>
          <w:sz w:val="32"/>
          <w:szCs w:val="32"/>
          <w:highlight w:val="none"/>
        </w:rPr>
        <w:t>材料。</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投标文件一式三份，整套材料密封并加盖骑缝章，封面注明投标人的名称、地址、联系人及手机号码。</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八、重要提示</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投标单位有下列情况之一的，其投标将被拒绝或作无效投标处理：</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（一）未在规定时间内将投标文件送达规定地点的。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（二）投标人不具备投标资格要求，或未提交相应资格证明材料。</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（三）投标文件未按规定密封、签字、盖章。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（四）投标文件无法定代表人签字或无法定代表人有效授权委托的。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（五）分项报价或投标总价高于预算金额（最高投标限价）的。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（六）同一项目出现两个及以上报价，且按规定无法确定哪个是有效报价。</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（八）所投服务在质量、技术、方案等方面没有实质性满足招标文件要求。</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w:t>
      </w:r>
      <w:r>
        <w:rPr>
          <w:rFonts w:hint="eastAsia" w:ascii="仿宋_GB2312" w:hAnsi="仿宋_GB2312" w:eastAsia="仿宋_GB2312" w:cs="仿宋_GB2312"/>
          <w:sz w:val="32"/>
          <w:szCs w:val="32"/>
          <w:highlight w:val="none"/>
          <w:lang w:eastAsia="zh-CN"/>
        </w:rPr>
        <w:t>法律、法规</w:t>
      </w:r>
      <w:r>
        <w:rPr>
          <w:rFonts w:hint="eastAsia" w:ascii="仿宋_GB2312" w:hAnsi="仿宋_GB2312" w:eastAsia="仿宋_GB2312" w:cs="仿宋_GB2312"/>
          <w:sz w:val="32"/>
          <w:szCs w:val="32"/>
          <w:highlight w:val="none"/>
        </w:rPr>
        <w:t>规定的其他情形。</w:t>
      </w:r>
    </w:p>
    <w:p>
      <w:pPr>
        <w:adjustRightInd w:val="0"/>
        <w:snapToGrid w:val="0"/>
        <w:spacing w:line="560" w:lineRule="exact"/>
        <w:ind w:firstLine="640" w:firstLineChars="200"/>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九、评标方法</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（二）综合评分表</w:t>
      </w:r>
    </w:p>
    <w:tbl>
      <w:tblPr>
        <w:tblStyle w:val="7"/>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评审部分</w:t>
            </w:r>
          </w:p>
        </w:tc>
        <w:tc>
          <w:tcPr>
            <w:tcW w:w="1202" w:type="dxa"/>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评审因素</w:t>
            </w:r>
          </w:p>
        </w:tc>
        <w:tc>
          <w:tcPr>
            <w:tcW w:w="4678" w:type="dxa"/>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评分细则</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权重（%）</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一</w:t>
            </w:r>
          </w:p>
        </w:tc>
        <w:tc>
          <w:tcPr>
            <w:tcW w:w="7581" w:type="dxa"/>
            <w:gridSpan w:val="4"/>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Times New Roman"/>
                <w:b/>
                <w:sz w:val="22"/>
                <w:highlight w:val="none"/>
              </w:rPr>
              <w:t>技术部分（合计40分）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keepNext w:val="0"/>
              <w:keepLines w:val="0"/>
              <w:numPr>
                <w:ilvl w:val="0"/>
                <w:numId w:val="1"/>
              </w:numPr>
              <w:suppressLineNumbers w:val="0"/>
              <w:spacing w:before="0" w:beforeAutospacing="0" w:after="0" w:afterAutospacing="0" w:line="300" w:lineRule="exact"/>
              <w:ind w:right="0"/>
              <w:jc w:val="right"/>
              <w:rPr>
                <w:rFonts w:hint="eastAsia" w:ascii="宋体" w:hAnsi="宋体" w:eastAsia="宋体" w:cs="Times New Roman"/>
                <w:sz w:val="22"/>
                <w:highlight w:val="none"/>
              </w:rPr>
            </w:pPr>
          </w:p>
        </w:tc>
        <w:tc>
          <w:tcPr>
            <w:tcW w:w="1202"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实施方案</w:t>
            </w:r>
          </w:p>
        </w:tc>
        <w:tc>
          <w:tcPr>
            <w:tcW w:w="4678" w:type="dxa"/>
          </w:tcPr>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1.评分内容：</w:t>
            </w:r>
          </w:p>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kern w:val="0"/>
                <w:sz w:val="22"/>
                <w:highlight w:val="none"/>
              </w:rPr>
            </w:pPr>
            <w:r>
              <w:rPr>
                <w:rFonts w:hint="eastAsia" w:ascii="宋体" w:hAnsi="宋体" w:eastAsia="宋体" w:cs="宋体"/>
                <w:kern w:val="0"/>
                <w:sz w:val="22"/>
                <w:highlight w:val="none"/>
              </w:rPr>
              <w:t>根据投标人提供的项目实施方案的全面性、科学性、可实施性等进行分档评审。</w:t>
            </w:r>
          </w:p>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2.评分标准：</w:t>
            </w:r>
          </w:p>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kern w:val="0"/>
                <w:sz w:val="22"/>
                <w:highlight w:val="none"/>
              </w:rPr>
            </w:pPr>
            <w:r>
              <w:rPr>
                <w:rFonts w:hint="eastAsia" w:ascii="宋体" w:hAnsi="宋体" w:eastAsia="宋体" w:cs="宋体"/>
                <w:kern w:val="0"/>
                <w:sz w:val="22"/>
                <w:highlight w:val="none"/>
              </w:rPr>
              <w:t>评价为优，得100%；评价为良，得</w:t>
            </w:r>
            <w:r>
              <w:rPr>
                <w:rFonts w:hint="default" w:ascii="宋体" w:hAnsi="宋体" w:eastAsia="宋体" w:cs="宋体"/>
                <w:kern w:val="0"/>
                <w:sz w:val="22"/>
                <w:highlight w:val="none"/>
              </w:rPr>
              <w:t>7</w:t>
            </w:r>
            <w:r>
              <w:rPr>
                <w:rFonts w:hint="eastAsia" w:ascii="宋体" w:hAnsi="宋体" w:eastAsia="宋体" w:cs="宋体"/>
                <w:kern w:val="0"/>
                <w:sz w:val="22"/>
                <w:highlight w:val="none"/>
              </w:rPr>
              <w:t>0%；评价为中，得</w:t>
            </w:r>
            <w:r>
              <w:rPr>
                <w:rFonts w:hint="default" w:ascii="宋体" w:hAnsi="宋体" w:eastAsia="宋体" w:cs="宋体"/>
                <w:kern w:val="0"/>
                <w:sz w:val="22"/>
                <w:highlight w:val="none"/>
              </w:rPr>
              <w:t>4</w:t>
            </w:r>
            <w:r>
              <w:rPr>
                <w:rFonts w:hint="eastAsia" w:ascii="宋体" w:hAnsi="宋体" w:eastAsia="宋体" w:cs="宋体"/>
                <w:kern w:val="0"/>
                <w:sz w:val="22"/>
                <w:highlight w:val="none"/>
              </w:rPr>
              <w:t>0%；评价为差，得10%。</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20</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keepNext w:val="0"/>
              <w:keepLines w:val="0"/>
              <w:numPr>
                <w:ilvl w:val="0"/>
                <w:numId w:val="1"/>
              </w:numPr>
              <w:suppressLineNumbers w:val="0"/>
              <w:spacing w:before="0" w:beforeAutospacing="0" w:after="0" w:afterAutospacing="0" w:line="300" w:lineRule="exact"/>
              <w:ind w:right="0"/>
              <w:jc w:val="right"/>
              <w:rPr>
                <w:rFonts w:hint="eastAsia" w:ascii="宋体" w:hAnsi="宋体" w:eastAsia="宋体" w:cs="Times New Roman"/>
                <w:sz w:val="22"/>
                <w:highlight w:val="none"/>
              </w:rPr>
            </w:pPr>
          </w:p>
        </w:tc>
        <w:tc>
          <w:tcPr>
            <w:tcW w:w="1202"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质量保障措施及方案</w:t>
            </w:r>
          </w:p>
        </w:tc>
        <w:tc>
          <w:tcPr>
            <w:tcW w:w="4678" w:type="dxa"/>
          </w:tcPr>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1.评分内容：</w:t>
            </w:r>
          </w:p>
          <w:p>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根据投标人对项目进度计划和人员安排、质量和进度保障措施是否合理、可行等进行分档评审。</w:t>
            </w:r>
          </w:p>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2.评分标准：</w:t>
            </w:r>
          </w:p>
          <w:p>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highlight w:val="none"/>
              </w:rPr>
            </w:pPr>
            <w:r>
              <w:rPr>
                <w:rFonts w:hint="eastAsia" w:ascii="宋体" w:hAnsi="宋体" w:eastAsia="宋体" w:cs="宋体"/>
                <w:kern w:val="0"/>
                <w:sz w:val="22"/>
                <w:highlight w:val="none"/>
              </w:rPr>
              <w:t>评价为优，得100%；评价为良，得70%；评价为中，得40%；评价为差，得10%。</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15</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keepNext w:val="0"/>
              <w:keepLines w:val="0"/>
              <w:numPr>
                <w:ilvl w:val="0"/>
                <w:numId w:val="1"/>
              </w:numPr>
              <w:suppressLineNumbers w:val="0"/>
              <w:spacing w:before="0" w:beforeAutospacing="0" w:after="0" w:afterAutospacing="0" w:line="300" w:lineRule="exact"/>
              <w:ind w:right="0"/>
              <w:jc w:val="right"/>
              <w:rPr>
                <w:rFonts w:hint="eastAsia" w:ascii="宋体" w:hAnsi="宋体" w:eastAsia="宋体" w:cs="Times New Roman"/>
                <w:sz w:val="22"/>
                <w:highlight w:val="none"/>
              </w:rPr>
            </w:pPr>
          </w:p>
        </w:tc>
        <w:tc>
          <w:tcPr>
            <w:tcW w:w="1202"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违约承诺</w:t>
            </w:r>
          </w:p>
        </w:tc>
        <w:tc>
          <w:tcPr>
            <w:tcW w:w="4678" w:type="dxa"/>
          </w:tcPr>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1.评分内容：</w:t>
            </w:r>
          </w:p>
          <w:p>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提供违约承诺，承诺满足招标文件要求，保证措施合理且有针对性，有具体的违约责任承诺。</w:t>
            </w:r>
          </w:p>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2.评分标准：</w:t>
            </w:r>
          </w:p>
          <w:p>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投标人提供违约承诺，得100%；未提供承诺或承诺内容不满足要求不得分。</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5</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二</w:t>
            </w:r>
          </w:p>
        </w:tc>
        <w:tc>
          <w:tcPr>
            <w:tcW w:w="7581" w:type="dxa"/>
            <w:gridSpan w:val="4"/>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宋体"/>
                <w:b/>
                <w:sz w:val="22"/>
                <w:highlight w:val="none"/>
              </w:rPr>
              <w:t>商务部分</w:t>
            </w:r>
            <w:r>
              <w:rPr>
                <w:rFonts w:hint="eastAsia" w:ascii="宋体" w:hAnsi="宋体" w:eastAsia="宋体" w:cs="Times New Roman"/>
                <w:b/>
                <w:sz w:val="22"/>
                <w:highlight w:val="none"/>
              </w:rPr>
              <w:t>（合计40分）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keepNext w:val="0"/>
              <w:keepLines w:val="0"/>
              <w:numPr>
                <w:ilvl w:val="0"/>
                <w:numId w:val="2"/>
              </w:numPr>
              <w:suppressLineNumbers w:val="0"/>
              <w:spacing w:before="0" w:beforeAutospacing="0" w:after="0" w:afterAutospacing="0" w:line="300" w:lineRule="exact"/>
              <w:ind w:right="0"/>
              <w:jc w:val="center"/>
              <w:rPr>
                <w:rFonts w:hint="eastAsia" w:ascii="宋体" w:hAnsi="宋体" w:eastAsia="宋体" w:cs="Times New Roman"/>
                <w:sz w:val="22"/>
                <w:highlight w:val="none"/>
              </w:rPr>
            </w:pPr>
          </w:p>
        </w:tc>
        <w:tc>
          <w:tcPr>
            <w:tcW w:w="1202" w:type="dxa"/>
            <w:vAlign w:val="center"/>
          </w:tcPr>
          <w:p>
            <w:pPr>
              <w:keepNext w:val="0"/>
              <w:keepLines w:val="0"/>
              <w:suppressLineNumbers w:val="0"/>
              <w:spacing w:before="0" w:beforeAutospacing="0" w:after="0" w:afterAutospacing="0" w:line="300" w:lineRule="exact"/>
              <w:ind w:left="0" w:right="0"/>
              <w:jc w:val="center"/>
              <w:rPr>
                <w:rFonts w:hint="default" w:ascii="Arial" w:hAnsi="Arial" w:eastAsia="宋体" w:cs="Times New Roman"/>
                <w:b/>
                <w:bCs/>
                <w:sz w:val="22"/>
                <w:szCs w:val="32"/>
                <w:highlight w:val="none"/>
              </w:rPr>
            </w:pPr>
            <w:r>
              <w:rPr>
                <w:rFonts w:hint="eastAsia" w:ascii="宋体" w:hAnsi="宋体" w:eastAsia="宋体" w:cs="Times New Roman"/>
                <w:sz w:val="22"/>
                <w:highlight w:val="none"/>
              </w:rPr>
              <w:t>投标人经验情况</w:t>
            </w:r>
          </w:p>
        </w:tc>
        <w:tc>
          <w:tcPr>
            <w:tcW w:w="4678" w:type="dxa"/>
            <w:vAlign w:val="center"/>
          </w:tcPr>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1.评分内容：</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bCs/>
                <w:kern w:val="0"/>
                <w:sz w:val="22"/>
                <w:highlight w:val="none"/>
              </w:rPr>
            </w:pPr>
            <w:r>
              <w:rPr>
                <w:rFonts w:hint="eastAsia" w:ascii="宋体" w:hAnsi="宋体" w:eastAsia="宋体" w:cs="宋体"/>
                <w:bCs/>
                <w:kern w:val="0"/>
                <w:sz w:val="22"/>
                <w:highlight w:val="none"/>
              </w:rPr>
              <w:t>投标人近三年（2023年5月1日至本项目开标之日）牵头承担过国家/省/市级政策研究、规划编制、制度评估、重大科技基础设施或创新平台建设、管理等相关领域工作的情况。</w:t>
            </w:r>
            <w:r>
              <w:rPr>
                <w:rFonts w:hint="eastAsia" w:ascii="宋体" w:hAnsi="宋体" w:eastAsia="宋体" w:cs="宋体"/>
                <w:kern w:val="0"/>
                <w:sz w:val="22"/>
                <w:highlight w:val="none"/>
              </w:rPr>
              <w:t>按国家级每项25%、省级每项20%、市级每项15%进行计分，最高得分不超过100%。</w:t>
            </w:r>
          </w:p>
          <w:p>
            <w:pPr>
              <w:keepNext w:val="0"/>
              <w:keepLines w:val="0"/>
              <w:suppressLineNumbers w:val="0"/>
              <w:spacing w:before="0" w:beforeAutospacing="0" w:after="0" w:afterAutospacing="0" w:line="300" w:lineRule="exact"/>
              <w:ind w:left="0" w:right="0"/>
              <w:jc w:val="left"/>
              <w:rPr>
                <w:rFonts w:hint="eastAsia" w:ascii="宋体" w:hAnsi="宋体" w:eastAsia="宋体" w:cs="宋体"/>
                <w:b/>
                <w:kern w:val="0"/>
                <w:sz w:val="22"/>
                <w:highlight w:val="none"/>
              </w:rPr>
            </w:pPr>
            <w:r>
              <w:rPr>
                <w:rFonts w:hint="eastAsia" w:ascii="宋体" w:hAnsi="宋体" w:eastAsia="宋体" w:cs="宋体"/>
                <w:b/>
                <w:kern w:val="0"/>
                <w:sz w:val="22"/>
                <w:highlight w:val="none"/>
              </w:rPr>
              <w:t>2</w:t>
            </w:r>
            <w:r>
              <w:rPr>
                <w:rFonts w:hint="default" w:ascii="宋体" w:hAnsi="宋体" w:eastAsia="宋体" w:cs="宋体"/>
                <w:b/>
                <w:kern w:val="0"/>
                <w:sz w:val="22"/>
                <w:highlight w:val="none"/>
              </w:rPr>
              <w:t>.</w:t>
            </w:r>
            <w:r>
              <w:rPr>
                <w:rFonts w:hint="eastAsia" w:ascii="宋体" w:hAnsi="宋体" w:eastAsia="宋体" w:cs="宋体"/>
                <w:b/>
                <w:kern w:val="0"/>
                <w:sz w:val="22"/>
                <w:highlight w:val="none"/>
              </w:rPr>
              <w:t>评分依据：</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要求</w:t>
            </w:r>
            <w:r>
              <w:rPr>
                <w:rFonts w:hint="eastAsia" w:ascii="宋体" w:hAnsi="宋体" w:eastAsia="宋体" w:cs="宋体"/>
                <w:kern w:val="0"/>
                <w:sz w:val="22"/>
                <w:highlight w:val="none"/>
              </w:rPr>
              <w:t>提供相关业绩证明，包括但不限于中标通知书、合同关键页、履约验收评估</w:t>
            </w:r>
            <w:r>
              <w:rPr>
                <w:rFonts w:hint="eastAsia" w:ascii="宋体" w:hAnsi="宋体" w:eastAsia="宋体" w:cs="宋体"/>
                <w:kern w:val="0"/>
                <w:sz w:val="22"/>
                <w:highlight w:val="none"/>
                <w:lang w:val="en-US" w:eastAsia="zh-CN"/>
              </w:rPr>
              <w:t>或其他</w:t>
            </w:r>
            <w:r>
              <w:rPr>
                <w:rFonts w:hint="eastAsia" w:ascii="宋体" w:hAnsi="宋体" w:eastAsia="宋体" w:cs="宋体"/>
                <w:kern w:val="0"/>
                <w:sz w:val="22"/>
                <w:highlight w:val="none"/>
              </w:rPr>
              <w:t>证明</w:t>
            </w:r>
            <w:r>
              <w:rPr>
                <w:rFonts w:hint="eastAsia" w:ascii="宋体" w:hAnsi="宋体" w:eastAsia="宋体" w:cs="宋体"/>
                <w:kern w:val="0"/>
                <w:sz w:val="22"/>
                <w:highlight w:val="none"/>
                <w:lang w:val="en-US" w:eastAsia="zh-CN"/>
              </w:rPr>
              <w:t>文件</w:t>
            </w:r>
            <w:r>
              <w:rPr>
                <w:rFonts w:hint="eastAsia" w:ascii="宋体" w:hAnsi="宋体" w:eastAsia="宋体" w:cs="宋体"/>
                <w:kern w:val="0"/>
                <w:sz w:val="22"/>
                <w:highlight w:val="none"/>
              </w:rPr>
              <w:t>。</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（2）以上资料均</w:t>
            </w:r>
            <w:r>
              <w:rPr>
                <w:rFonts w:hint="eastAsia" w:ascii="宋体" w:hAnsi="宋体" w:eastAsia="宋体" w:cs="宋体"/>
                <w:kern w:val="0"/>
                <w:sz w:val="22"/>
                <w:highlight w:val="none"/>
                <w:lang w:val="en-US" w:eastAsia="zh-CN"/>
              </w:rPr>
              <w:t>要求</w:t>
            </w:r>
            <w:r>
              <w:rPr>
                <w:rFonts w:hint="eastAsia" w:ascii="宋体" w:hAnsi="宋体" w:eastAsia="宋体" w:cs="宋体"/>
                <w:kern w:val="0"/>
                <w:sz w:val="22"/>
                <w:highlight w:val="none"/>
              </w:rPr>
              <w:t>提供扫描件（或官方网站截图）。若评分中出现无证明资料或专家无法凭所提供资料判断是否得分</w:t>
            </w:r>
            <w:r>
              <w:rPr>
                <w:rFonts w:hint="default" w:ascii="宋体" w:hAnsi="宋体" w:eastAsia="宋体" w:cs="宋体"/>
                <w:kern w:val="0"/>
                <w:sz w:val="22"/>
                <w:highlight w:val="none"/>
                <w:lang w:val="en-US"/>
              </w:rPr>
              <w:t>时</w:t>
            </w:r>
            <w:r>
              <w:rPr>
                <w:rFonts w:hint="eastAsia" w:ascii="宋体" w:hAnsi="宋体" w:eastAsia="宋体" w:cs="宋体"/>
                <w:kern w:val="0"/>
                <w:sz w:val="22"/>
                <w:highlight w:val="none"/>
              </w:rPr>
              <w:t>，一律作不得分处理。</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1</w:t>
            </w:r>
            <w:r>
              <w:rPr>
                <w:rFonts w:hint="eastAsia" w:ascii="宋体" w:hAnsi="宋体" w:eastAsia="宋体" w:cs="Times New Roman"/>
                <w:sz w:val="22"/>
                <w:highlight w:val="none"/>
              </w:rPr>
              <w:t>5</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1</w:t>
            </w:r>
            <w:r>
              <w:rPr>
                <w:rFonts w:hint="eastAsia"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keepNext w:val="0"/>
              <w:keepLines w:val="0"/>
              <w:numPr>
                <w:ilvl w:val="0"/>
                <w:numId w:val="2"/>
              </w:numPr>
              <w:suppressLineNumbers w:val="0"/>
              <w:spacing w:before="0" w:beforeAutospacing="0" w:after="0" w:afterAutospacing="0" w:line="300" w:lineRule="exact"/>
              <w:ind w:right="0"/>
              <w:jc w:val="center"/>
              <w:rPr>
                <w:rFonts w:hint="eastAsia" w:ascii="宋体" w:hAnsi="宋体" w:eastAsia="宋体" w:cs="Times New Roman"/>
                <w:sz w:val="22"/>
                <w:highlight w:val="none"/>
              </w:rPr>
            </w:pPr>
          </w:p>
        </w:tc>
        <w:tc>
          <w:tcPr>
            <w:tcW w:w="1202"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拟安排的项目负责人能力情况（仅限一人）</w:t>
            </w:r>
          </w:p>
        </w:tc>
        <w:tc>
          <w:tcPr>
            <w:tcW w:w="4678" w:type="dxa"/>
          </w:tcPr>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1.评分内容：</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lang w:eastAsia="zh-CN"/>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1）</w:t>
            </w:r>
            <w:r>
              <w:rPr>
                <w:rFonts w:hint="eastAsia" w:ascii="宋体" w:hAnsi="宋体" w:eastAsia="宋体" w:cs="宋体"/>
                <w:kern w:val="0"/>
                <w:sz w:val="22"/>
                <w:highlight w:val="none"/>
              </w:rPr>
              <w:t>项目负责人具有博士学位，得50%，否则不得分</w:t>
            </w:r>
            <w:r>
              <w:rPr>
                <w:rFonts w:hint="eastAsia" w:ascii="宋体" w:hAnsi="宋体" w:eastAsia="宋体" w:cs="宋体"/>
                <w:kern w:val="0"/>
                <w:sz w:val="22"/>
                <w:highlight w:val="none"/>
                <w:lang w:eastAsia="zh-CN"/>
              </w:rPr>
              <w:t>。</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2）</w:t>
            </w:r>
            <w:r>
              <w:rPr>
                <w:rFonts w:hint="eastAsia" w:ascii="宋体" w:hAnsi="宋体" w:eastAsia="宋体" w:cs="宋体"/>
                <w:kern w:val="0"/>
                <w:sz w:val="22"/>
                <w:highlight w:val="none"/>
              </w:rPr>
              <w:t>项目负责人主持或参与过国家、省或市级政策研究、规划编制、制度评估等政府项目的，每提供1个得2</w:t>
            </w:r>
            <w:r>
              <w:rPr>
                <w:rFonts w:hint="default" w:ascii="宋体" w:hAnsi="宋体" w:eastAsia="宋体" w:cs="宋体"/>
                <w:kern w:val="0"/>
                <w:sz w:val="22"/>
                <w:highlight w:val="none"/>
              </w:rPr>
              <w:t>5</w:t>
            </w:r>
            <w:r>
              <w:rPr>
                <w:rFonts w:hint="eastAsia" w:ascii="宋体" w:hAnsi="宋体" w:eastAsia="宋体" w:cs="宋体"/>
                <w:kern w:val="0"/>
                <w:sz w:val="22"/>
                <w:highlight w:val="none"/>
              </w:rPr>
              <w:t>%，最高得分不超过50%。</w:t>
            </w:r>
          </w:p>
          <w:p>
            <w:pPr>
              <w:keepNext w:val="0"/>
              <w:keepLines w:val="0"/>
              <w:suppressLineNumbers w:val="0"/>
              <w:spacing w:before="0" w:beforeAutospacing="0" w:after="0" w:afterAutospacing="0" w:line="300" w:lineRule="exact"/>
              <w:ind w:left="0" w:right="0"/>
              <w:jc w:val="left"/>
              <w:rPr>
                <w:rFonts w:hint="eastAsia" w:ascii="宋体" w:hAnsi="宋体" w:eastAsia="宋体" w:cs="宋体"/>
                <w:b/>
                <w:kern w:val="0"/>
                <w:sz w:val="22"/>
                <w:highlight w:val="none"/>
              </w:rPr>
            </w:pPr>
            <w:r>
              <w:rPr>
                <w:rFonts w:hint="eastAsia" w:ascii="宋体" w:hAnsi="宋体" w:eastAsia="宋体" w:cs="宋体"/>
                <w:b/>
                <w:kern w:val="0"/>
                <w:sz w:val="22"/>
                <w:highlight w:val="none"/>
              </w:rPr>
              <w:t>2</w:t>
            </w:r>
            <w:r>
              <w:rPr>
                <w:rFonts w:hint="default" w:ascii="宋体" w:hAnsi="宋体" w:eastAsia="宋体" w:cs="宋体"/>
                <w:b/>
                <w:kern w:val="0"/>
                <w:sz w:val="22"/>
                <w:highlight w:val="none"/>
              </w:rPr>
              <w:t>.</w:t>
            </w:r>
            <w:r>
              <w:rPr>
                <w:rFonts w:hint="eastAsia" w:ascii="宋体" w:hAnsi="宋体" w:eastAsia="宋体" w:cs="宋体"/>
                <w:b/>
                <w:kern w:val="0"/>
                <w:sz w:val="22"/>
                <w:highlight w:val="none"/>
              </w:rPr>
              <w:t>评分依据：</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要求</w:t>
            </w:r>
            <w:r>
              <w:rPr>
                <w:rFonts w:hint="eastAsia" w:ascii="宋体" w:hAnsi="宋体" w:eastAsia="宋体" w:cs="宋体"/>
                <w:kern w:val="0"/>
                <w:sz w:val="22"/>
                <w:highlight w:val="none"/>
              </w:rPr>
              <w:t>提供通过投标人购买的项目负责人近三个月社保，学位或职称文件，业绩合同关键页或其他证明文件（需要体现人员信息，若无人员信息，须提供工作单位出具的证明材料）。</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（2）以上资料均需提供扫描件（或官方网站截图），原件备查。若评分中出现无证明资料或专家无法凭所提供资料判断是否得分</w:t>
            </w:r>
            <w:r>
              <w:rPr>
                <w:rFonts w:hint="default" w:ascii="宋体" w:hAnsi="宋体" w:eastAsia="宋体" w:cs="宋体"/>
                <w:kern w:val="0"/>
                <w:sz w:val="22"/>
                <w:highlight w:val="none"/>
                <w:lang w:val="en-US"/>
              </w:rPr>
              <w:t>时</w:t>
            </w:r>
            <w:r>
              <w:rPr>
                <w:rFonts w:hint="eastAsia" w:ascii="宋体" w:hAnsi="宋体" w:eastAsia="宋体" w:cs="宋体"/>
                <w:kern w:val="0"/>
                <w:sz w:val="22"/>
                <w:highlight w:val="none"/>
              </w:rPr>
              <w:t>，一律作不得分处理。</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1</w:t>
            </w:r>
            <w:r>
              <w:rPr>
                <w:rFonts w:hint="eastAsia" w:ascii="宋体" w:hAnsi="宋体" w:eastAsia="宋体" w:cs="Times New Roman"/>
                <w:sz w:val="22"/>
                <w:highlight w:val="none"/>
              </w:rPr>
              <w:t>5</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1</w:t>
            </w:r>
            <w:r>
              <w:rPr>
                <w:rFonts w:hint="eastAsia" w:ascii="宋体" w:hAnsi="宋体" w:eastAsia="宋体" w:cs="Times New Roman"/>
                <w:sz w:val="22"/>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keepNext w:val="0"/>
              <w:keepLines w:val="0"/>
              <w:numPr>
                <w:ilvl w:val="0"/>
                <w:numId w:val="2"/>
              </w:numPr>
              <w:suppressLineNumbers w:val="0"/>
              <w:spacing w:before="0" w:beforeAutospacing="0" w:after="0" w:afterAutospacing="0" w:line="300" w:lineRule="exact"/>
              <w:ind w:right="0"/>
              <w:jc w:val="center"/>
              <w:rPr>
                <w:rFonts w:hint="eastAsia" w:ascii="宋体" w:hAnsi="宋体" w:eastAsia="宋体" w:cs="Times New Roman"/>
                <w:sz w:val="22"/>
                <w:highlight w:val="none"/>
              </w:rPr>
            </w:pPr>
          </w:p>
        </w:tc>
        <w:tc>
          <w:tcPr>
            <w:tcW w:w="1202"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拟安排的项目主要团队成员（主要技术人员）情况（项目负责人除外）</w:t>
            </w:r>
          </w:p>
        </w:tc>
        <w:tc>
          <w:tcPr>
            <w:tcW w:w="4678" w:type="dxa"/>
          </w:tcPr>
          <w:p>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1.评分内容：</w:t>
            </w:r>
          </w:p>
          <w:p>
            <w:pPr>
              <w:keepNext w:val="0"/>
              <w:keepLines w:val="0"/>
              <w:suppressLineNumbers w:val="0"/>
              <w:spacing w:before="0" w:beforeAutospacing="0" w:after="0" w:afterAutospacing="0" w:line="300" w:lineRule="exact"/>
              <w:ind w:left="0" w:right="0"/>
              <w:jc w:val="left"/>
              <w:rPr>
                <w:rFonts w:hint="eastAsia" w:ascii="宋体" w:hAnsi="宋体" w:eastAsia="宋体" w:cs="宋体"/>
                <w:bCs/>
                <w:kern w:val="0"/>
                <w:sz w:val="22"/>
                <w:highlight w:val="none"/>
              </w:rPr>
            </w:pPr>
            <w:r>
              <w:rPr>
                <w:rFonts w:hint="eastAsia" w:ascii="宋体" w:hAnsi="宋体" w:eastAsia="宋体" w:cs="宋体"/>
                <w:kern w:val="0"/>
                <w:sz w:val="22"/>
                <w:highlight w:val="none"/>
              </w:rPr>
              <w:t>项目团队中每提供1位有高级职称或博士学位人员得20%，每提供1位有中级职称或硕士学位人员得10%，最高得分不超过100%。</w:t>
            </w:r>
          </w:p>
          <w:p>
            <w:pPr>
              <w:keepNext w:val="0"/>
              <w:keepLines w:val="0"/>
              <w:suppressLineNumbers w:val="0"/>
              <w:spacing w:before="0" w:beforeAutospacing="0" w:after="0" w:afterAutospacing="0" w:line="300" w:lineRule="exact"/>
              <w:ind w:left="0" w:right="0"/>
              <w:jc w:val="left"/>
              <w:rPr>
                <w:rFonts w:hint="eastAsia" w:ascii="宋体" w:hAnsi="宋体" w:eastAsia="宋体" w:cs="宋体"/>
                <w:b/>
                <w:kern w:val="0"/>
                <w:sz w:val="22"/>
                <w:highlight w:val="none"/>
              </w:rPr>
            </w:pPr>
            <w:r>
              <w:rPr>
                <w:rFonts w:hint="eastAsia" w:ascii="宋体" w:hAnsi="宋体" w:eastAsia="宋体" w:cs="宋体"/>
                <w:b/>
                <w:kern w:val="0"/>
                <w:sz w:val="22"/>
                <w:highlight w:val="none"/>
              </w:rPr>
              <w:t>2</w:t>
            </w:r>
            <w:r>
              <w:rPr>
                <w:rFonts w:hint="default" w:ascii="宋体" w:hAnsi="宋体" w:eastAsia="宋体" w:cs="宋体"/>
                <w:b/>
                <w:kern w:val="0"/>
                <w:sz w:val="22"/>
                <w:highlight w:val="none"/>
              </w:rPr>
              <w:t>.</w:t>
            </w:r>
            <w:r>
              <w:rPr>
                <w:rFonts w:hint="eastAsia" w:ascii="宋体" w:hAnsi="宋体" w:eastAsia="宋体" w:cs="宋体"/>
                <w:b/>
                <w:kern w:val="0"/>
                <w:sz w:val="22"/>
                <w:highlight w:val="none"/>
              </w:rPr>
              <w:t>评分依据：</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要求</w:t>
            </w:r>
            <w:r>
              <w:rPr>
                <w:rFonts w:hint="eastAsia" w:ascii="宋体" w:hAnsi="宋体" w:eastAsia="宋体" w:cs="宋体"/>
                <w:kern w:val="0"/>
                <w:sz w:val="22"/>
                <w:highlight w:val="none"/>
              </w:rPr>
              <w:t>提供通过投标人购买的团队成员近三个月社保，学位或职称文件等。</w:t>
            </w:r>
          </w:p>
          <w:p>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（2）以上资料均要求提供扫描件（或官方网站截图），原件备查。若评分中出现无证明资料或专家无法凭所提供资料判断是否得分</w:t>
            </w:r>
            <w:r>
              <w:rPr>
                <w:rFonts w:hint="default" w:ascii="宋体" w:hAnsi="宋体" w:eastAsia="宋体" w:cs="宋体"/>
                <w:kern w:val="0"/>
                <w:sz w:val="22"/>
                <w:highlight w:val="none"/>
                <w:lang w:val="en-US"/>
              </w:rPr>
              <w:t>时</w:t>
            </w:r>
            <w:r>
              <w:rPr>
                <w:rFonts w:hint="eastAsia" w:ascii="宋体" w:hAnsi="宋体" w:eastAsia="宋体" w:cs="宋体"/>
                <w:kern w:val="0"/>
                <w:sz w:val="22"/>
                <w:highlight w:val="none"/>
              </w:rPr>
              <w:t>，一律作不得分处理。</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default" w:ascii="宋体" w:hAnsi="宋体" w:eastAsia="宋体" w:cs="Times New Roman"/>
                <w:sz w:val="22"/>
                <w:highlight w:val="none"/>
              </w:rPr>
              <w:t>1</w:t>
            </w:r>
            <w:r>
              <w:rPr>
                <w:rFonts w:hint="eastAsia" w:ascii="宋体" w:hAnsi="宋体" w:eastAsia="宋体" w:cs="Times New Roman"/>
                <w:sz w:val="22"/>
                <w:highlight w:val="none"/>
              </w:rPr>
              <w:t>0</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b/>
                <w:sz w:val="22"/>
                <w:highlight w:val="none"/>
              </w:rPr>
            </w:pPr>
            <w:r>
              <w:rPr>
                <w:rFonts w:hint="eastAsia" w:ascii="宋体" w:hAnsi="宋体" w:eastAsia="宋体" w:cs="Times New Roman"/>
                <w:b/>
                <w:sz w:val="22"/>
                <w:highlight w:val="none"/>
              </w:rPr>
              <w:t>三</w:t>
            </w:r>
          </w:p>
        </w:tc>
        <w:tc>
          <w:tcPr>
            <w:tcW w:w="7581" w:type="dxa"/>
            <w:gridSpan w:val="4"/>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highlight w:val="none"/>
              </w:rPr>
            </w:pPr>
            <w:r>
              <w:rPr>
                <w:rFonts w:hint="eastAsia" w:ascii="宋体" w:hAnsi="宋体" w:eastAsia="宋体" w:cs="Times New Roman"/>
                <w:b/>
                <w:sz w:val="22"/>
                <w:highlight w:val="none"/>
              </w:rPr>
              <w:t>价格部分（合计20分）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keepNext w:val="0"/>
              <w:keepLines w:val="0"/>
              <w:numPr>
                <w:ilvl w:val="0"/>
                <w:numId w:val="3"/>
              </w:numPr>
              <w:suppressLineNumbers w:val="0"/>
              <w:spacing w:before="0" w:beforeAutospacing="0" w:after="0" w:afterAutospacing="0" w:line="300" w:lineRule="exact"/>
              <w:ind w:right="0"/>
              <w:jc w:val="center"/>
              <w:rPr>
                <w:rFonts w:hint="eastAsia" w:ascii="宋体" w:hAnsi="宋体" w:eastAsia="宋体" w:cs="Times New Roman"/>
                <w:sz w:val="22"/>
                <w:highlight w:val="none"/>
              </w:rPr>
            </w:pPr>
          </w:p>
        </w:tc>
        <w:tc>
          <w:tcPr>
            <w:tcW w:w="1202"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highlight w:val="none"/>
              </w:rPr>
            </w:pPr>
            <w:r>
              <w:rPr>
                <w:rFonts w:hint="eastAsia" w:ascii="宋体" w:hAnsi="宋体" w:eastAsia="宋体" w:cs="Times New Roman"/>
                <w:sz w:val="22"/>
                <w:highlight w:val="none"/>
              </w:rPr>
              <w:t>投标报价</w:t>
            </w:r>
          </w:p>
        </w:tc>
        <w:tc>
          <w:tcPr>
            <w:tcW w:w="4678" w:type="dxa"/>
            <w:vAlign w:val="center"/>
          </w:tcPr>
          <w:p>
            <w:pPr>
              <w:keepNext w:val="0"/>
              <w:keepLines w:val="0"/>
              <w:suppressLineNumbers w:val="0"/>
              <w:autoSpaceDE w:val="0"/>
              <w:autoSpaceDN w:val="0"/>
              <w:adjustRightInd w:val="0"/>
              <w:snapToGrid w:val="0"/>
              <w:spacing w:before="0" w:beforeAutospacing="0" w:after="0" w:afterAutospacing="0" w:line="300" w:lineRule="exact"/>
              <w:ind w:left="0" w:right="0"/>
              <w:rPr>
                <w:rFonts w:hint="eastAsia" w:ascii="宋体" w:hAnsi="宋体" w:eastAsia="宋体" w:cs="宋体"/>
                <w:kern w:val="0"/>
                <w:sz w:val="22"/>
                <w:highlight w:val="none"/>
              </w:rPr>
            </w:pPr>
            <w:r>
              <w:rPr>
                <w:rFonts w:hint="default" w:ascii="宋体" w:hAnsi="宋体" w:eastAsia="宋体" w:cs="宋体"/>
                <w:kern w:val="0"/>
                <w:sz w:val="22"/>
                <w:highlight w:val="none"/>
              </w:rPr>
              <w:t>价格分</w:t>
            </w:r>
            <w:r>
              <w:rPr>
                <w:rFonts w:hint="eastAsia" w:ascii="宋体" w:hAnsi="宋体" w:eastAsia="宋体" w:cs="宋体"/>
                <w:kern w:val="0"/>
                <w:sz w:val="22"/>
                <w:highlight w:val="none"/>
              </w:rPr>
              <w:t>应当采用低价优先法计算，即满足招标文件要求且投标价格最低的投标报价为评标基准价，其价格分为满分。其他投标人的价格分统一按照下列公式计算：</w:t>
            </w:r>
          </w:p>
          <w:p>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投标报价得分=</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评标基准价／投标报价</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×100×权重</w:t>
            </w:r>
          </w:p>
          <w:p>
            <w:pPr>
              <w:keepNext w:val="0"/>
              <w:keepLines w:val="0"/>
              <w:suppressLineNumbers w:val="0"/>
              <w:spacing w:before="0" w:beforeAutospacing="0" w:after="0" w:afterAutospacing="0" w:line="300" w:lineRule="exact"/>
              <w:ind w:left="0" w:right="0"/>
              <w:jc w:val="left"/>
              <w:rPr>
                <w:rFonts w:hint="eastAsia" w:ascii="宋体" w:hAnsi="宋体" w:eastAsia="宋体" w:cs="Times New Roman"/>
                <w:bCs/>
                <w:sz w:val="22"/>
                <w:highlight w:val="none"/>
              </w:rPr>
            </w:pPr>
            <w:r>
              <w:rPr>
                <w:rFonts w:hint="eastAsia" w:ascii="宋体" w:hAnsi="宋体" w:eastAsia="宋体" w:cs="Times New Roman"/>
                <w:bCs/>
                <w:sz w:val="22"/>
                <w:highlight w:val="none"/>
              </w:rPr>
              <w:t>备注：</w:t>
            </w:r>
          </w:p>
          <w:p>
            <w:pPr>
              <w:keepNext w:val="0"/>
              <w:keepLines w:val="0"/>
              <w:suppressLineNumbers w:val="0"/>
              <w:spacing w:before="0" w:beforeAutospacing="0" w:after="0" w:afterAutospacing="0" w:line="300" w:lineRule="exact"/>
              <w:ind w:left="0" w:right="0"/>
              <w:jc w:val="left"/>
              <w:rPr>
                <w:rFonts w:hint="eastAsia" w:ascii="宋体" w:hAnsi="宋体" w:eastAsia="宋体" w:cs="宋体"/>
                <w:sz w:val="22"/>
                <w:highlight w:val="none"/>
              </w:rPr>
            </w:pPr>
            <w:r>
              <w:rPr>
                <w:rFonts w:hint="eastAsia" w:ascii="宋体" w:hAnsi="宋体" w:eastAsia="宋体" w:cs="Times New Roman"/>
                <w:bCs/>
                <w:sz w:val="22"/>
                <w:highlight w:val="none"/>
              </w:rPr>
              <w:t>1.因落实政府采购政策进行价格调整的，以调整后的价格计算评标基准价和投标报价</w:t>
            </w:r>
            <w:r>
              <w:rPr>
                <w:rFonts w:hint="eastAsia" w:ascii="宋体" w:hAnsi="宋体" w:eastAsia="宋体" w:cs="Times New Roman"/>
                <w:bCs/>
                <w:sz w:val="22"/>
                <w:highlight w:val="none"/>
                <w:lang w:eastAsia="zh-CN"/>
              </w:rPr>
              <w:t>，</w:t>
            </w:r>
            <w:r>
              <w:rPr>
                <w:rFonts w:hint="eastAsia" w:ascii="宋体" w:hAnsi="宋体" w:eastAsia="宋体" w:cs="宋体"/>
                <w:sz w:val="22"/>
                <w:highlight w:val="none"/>
              </w:rPr>
              <w:t>详见“价格扣除”。</w:t>
            </w:r>
          </w:p>
          <w:p>
            <w:pPr>
              <w:keepNext w:val="0"/>
              <w:keepLines w:val="0"/>
              <w:suppressLineNumbers w:val="0"/>
              <w:spacing w:before="0" w:beforeAutospacing="0" w:after="0" w:afterAutospacing="0" w:line="300" w:lineRule="exact"/>
              <w:ind w:left="0" w:right="0"/>
              <w:rPr>
                <w:rFonts w:hint="eastAsia" w:ascii="宋体" w:hAnsi="宋体" w:eastAsia="宋体" w:cs="Times New Roman"/>
                <w:b/>
                <w:bCs/>
                <w:sz w:val="22"/>
                <w:highlight w:val="none"/>
                <w:u w:val="double"/>
              </w:rPr>
            </w:pPr>
            <w:r>
              <w:rPr>
                <w:rFonts w:hint="eastAsia" w:ascii="宋体" w:hAnsi="宋体" w:eastAsia="宋体" w:cs="Times New Roman"/>
                <w:bCs/>
                <w:sz w:val="22"/>
                <w:highlight w:val="none"/>
              </w:rPr>
              <w:t>2.投标报价得分四舍五入后，</w:t>
            </w:r>
            <w:r>
              <w:rPr>
                <w:rFonts w:hint="eastAsia" w:ascii="宋体" w:hAnsi="宋体" w:eastAsia="宋体" w:cs="Arial"/>
                <w:sz w:val="22"/>
                <w:highlight w:val="none"/>
              </w:rPr>
              <w:t>小数点后保留两位有效数</w:t>
            </w:r>
            <w:r>
              <w:rPr>
                <w:rFonts w:hint="eastAsia" w:ascii="宋体" w:hAnsi="宋体" w:eastAsia="宋体" w:cs="Times New Roman"/>
                <w:bCs/>
                <w:sz w:val="22"/>
                <w:highlight w:val="none"/>
              </w:rPr>
              <w:t>。</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sz w:val="22"/>
                <w:highlight w:val="none"/>
              </w:rPr>
            </w:pPr>
            <w:r>
              <w:rPr>
                <w:rFonts w:hint="eastAsia" w:ascii="宋体" w:hAnsi="宋体" w:eastAsia="宋体" w:cs="宋体"/>
                <w:sz w:val="22"/>
                <w:highlight w:val="none"/>
              </w:rPr>
              <w:t>20</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sz w:val="22"/>
                <w:highlight w:val="none"/>
              </w:rPr>
            </w:pPr>
            <w:r>
              <w:rPr>
                <w:rFonts w:hint="eastAsia" w:ascii="宋体" w:hAnsi="宋体" w:eastAsia="宋体" w:cs="Times New Roman"/>
                <w:sz w:val="22"/>
                <w:highlight w:val="none"/>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bCs/>
                <w:sz w:val="22"/>
                <w:highlight w:val="none"/>
              </w:rPr>
            </w:pPr>
            <w:r>
              <w:rPr>
                <w:rFonts w:hint="eastAsia" w:ascii="宋体" w:hAnsi="宋体" w:eastAsia="宋体" w:cs="Times New Roman"/>
                <w:b/>
                <w:bCs/>
                <w:sz w:val="22"/>
                <w:highlight w:val="none"/>
              </w:rPr>
              <w:t>总计</w:t>
            </w:r>
          </w:p>
        </w:tc>
        <w:tc>
          <w:tcPr>
            <w:tcW w:w="850" w:type="dxa"/>
            <w:tcBorders>
              <w:right w:val="single" w:color="auto" w:sz="4" w:space="0"/>
            </w:tcBorders>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bCs/>
                <w:sz w:val="22"/>
                <w:highlight w:val="none"/>
              </w:rPr>
            </w:pPr>
            <w:r>
              <w:rPr>
                <w:rFonts w:hint="eastAsia" w:ascii="宋体" w:hAnsi="宋体" w:eastAsia="宋体" w:cs="宋体"/>
                <w:b/>
                <w:bCs/>
                <w:sz w:val="22"/>
                <w:highlight w:val="none"/>
              </w:rPr>
              <w:t>100</w:t>
            </w:r>
          </w:p>
        </w:tc>
        <w:tc>
          <w:tcPr>
            <w:tcW w:w="851" w:type="dxa"/>
            <w:tcBorders>
              <w:left w:val="single" w:color="auto" w:sz="4" w:space="0"/>
            </w:tcBorders>
            <w:vAlign w:val="center"/>
          </w:tcPr>
          <w:p>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bCs/>
                <w:sz w:val="22"/>
                <w:highlight w:val="none"/>
              </w:rPr>
            </w:pPr>
            <w:r>
              <w:rPr>
                <w:rFonts w:hint="eastAsia" w:ascii="宋体" w:hAnsi="宋体" w:eastAsia="宋体" w:cs="宋体"/>
                <w:b/>
                <w:bCs/>
                <w:sz w:val="22"/>
                <w:highlight w:val="none"/>
              </w:rPr>
              <w:t>100</w:t>
            </w:r>
          </w:p>
        </w:tc>
      </w:tr>
    </w:tbl>
    <w:p>
      <w:pPr>
        <w:spacing w:line="300" w:lineRule="exact"/>
        <w:rPr>
          <w:rFonts w:hint="eastAsia" w:ascii="宋体" w:hAnsi="宋体" w:eastAsia="宋体" w:cs="宋体"/>
          <w:kern w:val="0"/>
          <w:sz w:val="24"/>
          <w:highlight w:val="none"/>
        </w:rPr>
      </w:pPr>
      <w:r>
        <w:rPr>
          <w:rFonts w:hint="eastAsia" w:ascii="宋体" w:hAnsi="宋体" w:eastAsia="宋体" w:cs="Times New Roman"/>
          <w:b/>
          <w:sz w:val="24"/>
          <w:highlight w:val="none"/>
        </w:rPr>
        <w:t>备注：</w:t>
      </w:r>
      <w:r>
        <w:rPr>
          <w:rFonts w:hint="eastAsia" w:ascii="宋体" w:hAnsi="宋体" w:eastAsia="宋体" w:cs="宋体"/>
          <w:kern w:val="0"/>
          <w:sz w:val="24"/>
          <w:highlight w:val="none"/>
        </w:rPr>
        <w:t>1.评标信息内评分方法的说明：</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（1）权重：按百分比进行设置。</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（2）评分准则：按照评标系统设置要求，每项“评分准则”皆按百分制打分。</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（3）每项“评分因素”的得分=对应“评分准则”的分值×对应权重%。</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ascii="宋体" w:hAnsi="宋体" w:eastAsia="宋体" w:cs="宋体"/>
          <w:kern w:val="0"/>
          <w:sz w:val="24"/>
          <w:highlight w:val="none"/>
        </w:rPr>
        <w:t>.</w:t>
      </w:r>
      <w:r>
        <w:rPr>
          <w:rFonts w:hint="eastAsia" w:ascii="宋体" w:hAnsi="宋体" w:eastAsia="宋体" w:cs="宋体"/>
          <w:kern w:val="0"/>
          <w:sz w:val="24"/>
          <w:highlight w:val="none"/>
        </w:rPr>
        <w:t>价格扣除</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（1）根据财政部、工业和信息化部印发的《政府采购促进中小企业发展管理办法》（财库〔2020〕46号）的规定，对小型和微型企业产品的价格给予</w:t>
      </w:r>
      <w:r>
        <w:rPr>
          <w:rFonts w:ascii="宋体" w:hAnsi="宋体" w:eastAsia="宋体" w:cs="宋体"/>
          <w:kern w:val="0"/>
          <w:sz w:val="24"/>
          <w:highlight w:val="none"/>
        </w:rPr>
        <w:t>6%</w:t>
      </w:r>
      <w:r>
        <w:rPr>
          <w:rFonts w:hint="eastAsia" w:ascii="宋体" w:hAnsi="宋体" w:eastAsia="宋体" w:cs="宋体"/>
          <w:kern w:val="0"/>
          <w:sz w:val="24"/>
          <w:highlight w:val="none"/>
        </w:rPr>
        <w:t>的扣除，用扣除后的价格参与评审。</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（2）组成联合体（如允许）或者接受分包的小微企业与联合体内其他企业、分包企业之间存在直接控股、管理关系的，不享受价格扣除优惠政策。</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（3）监狱企业产品价格扣除：监狱企业视同小微企业，按上述第（1）、（2）条款享受评审中价格扣除。</w:t>
      </w:r>
    </w:p>
    <w:p>
      <w:pPr>
        <w:spacing w:line="30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（4）残疾人福利性单位产品价格扣除：残疾人福利性单位视同小微企业，按上述第（1）、（2）条款享受评审中价格扣除。</w:t>
      </w:r>
    </w:p>
    <w:p>
      <w:pPr>
        <w:spacing w:line="300" w:lineRule="exact"/>
        <w:ind w:firstLine="600" w:firstLineChars="250"/>
        <w:rPr>
          <w:rFonts w:hint="eastAsia" w:ascii="宋体" w:hAnsi="宋体" w:eastAsia="宋体" w:cs="宋体"/>
          <w:kern w:val="0"/>
          <w:sz w:val="24"/>
          <w:highlight w:val="none"/>
        </w:rPr>
      </w:pPr>
    </w:p>
    <w:p>
      <w:pPr>
        <w:adjustRightInd w:val="0"/>
        <w:snapToGrid w:val="0"/>
        <w:spacing w:line="480" w:lineRule="exact"/>
        <w:ind w:firstLine="640" w:firstLineChars="200"/>
        <w:rPr>
          <w:rFonts w:hint="eastAsia" w:ascii="仿宋_GB2312" w:hAnsi="宋体" w:eastAsia="仿宋_GB2312" w:cs="仿宋_GB2312"/>
          <w:sz w:val="32"/>
          <w:szCs w:val="22"/>
          <w:highlight w:val="none"/>
        </w:rPr>
      </w:pPr>
      <w:r>
        <w:rPr>
          <w:rFonts w:hint="eastAsia" w:ascii="仿宋_GB2312" w:hAnsi="宋体" w:eastAsia="仿宋_GB2312" w:cs="仿宋_GB2312"/>
          <w:sz w:val="32"/>
          <w:highlight w:val="none"/>
        </w:rPr>
        <w:t>附件：</w:t>
      </w:r>
      <w:r>
        <w:rPr>
          <w:rFonts w:hint="eastAsia" w:ascii="仿宋_GB2312" w:hAnsi="宋体" w:eastAsia="仿宋_GB2312" w:cs="仿宋_GB2312"/>
          <w:sz w:val="32"/>
          <w:szCs w:val="22"/>
          <w:highlight w:val="none"/>
        </w:rPr>
        <w:t>1.投标及履约承诺函</w:t>
      </w:r>
    </w:p>
    <w:p>
      <w:pPr>
        <w:adjustRightInd w:val="0"/>
        <w:snapToGrid w:val="0"/>
        <w:spacing w:line="480" w:lineRule="exact"/>
        <w:ind w:firstLine="1600" w:firstLineChars="500"/>
        <w:rPr>
          <w:rFonts w:hint="eastAsia" w:ascii="仿宋_GB2312" w:hAnsi="宋体" w:eastAsia="仿宋_GB2312" w:cs="仿宋_GB2312"/>
          <w:sz w:val="32"/>
          <w:szCs w:val="22"/>
          <w:highlight w:val="none"/>
        </w:rPr>
      </w:pPr>
      <w:r>
        <w:rPr>
          <w:rFonts w:ascii="仿宋_GB2312" w:hAnsi="宋体" w:eastAsia="仿宋_GB2312" w:cs="仿宋_GB2312"/>
          <w:sz w:val="32"/>
          <w:szCs w:val="22"/>
          <w:highlight w:val="none"/>
        </w:rPr>
        <w:t>2.</w:t>
      </w:r>
      <w:r>
        <w:rPr>
          <w:rFonts w:hint="eastAsia" w:ascii="仿宋_GB2312" w:hAnsi="宋体" w:eastAsia="仿宋_GB2312" w:cs="仿宋_GB2312"/>
          <w:sz w:val="32"/>
          <w:szCs w:val="22"/>
          <w:highlight w:val="none"/>
        </w:rPr>
        <w:t>供应商基本情况表</w:t>
      </w:r>
    </w:p>
    <w:p>
      <w:pPr>
        <w:adjustRightInd w:val="0"/>
        <w:snapToGrid w:val="0"/>
        <w:spacing w:line="480" w:lineRule="exact"/>
        <w:ind w:firstLine="640" w:firstLineChars="200"/>
        <w:rPr>
          <w:rFonts w:hint="eastAsia" w:ascii="仿宋_GB2312" w:hAnsi="宋体" w:eastAsia="仿宋_GB2312" w:cs="仿宋_GB2312"/>
          <w:sz w:val="32"/>
          <w:highlight w:val="none"/>
        </w:rPr>
      </w:pPr>
    </w:p>
    <w:p>
      <w:pPr>
        <w:jc w:val="left"/>
        <w:rPr>
          <w:rFonts w:hint="eastAsia" w:ascii="仿宋" w:hAnsi="仿宋" w:eastAsia="仿宋" w:cs="仿宋_GB2312"/>
          <w:sz w:val="32"/>
          <w:szCs w:val="32"/>
          <w:highlight w:val="none"/>
        </w:rPr>
      </w:pPr>
      <w:r>
        <w:rPr>
          <w:rFonts w:ascii="仿宋" w:hAnsi="仿宋" w:eastAsia="仿宋" w:cs="仿宋_GB2312"/>
          <w:sz w:val="32"/>
          <w:szCs w:val="32"/>
          <w:highlight w:val="none"/>
        </w:rPr>
        <w:br w:type="page"/>
      </w:r>
    </w:p>
    <w:p>
      <w:pPr>
        <w:adjustRightInd w:val="0"/>
        <w:snapToGrid w:val="0"/>
        <w:spacing w:line="480" w:lineRule="exact"/>
        <w:jc w:val="left"/>
        <w:rPr>
          <w:rFonts w:hint="eastAsia" w:ascii="黑体" w:hAnsi="黑体" w:eastAsia="黑体" w:cs="黑体"/>
          <w:sz w:val="32"/>
          <w:highlight w:val="none"/>
        </w:rPr>
      </w:pPr>
      <w:r>
        <w:rPr>
          <w:rFonts w:hint="eastAsia" w:ascii="黑体" w:hAnsi="黑体" w:eastAsia="黑体" w:cs="黑体"/>
          <w:sz w:val="32"/>
          <w:highlight w:val="none"/>
        </w:rPr>
        <w:t>附件1</w:t>
      </w:r>
    </w:p>
    <w:p>
      <w:pPr>
        <w:adjustRightInd w:val="0"/>
        <w:snapToGrid w:val="0"/>
        <w:jc w:val="center"/>
        <w:rPr>
          <w:rFonts w:hint="eastAsia" w:ascii="宋体" w:hAnsi="宋体" w:eastAsia="宋体" w:cs="宋体"/>
          <w:b/>
          <w:bCs/>
          <w:sz w:val="44"/>
          <w:szCs w:val="44"/>
          <w:highlight w:val="none"/>
        </w:rPr>
      </w:pPr>
    </w:p>
    <w:p>
      <w:pPr>
        <w:adjustRightInd w:val="0"/>
        <w:snapToGrid w:val="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投标及履约承诺函</w:t>
      </w:r>
    </w:p>
    <w:p>
      <w:pPr>
        <w:adjustRightInd w:val="0"/>
        <w:snapToGrid w:val="0"/>
        <w:jc w:val="center"/>
        <w:rPr>
          <w:rFonts w:hint="eastAsia" w:ascii="宋体" w:hAnsi="宋体" w:eastAsia="宋体" w:cs="宋体"/>
          <w:b/>
          <w:bCs/>
          <w:sz w:val="44"/>
          <w:szCs w:val="44"/>
          <w:highlight w:val="none"/>
        </w:rPr>
      </w:pP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我单位承诺：</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2.对本招标项目所提供的服务未侵犯知识产权。</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ascii="仿宋_GB2312" w:hAnsi="宋体" w:eastAsia="仿宋_GB2312" w:cs="仿宋_GB2312"/>
          <w:sz w:val="32"/>
          <w:highlight w:val="none"/>
        </w:rPr>
        <w:t>4</w:t>
      </w:r>
      <w:r>
        <w:rPr>
          <w:rFonts w:hint="eastAsia" w:ascii="仿宋_GB2312" w:hAnsi="宋体" w:eastAsia="仿宋_GB2312" w:cs="仿宋_GB2312"/>
          <w:sz w:val="32"/>
          <w:highlight w:val="none"/>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ascii="仿宋_GB2312" w:hAnsi="宋体" w:eastAsia="仿宋_GB2312" w:cs="仿宋_GB2312"/>
          <w:sz w:val="32"/>
          <w:highlight w:val="none"/>
        </w:rPr>
        <w:t>5</w:t>
      </w:r>
      <w:r>
        <w:rPr>
          <w:rFonts w:hint="eastAsia" w:ascii="仿宋_GB2312" w:hAnsi="宋体" w:eastAsia="仿宋_GB2312" w:cs="仿宋_GB2312"/>
          <w:sz w:val="32"/>
          <w:highlight w:val="none"/>
        </w:rPr>
        <w:t>.我单位已认真阅读本项目需求，我单位承诺按时递交标书。</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ascii="仿宋_GB2312" w:hAnsi="宋体" w:eastAsia="仿宋_GB2312" w:cs="仿宋_GB2312"/>
          <w:sz w:val="32"/>
          <w:highlight w:val="none"/>
        </w:rPr>
        <w:t>6</w:t>
      </w:r>
      <w:r>
        <w:rPr>
          <w:rFonts w:hint="eastAsia" w:ascii="仿宋_GB2312" w:hAnsi="宋体" w:eastAsia="仿宋_GB2312" w:cs="仿宋_GB2312"/>
          <w:sz w:val="32"/>
          <w:highlight w:val="none"/>
        </w:rPr>
        <w:t>.我单位承诺不非法转包或分包。</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以上承诺，如有违反，愿依照国家相关法律处理，并承担由此给采购人带来的损失。</w:t>
      </w:r>
    </w:p>
    <w:p>
      <w:pPr>
        <w:adjustRightInd w:val="0"/>
        <w:snapToGrid w:val="0"/>
        <w:spacing w:line="480" w:lineRule="exact"/>
        <w:ind w:firstLine="640" w:firstLineChars="200"/>
        <w:rPr>
          <w:rFonts w:hint="eastAsia" w:ascii="仿宋_GB2312" w:hAnsi="宋体" w:eastAsia="仿宋_GB2312" w:cs="Times New Roman"/>
          <w:sz w:val="32"/>
          <w:highlight w:val="none"/>
        </w:rPr>
      </w:pPr>
    </w:p>
    <w:p>
      <w:pPr>
        <w:adjustRightInd w:val="0"/>
        <w:snapToGrid w:val="0"/>
        <w:spacing w:line="480" w:lineRule="exact"/>
        <w:ind w:firstLine="640" w:firstLineChars="200"/>
        <w:rPr>
          <w:rFonts w:hint="eastAsia" w:ascii="仿宋_GB2312" w:hAnsi="宋体" w:eastAsia="仿宋_GB2312" w:cs="Times New Roman"/>
          <w:sz w:val="32"/>
          <w:highlight w:val="none"/>
          <w:u w:val="single"/>
        </w:rPr>
      </w:pPr>
      <w:r>
        <w:rPr>
          <w:rFonts w:hint="eastAsia" w:ascii="仿宋_GB2312" w:hAnsi="宋体" w:eastAsia="仿宋_GB2312" w:cs="仿宋_GB2312"/>
          <w:sz w:val="32"/>
          <w:highlight w:val="none"/>
        </w:rPr>
        <w:t xml:space="preserve">承诺投标人： </w:t>
      </w:r>
    </w:p>
    <w:p>
      <w:pPr>
        <w:adjustRightInd w:val="0"/>
        <w:snapToGrid w:val="0"/>
        <w:spacing w:line="480" w:lineRule="exact"/>
        <w:ind w:firstLine="640" w:firstLineChars="200"/>
        <w:rPr>
          <w:rFonts w:hint="eastAsia" w:ascii="仿宋_GB2312" w:hAnsi="宋体" w:eastAsia="仿宋_GB2312" w:cs="Times New Roman"/>
          <w:sz w:val="32"/>
          <w:highlight w:val="none"/>
        </w:rPr>
      </w:pPr>
      <w:r>
        <w:rPr>
          <w:rFonts w:hint="eastAsia" w:ascii="仿宋_GB2312" w:hAnsi="宋体" w:eastAsia="仿宋_GB2312" w:cs="仿宋_GB2312"/>
          <w:sz w:val="32"/>
          <w:highlight w:val="none"/>
        </w:rPr>
        <w:t>单位地址：</w:t>
      </w:r>
    </w:p>
    <w:p>
      <w:pPr>
        <w:adjustRightInd w:val="0"/>
        <w:snapToGrid w:val="0"/>
        <w:spacing w:line="480" w:lineRule="exact"/>
        <w:ind w:firstLine="640" w:firstLineChars="200"/>
        <w:rPr>
          <w:rFonts w:hint="eastAsia" w:ascii="仿宋_GB2312" w:hAnsi="宋体" w:eastAsia="仿宋_GB2312" w:cs="Times New Roman"/>
          <w:sz w:val="32"/>
          <w:highlight w:val="none"/>
          <w:u w:val="single"/>
        </w:rPr>
      </w:pPr>
      <w:r>
        <w:rPr>
          <w:rFonts w:hint="eastAsia" w:ascii="仿宋_GB2312" w:hAnsi="宋体" w:eastAsia="仿宋_GB2312" w:cs="仿宋_GB2312"/>
          <w:sz w:val="32"/>
          <w:highlight w:val="none"/>
        </w:rPr>
        <w:t>法定代表人或其委托代理人：</w:t>
      </w:r>
    </w:p>
    <w:p>
      <w:pPr>
        <w:adjustRightInd w:val="0"/>
        <w:snapToGrid w:val="0"/>
        <w:spacing w:line="480" w:lineRule="exact"/>
        <w:ind w:firstLine="640" w:firstLineChars="200"/>
        <w:rPr>
          <w:rFonts w:hint="eastAsia" w:ascii="仿宋_GB2312" w:hAnsi="宋体" w:eastAsia="仿宋_GB2312" w:cs="Times New Roman"/>
          <w:sz w:val="32"/>
          <w:highlight w:val="none"/>
          <w:u w:val="single"/>
        </w:rPr>
      </w:pPr>
      <w:r>
        <w:rPr>
          <w:rFonts w:hint="eastAsia" w:ascii="仿宋_GB2312" w:hAnsi="宋体" w:eastAsia="仿宋_GB2312" w:cs="仿宋_GB2312"/>
          <w:sz w:val="32"/>
          <w:highlight w:val="none"/>
        </w:rPr>
        <w:t>联系电话：</w:t>
      </w:r>
    </w:p>
    <w:p>
      <w:pPr>
        <w:adjustRightInd w:val="0"/>
        <w:snapToGrid w:val="0"/>
        <w:spacing w:line="480" w:lineRule="exact"/>
        <w:ind w:firstLine="640" w:firstLineChars="200"/>
        <w:rPr>
          <w:rFonts w:ascii="Times New Roman" w:hAnsi="Times New Roman" w:eastAsia="仿宋_GB2312" w:cs="Times New Roman"/>
          <w:sz w:val="32"/>
          <w:highlight w:val="none"/>
        </w:rPr>
      </w:pPr>
      <w:r>
        <w:rPr>
          <w:rFonts w:hint="eastAsia" w:ascii="仿宋_GB2312" w:hAnsi="Times New Roman" w:eastAsia="仿宋_GB2312" w:cs="仿宋_GB2312"/>
          <w:sz w:val="32"/>
          <w:highlight w:val="none"/>
        </w:rPr>
        <w:t xml:space="preserve">日期：   年   月   日  </w:t>
      </w:r>
      <w:r>
        <w:rPr>
          <w:rFonts w:ascii="Times New Roman" w:hAnsi="Times New Roman" w:eastAsia="仿宋_GB2312" w:cs="Times New Roman"/>
          <w:sz w:val="32"/>
          <w:highlight w:val="none"/>
        </w:rPr>
        <w:t xml:space="preserve"> </w:t>
      </w:r>
    </w:p>
    <w:p>
      <w:pPr>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br w:type="page"/>
      </w:r>
    </w:p>
    <w:p>
      <w:pP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附件2</w:t>
      </w:r>
    </w:p>
    <w:p>
      <w:pPr>
        <w:snapToGrid w:val="0"/>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供应商基本情况表</w:t>
      </w:r>
    </w:p>
    <w:p>
      <w:pPr>
        <w:rPr>
          <w:rFonts w:hint="eastAsia" w:ascii="仿宋_GB2312" w:hAnsi="方正仿宋_GBK" w:eastAsia="仿宋_GB2312" w:cs="方正仿宋_GBK"/>
          <w:sz w:val="28"/>
          <w:szCs w:val="28"/>
          <w:highlight w:val="none"/>
        </w:rPr>
      </w:pPr>
      <w:r>
        <w:rPr>
          <w:rFonts w:hint="eastAsia" w:ascii="仿宋_GB2312" w:hAnsi="方正仿宋_GBK" w:eastAsia="仿宋_GB2312" w:cs="方正仿宋_GBK"/>
          <w:sz w:val="28"/>
          <w:szCs w:val="28"/>
          <w:highlight w:val="none"/>
        </w:rPr>
        <w:t>填表单位：（加盖单位公章）</w:t>
      </w:r>
      <w:r>
        <w:rPr>
          <w:rFonts w:hint="eastAsia" w:ascii="仿宋_GB2312" w:hAnsi="方正仿宋_GBK" w:eastAsia="仿宋_GB2312" w:cs="方正仿宋_GBK"/>
          <w:sz w:val="28"/>
          <w:szCs w:val="28"/>
          <w:highlight w:val="none"/>
        </w:rPr>
        <w:tab/>
      </w:r>
      <w:r>
        <w:rPr>
          <w:rFonts w:hint="eastAsia" w:ascii="仿宋_GB2312" w:hAnsi="方正仿宋_GBK" w:eastAsia="仿宋_GB2312" w:cs="方正仿宋_GBK"/>
          <w:sz w:val="28"/>
          <w:szCs w:val="28"/>
          <w:highlight w:val="none"/>
        </w:rPr>
        <w:tab/>
      </w:r>
      <w:r>
        <w:rPr>
          <w:rFonts w:hint="eastAsia" w:ascii="仿宋_GB2312" w:hAnsi="方正仿宋_GBK" w:eastAsia="仿宋_GB2312" w:cs="方正仿宋_GBK"/>
          <w:sz w:val="28"/>
          <w:szCs w:val="28"/>
          <w:highlight w:val="none"/>
        </w:rPr>
        <w:t xml:space="preserve">   填表日期：    年   月   日</w:t>
      </w:r>
    </w:p>
    <w:tbl>
      <w:tblPr>
        <w:tblStyle w:val="8"/>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6"/>
        <w:gridCol w:w="676"/>
        <w:gridCol w:w="1844"/>
        <w:gridCol w:w="850"/>
        <w:gridCol w:w="650"/>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采购人</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项目名称</w:t>
            </w:r>
          </w:p>
        </w:tc>
        <w:tc>
          <w:tcPr>
            <w:tcW w:w="2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投标（响应）供应商</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b/>
                <w:bCs/>
                <w:kern w:val="2"/>
                <w:sz w:val="24"/>
                <w:szCs w:val="24"/>
                <w:highlight w:val="none"/>
                <w:lang w:val="en-US" w:eastAsia="zh-CN" w:bidi="ar"/>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序号</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职务</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姓名</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身份证号码</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劳动合同</w:t>
            </w:r>
          </w:p>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关系单位</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缴纳社会</w:t>
            </w:r>
          </w:p>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1</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法定代表人/单位负责人/主要经营负责人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2</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项目投标授权代表人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3</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项目负责人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4</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主要技术人员</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5</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投标文件编制人员</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方正仿宋_GBK"/>
                <w:sz w:val="24"/>
                <w:szCs w:val="24"/>
                <w:highlight w:val="none"/>
                <w:lang w:val="en-US"/>
              </w:rPr>
            </w:pPr>
            <w:r>
              <w:rPr>
                <w:rFonts w:hint="eastAsia" w:ascii="仿宋_GB2312" w:hAnsi="宋体" w:eastAsia="仿宋_GB2312" w:cs="方正仿宋_GBK"/>
                <w:b/>
                <w:bCs/>
                <w:kern w:val="2"/>
                <w:sz w:val="24"/>
                <w:szCs w:val="24"/>
                <w:highlight w:val="none"/>
                <w:lang w:val="en-US" w:eastAsia="zh-CN" w:bidi="ar"/>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b/>
                <w:bCs/>
                <w:sz w:val="24"/>
                <w:szCs w:val="24"/>
                <w:highlight w:val="none"/>
                <w:lang w:val="en-US"/>
              </w:rPr>
            </w:pPr>
            <w:r>
              <w:rPr>
                <w:rFonts w:hint="eastAsia" w:ascii="仿宋_GB2312" w:hAnsi="方正仿宋_GBK" w:eastAsia="仿宋_GB2312" w:cs="方正仿宋_GBK"/>
                <w:b/>
                <w:bCs/>
                <w:kern w:val="2"/>
                <w:sz w:val="24"/>
                <w:szCs w:val="24"/>
                <w:highlight w:val="none"/>
                <w:lang w:val="en-US" w:eastAsia="zh-CN" w:bidi="ar"/>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bidi="ar"/>
              </w:rPr>
            </w:pPr>
            <w:r>
              <w:rPr>
                <w:rFonts w:hint="eastAsia" w:ascii="仿宋_GB2312" w:hAnsi="方正仿宋_GBK" w:eastAsia="仿宋_GB2312" w:cs="方正仿宋_GBK"/>
                <w:kern w:val="2"/>
                <w:sz w:val="24"/>
                <w:szCs w:val="24"/>
                <w:highlight w:val="none"/>
                <w:lang w:val="en-US" w:eastAsia="zh-CN" w:bidi="ar"/>
              </w:rPr>
              <w:t>序号</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关联关系类型</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关联主体名称</w:t>
            </w: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bidi="ar"/>
              </w:rPr>
            </w:pPr>
            <w:r>
              <w:rPr>
                <w:rFonts w:hint="eastAsia" w:ascii="仿宋_GB2312" w:hAnsi="方正仿宋_GBK" w:eastAsia="仿宋_GB2312" w:cs="方正仿宋_GBK"/>
                <w:kern w:val="2"/>
                <w:sz w:val="24"/>
                <w:szCs w:val="24"/>
                <w:highlight w:val="none"/>
                <w:lang w:val="en-US" w:eastAsia="zh-CN" w:bidi="ar"/>
              </w:rPr>
              <w:t>1</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控股股东</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18"/>
                <w:szCs w:val="18"/>
                <w:highlight w:val="none"/>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bidi="ar"/>
              </w:rPr>
            </w:pPr>
            <w:r>
              <w:rPr>
                <w:rFonts w:hint="eastAsia" w:ascii="仿宋_GB2312" w:hAnsi="方正仿宋_GBK" w:eastAsia="仿宋_GB2312" w:cs="方正仿宋_GBK"/>
                <w:kern w:val="2"/>
                <w:sz w:val="24"/>
                <w:szCs w:val="24"/>
                <w:highlight w:val="none"/>
                <w:lang w:val="en-US" w:eastAsia="zh-CN" w:bidi="ar"/>
              </w:rPr>
              <w:t>2</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管理关系</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highlight w:val="none"/>
                <w:lang w:val="en-US"/>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_GB2312" w:hAnsi="方正仿宋_GBK" w:eastAsia="仿宋_GB2312" w:cs="方正仿宋_GBK"/>
                <w:sz w:val="24"/>
                <w:szCs w:val="24"/>
                <w:highlight w:val="none"/>
                <w:lang w:val="en-US"/>
              </w:rPr>
            </w:pPr>
            <w:r>
              <w:rPr>
                <w:rFonts w:hint="eastAsia" w:ascii="仿宋_GB2312" w:hAnsi="方正仿宋_GBK" w:eastAsia="仿宋_GB2312" w:cs="方正仿宋_GBK"/>
                <w:kern w:val="2"/>
                <w:sz w:val="24"/>
                <w:szCs w:val="24"/>
                <w:highlight w:val="none"/>
                <w:lang w:val="en-US" w:eastAsia="zh-CN" w:bidi="ar"/>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_GB2312" w:hAnsi="宋体" w:eastAsia="仿宋_GB2312" w:cs="方正仿宋_GBK"/>
                <w:sz w:val="24"/>
                <w:szCs w:val="24"/>
                <w:highlight w:val="none"/>
                <w:lang w:val="en-US"/>
              </w:rPr>
            </w:pPr>
            <w:r>
              <w:rPr>
                <w:rFonts w:hint="eastAsia" w:ascii="仿宋_GB2312" w:hAnsi="宋体" w:eastAsia="仿宋_GB2312" w:cs="方正仿宋_GBK"/>
                <w:b/>
                <w:bCs/>
                <w:kern w:val="2"/>
                <w:sz w:val="24"/>
                <w:szCs w:val="24"/>
                <w:highlight w:val="none"/>
                <w:lang w:val="en-US" w:eastAsia="zh-CN" w:bidi="ar"/>
              </w:rPr>
              <w:t>说明：同一关联关系类型有多个主体的，应分行填写。</w:t>
            </w:r>
          </w:p>
        </w:tc>
      </w:tr>
    </w:tbl>
    <w:p>
      <w:pPr>
        <w:adjustRightInd w:val="0"/>
        <w:snapToGrid w:val="0"/>
        <w:spacing w:line="480" w:lineRule="exact"/>
        <w:ind w:firstLine="640" w:firstLineChars="200"/>
        <w:rPr>
          <w:rFonts w:ascii="Times New Roman" w:hAnsi="Times New Roman" w:eastAsia="仿宋_GB2312" w:cs="Times New Roman"/>
          <w:sz w:val="32"/>
          <w:highlight w:val="none"/>
        </w:rPr>
      </w:pPr>
    </w:p>
    <w:bookmarkEnd w:id="1"/>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第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第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924"/>
    <w:rsid w:val="000268C4"/>
    <w:rsid w:val="00121B56"/>
    <w:rsid w:val="001D4560"/>
    <w:rsid w:val="004568DE"/>
    <w:rsid w:val="006E1EC2"/>
    <w:rsid w:val="00747C88"/>
    <w:rsid w:val="0086775F"/>
    <w:rsid w:val="0089592E"/>
    <w:rsid w:val="00E944C2"/>
    <w:rsid w:val="00F904B3"/>
    <w:rsid w:val="036D2B63"/>
    <w:rsid w:val="03A91924"/>
    <w:rsid w:val="04F27A0F"/>
    <w:rsid w:val="096B2F7E"/>
    <w:rsid w:val="104906FF"/>
    <w:rsid w:val="1868189A"/>
    <w:rsid w:val="1BA81681"/>
    <w:rsid w:val="1C9B12FC"/>
    <w:rsid w:val="1DBEB6E5"/>
    <w:rsid w:val="1EB42B5C"/>
    <w:rsid w:val="1FD652AB"/>
    <w:rsid w:val="1FFF56CB"/>
    <w:rsid w:val="2130749E"/>
    <w:rsid w:val="21EA5A86"/>
    <w:rsid w:val="323703B0"/>
    <w:rsid w:val="32A74917"/>
    <w:rsid w:val="35F80B33"/>
    <w:rsid w:val="3659434B"/>
    <w:rsid w:val="3A9A5D7A"/>
    <w:rsid w:val="3D622C7D"/>
    <w:rsid w:val="3FE7C22F"/>
    <w:rsid w:val="4023213B"/>
    <w:rsid w:val="43C336EC"/>
    <w:rsid w:val="479559FD"/>
    <w:rsid w:val="53187E45"/>
    <w:rsid w:val="59961B08"/>
    <w:rsid w:val="5CA442C0"/>
    <w:rsid w:val="5F4570C7"/>
    <w:rsid w:val="5FE16D87"/>
    <w:rsid w:val="60A77CDE"/>
    <w:rsid w:val="68A2033A"/>
    <w:rsid w:val="70AC4C3D"/>
    <w:rsid w:val="714F1CE8"/>
    <w:rsid w:val="732E601D"/>
    <w:rsid w:val="76692C0E"/>
    <w:rsid w:val="77FFE64D"/>
    <w:rsid w:val="8E3B97E7"/>
    <w:rsid w:val="BFFE91F2"/>
    <w:rsid w:val="D33F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99"/>
    <w:pPr>
      <w:spacing w:after="120"/>
    </w:p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4333</Words>
  <Characters>4475</Characters>
  <Lines>241</Lines>
  <Paragraphs>238</Paragraphs>
  <TotalTime>11</TotalTime>
  <ScaleCrop>false</ScaleCrop>
  <LinksUpToDate>false</LinksUpToDate>
  <CharactersWithSpaces>4503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2025-12-03T14:17:00Z</dcterms:created>
  <dc:creator>wps 会员</dc:creator>
  <cp:lastModifiedBy>SZDRC</cp:lastModifiedBy>
  <dcterms:modified xsi:type="dcterms:W3CDTF">2026-06-18T17:23:44Z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4DA2878CB40046018466A60E56A34ECE_13</vt:lpwstr>
  </property>
  <property fmtid="{D5CDD505-2E9C-101B-9397-08002B2CF9AE}" pid="4" name="KSOTemplateDocerSaveRecord">
    <vt:lpwstr>eyJoZGlkIjoiNWE3MmViYTk5MmRlZDhkZGExNWYzYTQxNmMyMjYzZDEiLCJ1c2VySWQiOiIxNjg5NDQ1MTI2In0=</vt:lpwstr>
  </property>
</Properties>
</file>