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2EA24">
      <w:pPr>
        <w:adjustRightInd w:val="0"/>
        <w:snapToGrid w:val="0"/>
        <w:rPr>
          <w:rFonts w:hint="eastAsia" w:ascii="宋体" w:hAnsi="宋体" w:cs="Arial"/>
          <w:b/>
          <w:bCs/>
          <w:sz w:val="44"/>
          <w:szCs w:val="44"/>
        </w:rPr>
      </w:pPr>
    </w:p>
    <w:p w14:paraId="45A49D66">
      <w:pPr>
        <w:spacing w:line="360" w:lineRule="auto"/>
        <w:jc w:val="center"/>
        <w:rPr>
          <w:rFonts w:hint="eastAsia" w:ascii="宋体" w:hAnsi="宋体" w:cs="Arial"/>
          <w:b/>
          <w:bCs/>
          <w:sz w:val="44"/>
          <w:szCs w:val="44"/>
        </w:rPr>
      </w:pPr>
      <w:r>
        <w:rPr>
          <w:rFonts w:ascii="宋体" w:hAnsi="宋体" w:cs="Arial"/>
          <w:b/>
          <w:bCs/>
          <w:sz w:val="32"/>
          <w:szCs w:val="44"/>
        </w:rPr>
        <w:t>深圳对接香港新田科技城创科产业发展规划开展合作项目谋划预研</w:t>
      </w:r>
    </w:p>
    <w:p w14:paraId="6B95DA5B">
      <w:pPr>
        <w:spacing w:line="360" w:lineRule="auto"/>
        <w:ind w:left="420" w:leftChars="200"/>
        <w:jc w:val="center"/>
        <w:rPr>
          <w:rFonts w:hint="eastAsia" w:ascii="黑体" w:hAnsi="宋体" w:eastAsia="黑体"/>
          <w:b/>
          <w:bCs/>
          <w:sz w:val="32"/>
          <w:szCs w:val="32"/>
        </w:rPr>
      </w:pPr>
    </w:p>
    <w:p w14:paraId="7CD85A73">
      <w:pPr>
        <w:spacing w:line="360" w:lineRule="auto"/>
        <w:ind w:left="420" w:leftChars="200"/>
        <w:jc w:val="center"/>
        <w:rPr>
          <w:rFonts w:hint="eastAsia" w:ascii="黑体" w:hAnsi="宋体" w:eastAsia="黑体"/>
          <w:b/>
          <w:bCs/>
          <w:sz w:val="32"/>
          <w:szCs w:val="32"/>
        </w:rPr>
      </w:pPr>
    </w:p>
    <w:p w14:paraId="40C77B7A">
      <w:pPr>
        <w:spacing w:line="360" w:lineRule="auto"/>
        <w:jc w:val="center"/>
        <w:rPr>
          <w:rFonts w:hint="eastAsia" w:ascii="黑体" w:hAnsi="宋体" w:eastAsia="黑体"/>
          <w:b/>
          <w:bCs/>
          <w:sz w:val="72"/>
          <w:szCs w:val="72"/>
        </w:rPr>
      </w:pPr>
      <w:r>
        <w:rPr>
          <w:rFonts w:hint="eastAsia" w:ascii="黑体" w:hAnsi="黑体" w:eastAsia="黑体"/>
          <w:b/>
          <w:bCs/>
          <w:sz w:val="72"/>
          <w:szCs w:val="72"/>
        </w:rPr>
        <w:t>招</w:t>
      </w:r>
    </w:p>
    <w:p w14:paraId="46BF701F">
      <w:pPr>
        <w:spacing w:line="360" w:lineRule="auto"/>
        <w:jc w:val="center"/>
        <w:rPr>
          <w:rFonts w:hint="eastAsia" w:ascii="黑体" w:hAnsi="宋体" w:eastAsia="黑体"/>
          <w:b/>
          <w:bCs/>
          <w:sz w:val="72"/>
          <w:szCs w:val="72"/>
        </w:rPr>
      </w:pPr>
    </w:p>
    <w:p w14:paraId="294C9F7E">
      <w:pPr>
        <w:spacing w:line="360" w:lineRule="auto"/>
        <w:jc w:val="center"/>
        <w:rPr>
          <w:rFonts w:hint="eastAsia" w:ascii="黑体" w:hAnsi="宋体" w:eastAsia="黑体"/>
          <w:b/>
          <w:bCs/>
          <w:sz w:val="72"/>
          <w:szCs w:val="72"/>
        </w:rPr>
      </w:pPr>
      <w:r>
        <w:rPr>
          <w:rFonts w:hint="eastAsia" w:ascii="黑体" w:hAnsi="黑体" w:eastAsia="黑体"/>
          <w:b/>
          <w:bCs/>
          <w:sz w:val="72"/>
          <w:szCs w:val="72"/>
        </w:rPr>
        <w:t>标</w:t>
      </w:r>
    </w:p>
    <w:p w14:paraId="1990A80D">
      <w:pPr>
        <w:spacing w:line="360" w:lineRule="auto"/>
        <w:jc w:val="center"/>
        <w:rPr>
          <w:rFonts w:hint="eastAsia" w:ascii="黑体" w:hAnsi="宋体" w:eastAsia="黑体"/>
          <w:b/>
          <w:bCs/>
          <w:sz w:val="48"/>
          <w:szCs w:val="48"/>
        </w:rPr>
      </w:pPr>
    </w:p>
    <w:p w14:paraId="26EAF51D">
      <w:pPr>
        <w:spacing w:line="360" w:lineRule="auto"/>
        <w:jc w:val="center"/>
        <w:rPr>
          <w:rFonts w:hint="eastAsia" w:ascii="黑体" w:hAnsi="宋体" w:eastAsia="黑体"/>
          <w:b/>
          <w:bCs/>
          <w:sz w:val="72"/>
          <w:szCs w:val="72"/>
        </w:rPr>
      </w:pPr>
      <w:r>
        <w:rPr>
          <w:rFonts w:hint="eastAsia" w:ascii="黑体" w:hAnsi="黑体" w:eastAsia="黑体"/>
          <w:b/>
          <w:bCs/>
          <w:sz w:val="72"/>
          <w:szCs w:val="72"/>
        </w:rPr>
        <w:t>书</w:t>
      </w:r>
    </w:p>
    <w:p w14:paraId="18418BE3">
      <w:pPr>
        <w:spacing w:line="360" w:lineRule="auto"/>
        <w:ind w:left="420" w:leftChars="200"/>
        <w:jc w:val="center"/>
        <w:rPr>
          <w:rFonts w:hint="eastAsia" w:ascii="宋体" w:hAnsi="宋体"/>
          <w:sz w:val="44"/>
          <w:szCs w:val="44"/>
        </w:rPr>
      </w:pPr>
    </w:p>
    <w:p w14:paraId="7BB36515">
      <w:pPr>
        <w:spacing w:line="360" w:lineRule="auto"/>
        <w:ind w:left="420" w:leftChars="200"/>
        <w:jc w:val="center"/>
        <w:rPr>
          <w:rFonts w:hint="eastAsia" w:ascii="方正小标宋简体" w:hAnsi="宋体" w:cs="Arial"/>
          <w:sz w:val="48"/>
          <w:szCs w:val="48"/>
        </w:rPr>
      </w:pPr>
    </w:p>
    <w:p w14:paraId="1B6ED924">
      <w:pPr>
        <w:spacing w:line="360" w:lineRule="auto"/>
        <w:rPr>
          <w:rFonts w:hint="eastAsia" w:ascii="方正小标宋简体" w:hAnsi="宋体" w:cs="Arial"/>
          <w:sz w:val="48"/>
          <w:szCs w:val="48"/>
        </w:rPr>
      </w:pPr>
    </w:p>
    <w:p w14:paraId="7FF87434">
      <w:pPr>
        <w:spacing w:line="600" w:lineRule="exact"/>
        <w:jc w:val="center"/>
        <w:rPr>
          <w:rFonts w:hint="eastAsia" w:ascii="宋体" w:hAnsi="宋体"/>
          <w:b/>
          <w:bCs/>
          <w:sz w:val="32"/>
          <w:szCs w:val="32"/>
        </w:rPr>
      </w:pPr>
      <w:r>
        <w:rPr>
          <w:rFonts w:hint="eastAsia" w:ascii="宋体" w:hAnsi="宋体"/>
          <w:b/>
          <w:bCs/>
          <w:sz w:val="32"/>
          <w:szCs w:val="32"/>
        </w:rPr>
        <w:t>深圳市发展和改革委员会</w:t>
      </w:r>
    </w:p>
    <w:p w14:paraId="55E77388">
      <w:pPr>
        <w:spacing w:line="600" w:lineRule="exact"/>
        <w:jc w:val="cente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6年</w:t>
      </w:r>
      <w:r>
        <w:rPr>
          <w:rFonts w:hint="eastAsia" w:ascii="宋体" w:hAnsi="宋体"/>
          <w:b/>
          <w:bCs/>
          <w:sz w:val="32"/>
          <w:szCs w:val="32"/>
          <w:lang w:val="en-US" w:eastAsia="zh-CN"/>
        </w:rPr>
        <w:t>6</w:t>
      </w:r>
      <w:r>
        <w:rPr>
          <w:rFonts w:hint="eastAsia" w:ascii="宋体" w:hAnsi="宋体"/>
          <w:b/>
          <w:bCs/>
          <w:sz w:val="32"/>
          <w:szCs w:val="32"/>
        </w:rPr>
        <w:t>月</w:t>
      </w:r>
    </w:p>
    <w:p w14:paraId="23C9D632">
      <w:pPr>
        <w:jc w:val="left"/>
        <w:rPr>
          <w:rFonts w:hint="eastAsia" w:ascii="宋体" w:hAnsi="宋体" w:cs="宋体"/>
          <w:b/>
          <w:bCs/>
          <w:sz w:val="44"/>
          <w:szCs w:val="44"/>
        </w:rPr>
        <w:sectPr>
          <w:pgSz w:w="11906" w:h="16838"/>
          <w:pgMar w:top="1400" w:right="1797" w:bottom="1089" w:left="1797" w:header="720" w:footer="720" w:gutter="0"/>
          <w:cols w:space="720" w:num="1"/>
          <w:docGrid w:type="lines" w:linePitch="312" w:charSpace="0"/>
        </w:sectPr>
      </w:pPr>
    </w:p>
    <w:p w14:paraId="4E5BE2F0">
      <w:pPr>
        <w:adjustRightInd w:val="0"/>
        <w:snapToGrid w:val="0"/>
        <w:jc w:val="center"/>
        <w:rPr>
          <w:rFonts w:hint="eastAsia" w:ascii="宋体" w:hAnsi="宋体" w:cs="Arial"/>
          <w:b/>
          <w:bCs/>
          <w:sz w:val="44"/>
          <w:szCs w:val="44"/>
        </w:rPr>
      </w:pPr>
    </w:p>
    <w:p w14:paraId="055E9BCF">
      <w:pPr>
        <w:adjustRightInd w:val="0"/>
        <w:snapToGrid w:val="0"/>
        <w:jc w:val="center"/>
        <w:rPr>
          <w:rFonts w:hint="eastAsia" w:ascii="宋体" w:hAnsi="宋体" w:cs="Arial"/>
          <w:b/>
          <w:bCs/>
          <w:sz w:val="44"/>
          <w:szCs w:val="44"/>
        </w:rPr>
      </w:pPr>
      <w:r>
        <w:rPr>
          <w:rFonts w:ascii="宋体" w:hAnsi="宋体" w:cs="Arial"/>
          <w:b/>
          <w:bCs/>
          <w:sz w:val="44"/>
          <w:szCs w:val="44"/>
        </w:rPr>
        <w:t>深圳对接香港新田科技城创科产业发展规划开展合作项目谋划预研</w:t>
      </w:r>
      <w:r>
        <w:rPr>
          <w:rFonts w:hint="eastAsia" w:ascii="宋体" w:hAnsi="宋体" w:cs="Arial"/>
          <w:b/>
          <w:bCs/>
          <w:sz w:val="44"/>
          <w:szCs w:val="44"/>
        </w:rPr>
        <w:t>招标书</w:t>
      </w:r>
    </w:p>
    <w:p w14:paraId="6ED41C19">
      <w:pPr>
        <w:spacing w:line="560" w:lineRule="exact"/>
        <w:ind w:firstLine="643" w:firstLineChars="200"/>
        <w:rPr>
          <w:rFonts w:hint="eastAsia" w:ascii="黑体" w:hAnsi="黑体" w:eastAsia="黑体"/>
          <w:b/>
          <w:bCs/>
          <w:sz w:val="32"/>
          <w:szCs w:val="32"/>
        </w:rPr>
      </w:pPr>
    </w:p>
    <w:p w14:paraId="558E9967">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一、项目概况</w:t>
      </w:r>
    </w:p>
    <w:p w14:paraId="15E8973D">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w:t>
      </w:r>
      <w:r>
        <w:rPr>
          <w:rFonts w:ascii="仿宋_GB2312" w:hAnsi="仿宋" w:eastAsia="仿宋_GB2312" w:cs="仿宋_GB2312"/>
          <w:sz w:val="32"/>
          <w:szCs w:val="32"/>
        </w:rPr>
        <w:t>深圳对接香港新田科技城创科产业发展规划开展合作项目谋划预研</w:t>
      </w:r>
      <w:r>
        <w:rPr>
          <w:rFonts w:hint="eastAsia" w:ascii="仿宋_GB2312" w:hAnsi="仿宋" w:eastAsia="仿宋_GB2312" w:cs="仿宋_GB2312"/>
          <w:sz w:val="32"/>
          <w:szCs w:val="32"/>
        </w:rPr>
        <w:t>。</w:t>
      </w:r>
    </w:p>
    <w:p w14:paraId="32847632">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ascii="仿宋_GB2312" w:hAnsi="仿宋" w:eastAsia="仿宋_GB2312" w:cs="仿宋_GB2312"/>
          <w:sz w:val="32"/>
          <w:szCs w:val="32"/>
        </w:rPr>
        <w:t>6</w:t>
      </w:r>
      <w:r>
        <w:rPr>
          <w:rFonts w:hint="eastAsia" w:ascii="仿宋_GB2312" w:hAnsi="仿宋" w:eastAsia="仿宋_GB2312" w:cs="仿宋_GB2312"/>
          <w:sz w:val="32"/>
          <w:szCs w:val="32"/>
        </w:rPr>
        <w:t>个月。</w:t>
      </w:r>
    </w:p>
    <w:p w14:paraId="52B49A92">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（三）项目预算：预算金额66.6万元以下。</w:t>
      </w:r>
    </w:p>
    <w:p w14:paraId="12922286">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二、项目内容</w:t>
      </w:r>
    </w:p>
    <w:p w14:paraId="28B5D016">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（一）对接路径与重点领域研究。分析香港科技产业布局逻辑与侧重点，明确深港产学研跨境协作需求及痛点，提出重点产业合作方向与协同模式。</w:t>
      </w:r>
    </w:p>
    <w:p w14:paraId="203B510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（二）跨境设施与平台谋划。聚焦前沿领域要素跨境流动需求，找出现有设施短板，提出算力枢纽、数据专用通道、跨境样本库等关键基础设施布局。</w:t>
      </w:r>
    </w:p>
    <w:p w14:paraId="4617AC8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（三）创新生态与政策协同研究。梳理深港规则差异与政策壁垒，提出联合政策包优化、要素流动机制及孵化器、服务平台等生态共建举措。</w:t>
      </w:r>
    </w:p>
    <w:p w14:paraId="2236531D">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（四）重点合作项目储备。围绕算力</w:t>
      </w:r>
      <w:r>
        <w:rPr>
          <w:rFonts w:hint="eastAsia" w:ascii="仿宋_GB2312" w:hAnsi="仿宋_GB2312" w:eastAsia="仿宋_GB2312" w:cs="仿宋_GB2312"/>
          <w:bCs/>
          <w:sz w:val="32"/>
          <w:szCs w:val="32"/>
          <w:lang w:eastAsia="zh-CN"/>
        </w:rPr>
        <w:t>设施</w:t>
      </w:r>
      <w:r>
        <w:rPr>
          <w:rFonts w:hint="eastAsia" w:ascii="仿宋_GB2312" w:hAnsi="仿宋_GB2312" w:eastAsia="仿宋_GB2312" w:cs="仿宋_GB2312"/>
          <w:bCs/>
          <w:sz w:val="32"/>
          <w:szCs w:val="32"/>
        </w:rPr>
        <w:t>、具身智能、脑科学、生物医药等领域，谋划一批重大设施与科研平台，明确功能定位与建设条件，形成项目储备库</w:t>
      </w:r>
      <w:r>
        <w:rPr>
          <w:rFonts w:ascii="仿宋_GB2312" w:hAnsi="仿宋_GB2312" w:eastAsia="仿宋_GB2312" w:cs="仿宋_GB2312"/>
          <w:bCs/>
          <w:sz w:val="32"/>
          <w:szCs w:val="32"/>
        </w:rPr>
        <w:t>。</w:t>
      </w:r>
    </w:p>
    <w:p w14:paraId="55C707B9">
      <w:pPr>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三、项目实施要求</w:t>
      </w:r>
    </w:p>
    <w:p w14:paraId="07790E01">
      <w:pPr>
        <w:spacing w:line="56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（一）项目成果应遵循国家颁布的有关法律、法规及政策要求，符合相关的技术规范和标准。</w:t>
      </w:r>
    </w:p>
    <w:p w14:paraId="2C85CD0C">
      <w:pPr>
        <w:spacing w:line="56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（二）研究过程中应当进行深入调查研究，充分把握深圳现有基础条件、存在问题等相关信息和基础资料。</w:t>
      </w:r>
    </w:p>
    <w:p w14:paraId="03661921">
      <w:pPr>
        <w:spacing w:line="56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（三）研究成果要具有前瞻性，面向未来、视野开阔；具有系统性，研究成果要体系完整、内容全面、材料丰富；具有实用性，研究成果符合深圳实际，针对性和可操作性强。</w:t>
      </w:r>
    </w:p>
    <w:p w14:paraId="5C7A01CD">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四、项目成果交付要求</w:t>
      </w:r>
    </w:p>
    <w:p w14:paraId="3BA5B870">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提交研究成果纸</w:t>
      </w:r>
      <w:r>
        <w:rPr>
          <w:rFonts w:hint="eastAsia" w:ascii="仿宋_GB2312" w:hAnsi="仿宋_GB2312" w:eastAsia="仿宋_GB2312" w:cs="仿宋_GB2312"/>
          <w:sz w:val="32"/>
          <w:szCs w:val="24"/>
        </w:rPr>
        <w:t>质版10份</w:t>
      </w:r>
      <w:r>
        <w:rPr>
          <w:rFonts w:hint="eastAsia" w:ascii="Times New Roman" w:hAnsi="Times New Roman" w:eastAsia="仿宋_GB2312"/>
          <w:sz w:val="32"/>
          <w:szCs w:val="24"/>
        </w:rPr>
        <w:t>和电子版，文件能够简明扼要介绍成果核心内容与主要结论。</w:t>
      </w:r>
    </w:p>
    <w:p w14:paraId="31CD68AF">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五、投标资格要求</w:t>
      </w:r>
    </w:p>
    <w:p w14:paraId="4CB4EC81">
      <w:pPr>
        <w:spacing w:line="56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（一）具有独立承担民事责任能力的在中华人民共和国境内注册的法人。</w:t>
      </w:r>
    </w:p>
    <w:p w14:paraId="722CE964">
      <w:pPr>
        <w:spacing w:line="56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（二）投标人必须具备相关经营范围（咨询服务等），具备开展本项目研究的基本条件和研究能力。</w:t>
      </w:r>
    </w:p>
    <w:p w14:paraId="131C97FC">
      <w:pPr>
        <w:spacing w:line="56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（三）参加本次政府采购活动前</w:t>
      </w:r>
      <w:r>
        <w:rPr>
          <w:rFonts w:ascii="仿宋_GB2312" w:hAnsi="仿宋_GB2312" w:eastAsia="仿宋_GB2312" w:cs="仿宋_GB2312"/>
          <w:sz w:val="32"/>
          <w:szCs w:val="24"/>
        </w:rPr>
        <w:t>3年内在经营活动中没有重大违法记录（提供声明函，格式自拟）。</w:t>
      </w:r>
    </w:p>
    <w:p w14:paraId="7776EB3B">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六、投标时间、方式及联系人</w:t>
      </w:r>
    </w:p>
    <w:p w14:paraId="0F076542">
      <w:pPr>
        <w:spacing w:line="560" w:lineRule="exact"/>
        <w:ind w:firstLine="640" w:firstLineChars="200"/>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rPr>
        <w:t>（一）投标</w:t>
      </w:r>
      <w:r>
        <w:rPr>
          <w:rFonts w:hint="eastAsia" w:ascii="仿宋_GB2312" w:hAnsi="仿宋_GB2312" w:eastAsia="仿宋_GB2312" w:cs="仿宋_GB2312"/>
          <w:sz w:val="32"/>
          <w:szCs w:val="24"/>
        </w:rPr>
        <w:t>时间：</w:t>
      </w:r>
      <w:r>
        <w:rPr>
          <w:rFonts w:hint="eastAsia" w:ascii="仿宋_GB2312" w:hAnsi="仿宋_GB2312" w:eastAsia="仿宋_GB2312" w:cs="仿宋_GB2312"/>
          <w:sz w:val="32"/>
          <w:szCs w:val="24"/>
          <w:highlight w:val="none"/>
        </w:rPr>
        <w:t>2026年</w:t>
      </w:r>
      <w:r>
        <w:rPr>
          <w:rFonts w:hint="eastAsia" w:ascii="仿宋_GB2312" w:hAnsi="仿宋_GB2312" w:eastAsia="仿宋_GB2312" w:cs="仿宋_GB2312"/>
          <w:sz w:val="32"/>
          <w:szCs w:val="24"/>
          <w:highlight w:val="none"/>
          <w:lang w:val="en-US" w:eastAsia="zh-CN"/>
        </w:rPr>
        <w:t>6</w:t>
      </w:r>
      <w:r>
        <w:rPr>
          <w:rFonts w:hint="eastAsia" w:ascii="仿宋_GB2312" w:hAnsi="仿宋_GB2312" w:eastAsia="仿宋_GB2312" w:cs="仿宋_GB2312"/>
          <w:sz w:val="32"/>
          <w:szCs w:val="24"/>
          <w:highlight w:val="none"/>
        </w:rPr>
        <w:t>月</w:t>
      </w:r>
      <w:r>
        <w:rPr>
          <w:rFonts w:hint="eastAsia" w:ascii="仿宋_GB2312" w:hAnsi="仿宋_GB2312" w:eastAsia="仿宋_GB2312" w:cs="仿宋_GB2312"/>
          <w:sz w:val="32"/>
          <w:szCs w:val="24"/>
          <w:highlight w:val="none"/>
          <w:lang w:val="en-US" w:eastAsia="zh-CN"/>
        </w:rPr>
        <w:t>8</w:t>
      </w:r>
      <w:r>
        <w:rPr>
          <w:rFonts w:hint="eastAsia" w:ascii="仿宋_GB2312" w:hAnsi="仿宋_GB2312" w:eastAsia="仿宋_GB2312" w:cs="仿宋_GB2312"/>
          <w:sz w:val="32"/>
          <w:szCs w:val="24"/>
          <w:highlight w:val="none"/>
        </w:rPr>
        <w:t>日至2026年6月</w:t>
      </w:r>
      <w:r>
        <w:rPr>
          <w:rFonts w:hint="eastAsia" w:ascii="仿宋_GB2312" w:hAnsi="仿宋_GB2312" w:eastAsia="仿宋_GB2312" w:cs="仿宋_GB2312"/>
          <w:sz w:val="32"/>
          <w:szCs w:val="24"/>
          <w:highlight w:val="none"/>
          <w:lang w:val="en-US" w:eastAsia="zh-CN"/>
        </w:rPr>
        <w:t>22</w:t>
      </w:r>
      <w:r>
        <w:rPr>
          <w:rFonts w:hint="eastAsia" w:ascii="仿宋_GB2312" w:hAnsi="仿宋_GB2312" w:eastAsia="仿宋_GB2312" w:cs="仿宋_GB2312"/>
          <w:sz w:val="32"/>
          <w:szCs w:val="24"/>
          <w:highlight w:val="none"/>
        </w:rPr>
        <w:t>日，</w:t>
      </w:r>
      <w:r>
        <w:rPr>
          <w:rFonts w:hint="eastAsia" w:ascii="仿宋_GB2312" w:hAnsi="仿宋_GB2312" w:eastAsia="仿宋_GB2312" w:cs="仿宋_GB2312"/>
          <w:sz w:val="32"/>
          <w:szCs w:val="24"/>
        </w:rPr>
        <w:t>每日上午9:00-12:00，下午2:00-</w:t>
      </w:r>
      <w:r>
        <w:rPr>
          <w:rFonts w:ascii="仿宋_GB2312" w:hAnsi="仿宋_GB2312" w:eastAsia="仿宋_GB2312" w:cs="仿宋_GB2312"/>
          <w:sz w:val="32"/>
          <w:szCs w:val="24"/>
        </w:rPr>
        <w:t>5</w:t>
      </w:r>
      <w:r>
        <w:rPr>
          <w:rFonts w:hint="eastAsia" w:ascii="仿宋_GB2312" w:hAnsi="仿宋_GB2312" w:eastAsia="仿宋_GB2312" w:cs="仿宋_GB2312"/>
          <w:sz w:val="32"/>
          <w:szCs w:val="24"/>
        </w:rPr>
        <w:t>:</w:t>
      </w:r>
      <w:r>
        <w:rPr>
          <w:rFonts w:ascii="仿宋_GB2312" w:hAnsi="仿宋_GB2312" w:eastAsia="仿宋_GB2312" w:cs="仿宋_GB2312"/>
          <w:sz w:val="32"/>
          <w:szCs w:val="24"/>
        </w:rPr>
        <w:t>45</w:t>
      </w:r>
      <w:r>
        <w:rPr>
          <w:rFonts w:hint="eastAsia" w:ascii="仿宋_GB2312" w:hAnsi="仿宋_GB2312" w:eastAsia="仿宋_GB2312" w:cs="仿宋_GB2312"/>
          <w:sz w:val="32"/>
          <w:szCs w:val="24"/>
        </w:rPr>
        <w:t>（节假日除外）。逾期未投标将不再受理</w:t>
      </w:r>
      <w:r>
        <w:rPr>
          <w:rFonts w:ascii="Times New Roman" w:hAnsi="Times New Roman" w:eastAsia="仿宋_GB2312"/>
          <w:sz w:val="32"/>
          <w:szCs w:val="24"/>
        </w:rPr>
        <w:t>。</w:t>
      </w:r>
      <w:r>
        <w:rPr>
          <w:rFonts w:hint="eastAsia" w:ascii="Times New Roman" w:hAnsi="Times New Roman" w:eastAsia="仿宋_GB2312"/>
          <w:sz w:val="32"/>
          <w:szCs w:val="24"/>
          <w:lang w:val="en-US" w:eastAsia="zh-CN"/>
        </w:rPr>
        <w:t xml:space="preserve"> </w:t>
      </w:r>
      <w:bookmarkStart w:id="0" w:name="_GoBack"/>
      <w:bookmarkEnd w:id="0"/>
    </w:p>
    <w:p w14:paraId="32AB6F4B">
      <w:pPr>
        <w:spacing w:line="560" w:lineRule="exact"/>
        <w:ind w:firstLine="640" w:firstLineChars="200"/>
        <w:rPr>
          <w:rFonts w:hint="eastAsia" w:ascii="仿宋_GB2312" w:hAnsi="仿宋_GB2312" w:eastAsia="仿宋_GB2312" w:cs="仿宋_GB2312"/>
          <w:sz w:val="32"/>
          <w:szCs w:val="24"/>
        </w:rPr>
      </w:pPr>
      <w:r>
        <w:rPr>
          <w:rFonts w:hint="eastAsia" w:ascii="Times New Roman" w:hAnsi="Times New Roman" w:eastAsia="仿宋_GB2312"/>
          <w:sz w:val="32"/>
          <w:szCs w:val="24"/>
        </w:rPr>
        <w:t>（二）投</w:t>
      </w:r>
      <w:r>
        <w:rPr>
          <w:rFonts w:hint="eastAsia" w:ascii="仿宋_GB2312" w:hAnsi="仿宋_GB2312" w:eastAsia="仿宋_GB2312" w:cs="仿宋_GB2312"/>
          <w:sz w:val="32"/>
          <w:szCs w:val="24"/>
        </w:rPr>
        <w:t>标地点：深圳市福田区福中三路市民中心B区行政服务大厅2号市发展和改革委卡座（可邮寄，以送达日期为投标日期）。</w:t>
      </w:r>
    </w:p>
    <w:p w14:paraId="4F5733CE">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（三）联系人：</w:t>
      </w:r>
      <w:r>
        <w:rPr>
          <w:rFonts w:hint="eastAsia" w:ascii="仿宋_GB2312" w:hAnsi="仿宋_GB2312" w:eastAsia="仿宋_GB2312" w:cs="仿宋_GB2312"/>
          <w:sz w:val="32"/>
          <w:szCs w:val="24"/>
          <w:lang w:val="en-US" w:eastAsia="zh-CN"/>
        </w:rPr>
        <w:t>88125842（收件咨询）、</w:t>
      </w:r>
      <w:r>
        <w:rPr>
          <w:rFonts w:hint="eastAsia" w:ascii="仿宋_GB2312" w:hAnsi="仿宋_GB2312" w:eastAsia="仿宋_GB2312" w:cs="仿宋_GB2312"/>
          <w:sz w:val="32"/>
          <w:szCs w:val="24"/>
          <w:highlight w:val="none"/>
          <w:lang w:val="en-US" w:eastAsia="zh-CN"/>
        </w:rPr>
        <w:t>88125087（业务咨询）</w:t>
      </w:r>
      <w:r>
        <w:rPr>
          <w:rFonts w:hint="eastAsia" w:ascii="仿宋_GB2312" w:hAnsi="仿宋_GB2312" w:eastAsia="仿宋_GB2312" w:cs="仿宋_GB2312"/>
          <w:sz w:val="32"/>
          <w:szCs w:val="24"/>
        </w:rPr>
        <w:t>。</w:t>
      </w:r>
    </w:p>
    <w:p w14:paraId="4FD4B741">
      <w:pPr>
        <w:adjustRightInd w:val="0"/>
        <w:snapToGrid w:val="0"/>
        <w:spacing w:line="560" w:lineRule="exact"/>
        <w:ind w:firstLine="643" w:firstLineChars="200"/>
        <w:outlineLvl w:val="0"/>
        <w:rPr>
          <w:rFonts w:hint="eastAsia" w:ascii="黑体" w:hAnsi="黑体" w:eastAsia="黑体"/>
          <w:b/>
          <w:bCs/>
          <w:sz w:val="32"/>
          <w:szCs w:val="32"/>
        </w:rPr>
      </w:pPr>
      <w:r>
        <w:rPr>
          <w:rFonts w:ascii="黑体" w:hAnsi="黑体" w:eastAsia="黑体"/>
          <w:b/>
          <w:bCs/>
          <w:sz w:val="32"/>
          <w:szCs w:val="32"/>
        </w:rPr>
        <w:t>七</w:t>
      </w:r>
      <w:r>
        <w:rPr>
          <w:rFonts w:hint="eastAsia" w:ascii="黑体" w:hAnsi="黑体" w:eastAsia="黑体"/>
          <w:b/>
          <w:bCs/>
          <w:sz w:val="32"/>
          <w:szCs w:val="32"/>
        </w:rPr>
        <w:t>、投标文件递交内容</w:t>
      </w:r>
    </w:p>
    <w:p w14:paraId="01ECA76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（一）投标单位简介、投标人营业执照及相关证照（提供加盖公章的复印件，原件备查）。</w:t>
      </w:r>
    </w:p>
    <w:p w14:paraId="6728AC7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（二）法定代表人证明书及授权委托书（原件加盖公章）。</w:t>
      </w:r>
    </w:p>
    <w:p w14:paraId="27E4DAB5">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（三）法定代表人及受委托人身份证复印件（复印件加盖公章）。</w:t>
      </w:r>
    </w:p>
    <w:p w14:paraId="0CA8E0C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（四）项目方案及报价单（原件加盖公章）。</w:t>
      </w:r>
    </w:p>
    <w:p w14:paraId="6CAA505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（五）投标人相关领域</w:t>
      </w:r>
      <w:r>
        <w:rPr>
          <w:rFonts w:ascii="仿宋_GB2312" w:hAnsi="Times New Roman" w:eastAsia="仿宋_GB2312"/>
          <w:bCs/>
          <w:sz w:val="32"/>
          <w:szCs w:val="32"/>
        </w:rPr>
        <w:t>/项目经验证明材料（复印件加盖公章）。</w:t>
      </w:r>
    </w:p>
    <w:p w14:paraId="6FFD339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（六）投标人无重大违法记录声明函（原件加盖公章，格式自拟）。</w:t>
      </w:r>
    </w:p>
    <w:p w14:paraId="16C3C2C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（七）投标及履约承诺函原件（格式见附件）。</w:t>
      </w:r>
    </w:p>
    <w:p w14:paraId="0E6CDAD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（八）住所地不在深圳的投标人应提供营业场所证明原件。</w:t>
      </w:r>
    </w:p>
    <w:p w14:paraId="156FC6A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（九）投标人认为有必要提供的其它材料。</w:t>
      </w:r>
    </w:p>
    <w:p w14:paraId="0FB5CA90">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投标文件一式三份，整套材料密封并加盖骑缝章，封面注明投标人的名称、地址、联系人及手机号码。</w:t>
      </w:r>
    </w:p>
    <w:p w14:paraId="3BEB20F8">
      <w:pPr>
        <w:adjustRightInd w:val="0"/>
        <w:snapToGrid w:val="0"/>
        <w:spacing w:line="560" w:lineRule="exact"/>
        <w:ind w:firstLine="643" w:firstLineChars="200"/>
        <w:outlineLvl w:val="0"/>
        <w:rPr>
          <w:rFonts w:hint="eastAsia" w:ascii="黑体" w:hAnsi="黑体" w:eastAsia="黑体"/>
          <w:b/>
          <w:bCs/>
          <w:sz w:val="32"/>
          <w:szCs w:val="32"/>
        </w:rPr>
      </w:pPr>
      <w:r>
        <w:rPr>
          <w:rFonts w:ascii="黑体" w:hAnsi="黑体" w:eastAsia="黑体"/>
          <w:b/>
          <w:bCs/>
          <w:sz w:val="32"/>
          <w:szCs w:val="32"/>
        </w:rPr>
        <w:t>八</w:t>
      </w:r>
      <w:r>
        <w:rPr>
          <w:rFonts w:hint="eastAsia" w:ascii="黑体" w:hAnsi="黑体" w:eastAsia="黑体"/>
          <w:b/>
          <w:bCs/>
          <w:sz w:val="32"/>
          <w:szCs w:val="32"/>
        </w:rPr>
        <w:t>、重要提示</w:t>
      </w:r>
    </w:p>
    <w:p w14:paraId="62061FF6">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投标单位有下列情况之一的，其投标将被拒绝或作无效投标处理：</w:t>
      </w:r>
    </w:p>
    <w:p w14:paraId="789D0D5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（一）未在规定时间内将投标文件送达规定地点的。</w:t>
      </w:r>
    </w:p>
    <w:p w14:paraId="0D444035">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（二）投标人不具备投标资格要求，或未提交相应资格证明材料。</w:t>
      </w:r>
    </w:p>
    <w:p w14:paraId="7F18419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（三）投标文件未按规定密封、签字、盖章。</w:t>
      </w:r>
    </w:p>
    <w:p w14:paraId="04766784">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（四）投标文件无法定代表人签字或无法定代表人有效授权委托的。</w:t>
      </w:r>
    </w:p>
    <w:p w14:paraId="1C9127C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（五）分项报价或投标总价高于预算金额（最高投标限价）的。</w:t>
      </w:r>
    </w:p>
    <w:p w14:paraId="0B782290">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（六）同一项目出现两个及以上报价，且按规定无法确定哪个是有效报价。</w:t>
      </w:r>
    </w:p>
    <w:p w14:paraId="63507CFA">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129C133E">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（八）所投服务在质量、技术、方案等方面没有实质性满足招标文件要求。</w:t>
      </w:r>
    </w:p>
    <w:p w14:paraId="76A322F7">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（九）法律、法规规定的其他情形。</w:t>
      </w:r>
    </w:p>
    <w:p w14:paraId="59EE8FAD">
      <w:pPr>
        <w:adjustRightInd w:val="0"/>
        <w:snapToGrid w:val="0"/>
        <w:spacing w:line="560" w:lineRule="exact"/>
        <w:ind w:firstLine="643" w:firstLineChars="200"/>
        <w:outlineLvl w:val="0"/>
        <w:rPr>
          <w:rFonts w:hint="eastAsia" w:ascii="黑体" w:hAnsi="黑体" w:eastAsia="黑体"/>
          <w:b/>
          <w:bCs/>
          <w:sz w:val="32"/>
          <w:szCs w:val="32"/>
        </w:rPr>
      </w:pPr>
      <w:r>
        <w:rPr>
          <w:rFonts w:hint="eastAsia" w:ascii="黑体" w:hAnsi="黑体" w:eastAsia="黑体"/>
          <w:b/>
          <w:bCs/>
          <w:sz w:val="32"/>
          <w:szCs w:val="32"/>
        </w:rPr>
        <w:t>九、评标方法</w:t>
      </w:r>
    </w:p>
    <w:p w14:paraId="0DDF66C8">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（一）评标方法为综合评分法，具体评分标准和规则为：投标文件从技术、商务和价格等三个评审因素进行评分，出现总分相同的，则总分相等投标人中最低价者中标。</w:t>
      </w:r>
    </w:p>
    <w:p w14:paraId="091FE598">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（二）综合评分表</w:t>
      </w:r>
    </w:p>
    <w:tbl>
      <w:tblPr>
        <w:tblStyle w:val="5"/>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33BFB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498B0347">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评审部分</w:t>
            </w:r>
          </w:p>
        </w:tc>
        <w:tc>
          <w:tcPr>
            <w:tcW w:w="1202" w:type="dxa"/>
            <w:vAlign w:val="center"/>
          </w:tcPr>
          <w:p w14:paraId="6DFA63D5">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评审因素</w:t>
            </w:r>
          </w:p>
        </w:tc>
        <w:tc>
          <w:tcPr>
            <w:tcW w:w="4678" w:type="dxa"/>
            <w:vAlign w:val="center"/>
          </w:tcPr>
          <w:p w14:paraId="78576F4C">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评分细则</w:t>
            </w:r>
          </w:p>
        </w:tc>
        <w:tc>
          <w:tcPr>
            <w:tcW w:w="850" w:type="dxa"/>
            <w:tcBorders>
              <w:right w:val="single" w:color="auto" w:sz="4" w:space="0"/>
            </w:tcBorders>
            <w:vAlign w:val="center"/>
          </w:tcPr>
          <w:p w14:paraId="2E842B78">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权重（%）</w:t>
            </w:r>
          </w:p>
        </w:tc>
        <w:tc>
          <w:tcPr>
            <w:tcW w:w="851" w:type="dxa"/>
            <w:tcBorders>
              <w:left w:val="single" w:color="auto" w:sz="4" w:space="0"/>
            </w:tcBorders>
            <w:vAlign w:val="center"/>
          </w:tcPr>
          <w:p w14:paraId="10C3A6F7">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分值（分）</w:t>
            </w:r>
          </w:p>
        </w:tc>
      </w:tr>
      <w:tr w14:paraId="2F165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6293B031">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一</w:t>
            </w:r>
          </w:p>
        </w:tc>
        <w:tc>
          <w:tcPr>
            <w:tcW w:w="7581" w:type="dxa"/>
            <w:gridSpan w:val="4"/>
            <w:vAlign w:val="center"/>
          </w:tcPr>
          <w:p w14:paraId="6F290976">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技术部分（合计45分）</w:t>
            </w:r>
          </w:p>
        </w:tc>
      </w:tr>
      <w:tr w14:paraId="0A8B3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3F31450F">
            <w:pPr>
              <w:numPr>
                <w:ilvl w:val="0"/>
                <w:numId w:val="1"/>
              </w:numPr>
              <w:jc w:val="right"/>
              <w:rPr>
                <w:rFonts w:hint="eastAsia" w:ascii="仿宋_GB2312" w:hAnsi="仿宋_GB2312" w:eastAsia="仿宋_GB2312" w:cs="仿宋_GB2312"/>
                <w:sz w:val="22"/>
                <w:szCs w:val="24"/>
              </w:rPr>
            </w:pPr>
          </w:p>
        </w:tc>
        <w:tc>
          <w:tcPr>
            <w:tcW w:w="1202" w:type="dxa"/>
            <w:vAlign w:val="center"/>
          </w:tcPr>
          <w:p w14:paraId="1819EC8E">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实施方案</w:t>
            </w:r>
          </w:p>
        </w:tc>
        <w:tc>
          <w:tcPr>
            <w:tcW w:w="4678" w:type="dxa"/>
          </w:tcPr>
          <w:p w14:paraId="2E8F0360">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1.评分内容：</w:t>
            </w:r>
          </w:p>
          <w:p w14:paraId="716DD24E">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（1）对本项目相关的前期工作背景和工作要求的理解；</w:t>
            </w:r>
          </w:p>
          <w:p w14:paraId="75BCE222">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（2）提出项目的研究思路、研究方法及技术路线；</w:t>
            </w:r>
          </w:p>
          <w:p w14:paraId="18A655C4">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（3）详细阐述本项目的工作内容及深度。</w:t>
            </w:r>
          </w:p>
          <w:p w14:paraId="35B61B86">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2.评分依据：</w:t>
            </w:r>
          </w:p>
          <w:p w14:paraId="740F3EEB">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（1）内容完整性：满足以上三点得60%分，满足任意两点得40%分，满足任意一点得20%分，未满足不得分；</w:t>
            </w:r>
          </w:p>
          <w:p w14:paraId="31A01338">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（2）内容合理性：在内容完整性的基础上，对内容合理性进行分档评分。</w:t>
            </w:r>
          </w:p>
          <w:p w14:paraId="7B319234">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①优评分标准：内容合理性强，得40%分；</w:t>
            </w:r>
          </w:p>
          <w:p w14:paraId="4BB483B6">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②良评分标准：内容合理性较强，得30%分；</w:t>
            </w:r>
          </w:p>
          <w:p w14:paraId="73AACC9F">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③中评分标准：内容合理性一般，得20%分；</w:t>
            </w:r>
          </w:p>
          <w:p w14:paraId="3E927490">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④差评分标准：内容合理性较差，不得分。</w:t>
            </w:r>
          </w:p>
          <w:p w14:paraId="42A900D6">
            <w:pPr>
              <w:spacing w:line="300" w:lineRule="exact"/>
              <w:ind w:left="-78" w:leftChars="-37" w:right="-73" w:rightChars="-35"/>
              <w:jc w:val="left"/>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以上两项累积得分，满分为100%分。</w:t>
            </w:r>
          </w:p>
        </w:tc>
        <w:tc>
          <w:tcPr>
            <w:tcW w:w="850" w:type="dxa"/>
            <w:tcBorders>
              <w:right w:val="single" w:color="auto" w:sz="4" w:space="0"/>
            </w:tcBorders>
            <w:vAlign w:val="center"/>
          </w:tcPr>
          <w:p w14:paraId="5297A12C">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30</w:t>
            </w:r>
          </w:p>
        </w:tc>
        <w:tc>
          <w:tcPr>
            <w:tcW w:w="851" w:type="dxa"/>
            <w:tcBorders>
              <w:left w:val="single" w:color="auto" w:sz="4" w:space="0"/>
            </w:tcBorders>
            <w:vAlign w:val="center"/>
          </w:tcPr>
          <w:p w14:paraId="1F02C5B1">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30</w:t>
            </w:r>
          </w:p>
        </w:tc>
      </w:tr>
      <w:tr w14:paraId="6110E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28E01E6B">
            <w:pPr>
              <w:numPr>
                <w:ilvl w:val="0"/>
                <w:numId w:val="1"/>
              </w:numPr>
              <w:jc w:val="right"/>
              <w:rPr>
                <w:rFonts w:hint="eastAsia" w:ascii="仿宋_GB2312" w:hAnsi="仿宋_GB2312" w:eastAsia="仿宋_GB2312" w:cs="仿宋_GB2312"/>
                <w:sz w:val="22"/>
                <w:szCs w:val="24"/>
              </w:rPr>
            </w:pPr>
          </w:p>
        </w:tc>
        <w:tc>
          <w:tcPr>
            <w:tcW w:w="1202" w:type="dxa"/>
            <w:vAlign w:val="center"/>
          </w:tcPr>
          <w:p w14:paraId="2BC24F91">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质量保障措施及方案</w:t>
            </w:r>
          </w:p>
        </w:tc>
        <w:tc>
          <w:tcPr>
            <w:tcW w:w="4678" w:type="dxa"/>
          </w:tcPr>
          <w:p w14:paraId="4431D61B">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1.评分内容：</w:t>
            </w:r>
          </w:p>
          <w:p w14:paraId="4BF3F743">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（1）给出分阶段项目时间安排、工作进度与阶段性成果；</w:t>
            </w:r>
          </w:p>
          <w:p w14:paraId="2E808BE9">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（2）详细阐述项目时间管理制度与措施；</w:t>
            </w:r>
          </w:p>
          <w:p w14:paraId="4A383C68">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（3）详细阐述项目质量管理制度与措施。</w:t>
            </w:r>
          </w:p>
          <w:p w14:paraId="24620470">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2.评分依据：</w:t>
            </w:r>
          </w:p>
          <w:p w14:paraId="26279989">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（1）内容完整性：满足以上三点得60%分，满足任意两点得40%分，满足任意一点得20%分，未满足不得分；</w:t>
            </w:r>
          </w:p>
          <w:p w14:paraId="4BF5323F">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（2）内容合理性：在内容完整性的基础上，对内容合理性进行分档评分。</w:t>
            </w:r>
          </w:p>
          <w:p w14:paraId="0D6F6F86">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①优评分标准：内容合理性强，得40%分；</w:t>
            </w:r>
          </w:p>
          <w:p w14:paraId="31B8BA03">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②良评分标准：内容合理性较强，得20%分；</w:t>
            </w:r>
          </w:p>
          <w:p w14:paraId="0B46AE87">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③中评分标准：内容合理性一般，得10%分；</w:t>
            </w:r>
          </w:p>
          <w:p w14:paraId="2BD33903">
            <w:pPr>
              <w:spacing w:line="300" w:lineRule="exact"/>
              <w:ind w:left="-78" w:leftChars="-37" w:right="-73" w:rightChars="-35"/>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④差评分标准：内容合理性较差，不得分。</w:t>
            </w:r>
          </w:p>
          <w:p w14:paraId="7406BF9C">
            <w:pPr>
              <w:spacing w:line="300" w:lineRule="exact"/>
              <w:ind w:left="-78" w:leftChars="-37" w:right="-73" w:rightChars="-35"/>
              <w:jc w:val="left"/>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以上两项累积得分，满分为100%分。</w:t>
            </w:r>
          </w:p>
        </w:tc>
        <w:tc>
          <w:tcPr>
            <w:tcW w:w="850" w:type="dxa"/>
            <w:tcBorders>
              <w:right w:val="single" w:color="auto" w:sz="4" w:space="0"/>
            </w:tcBorders>
            <w:vAlign w:val="center"/>
          </w:tcPr>
          <w:p w14:paraId="54FB7E4D">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259C5E7D">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034DF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717F08F6">
            <w:pPr>
              <w:numPr>
                <w:ilvl w:val="0"/>
                <w:numId w:val="1"/>
              </w:numPr>
              <w:jc w:val="right"/>
              <w:rPr>
                <w:rFonts w:hint="eastAsia" w:ascii="仿宋_GB2312" w:hAnsi="仿宋_GB2312" w:eastAsia="仿宋_GB2312" w:cs="仿宋_GB2312"/>
                <w:sz w:val="22"/>
                <w:szCs w:val="24"/>
              </w:rPr>
            </w:pPr>
          </w:p>
        </w:tc>
        <w:tc>
          <w:tcPr>
            <w:tcW w:w="1202" w:type="dxa"/>
            <w:vAlign w:val="center"/>
          </w:tcPr>
          <w:p w14:paraId="78AEF60D">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违约承诺</w:t>
            </w:r>
          </w:p>
        </w:tc>
        <w:tc>
          <w:tcPr>
            <w:tcW w:w="4678" w:type="dxa"/>
          </w:tcPr>
          <w:p w14:paraId="0F7F445B">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提供违约承诺，承诺满足招标文件要求，保证措施合理且有针对性，有具体的违约责任承诺。</w:t>
            </w:r>
          </w:p>
          <w:p w14:paraId="263824B6">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投标人提供违约承诺的100%。要求提供承诺（格式自定）作为得分依据，未提供承诺或承诺内容不满足要求不得分。</w:t>
            </w:r>
          </w:p>
        </w:tc>
        <w:tc>
          <w:tcPr>
            <w:tcW w:w="850" w:type="dxa"/>
            <w:tcBorders>
              <w:right w:val="single" w:color="auto" w:sz="4" w:space="0"/>
            </w:tcBorders>
            <w:vAlign w:val="center"/>
          </w:tcPr>
          <w:p w14:paraId="6A724DA6">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5</w:t>
            </w:r>
          </w:p>
        </w:tc>
        <w:tc>
          <w:tcPr>
            <w:tcW w:w="851" w:type="dxa"/>
            <w:tcBorders>
              <w:left w:val="single" w:color="auto" w:sz="4" w:space="0"/>
            </w:tcBorders>
            <w:vAlign w:val="center"/>
          </w:tcPr>
          <w:p w14:paraId="158209FE">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5</w:t>
            </w:r>
          </w:p>
        </w:tc>
      </w:tr>
      <w:tr w14:paraId="147B6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5AAA718F">
            <w:pPr>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二</w:t>
            </w:r>
          </w:p>
        </w:tc>
        <w:tc>
          <w:tcPr>
            <w:tcW w:w="7581" w:type="dxa"/>
            <w:gridSpan w:val="4"/>
            <w:vAlign w:val="center"/>
          </w:tcPr>
          <w:p w14:paraId="6DF68E01">
            <w:pPr>
              <w:spacing w:line="300" w:lineRule="exact"/>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商务部分（合计45分）</w:t>
            </w:r>
          </w:p>
        </w:tc>
      </w:tr>
      <w:tr w14:paraId="5FE41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7DDC9642">
            <w:pPr>
              <w:numPr>
                <w:ilvl w:val="0"/>
                <w:numId w:val="2"/>
              </w:numPr>
              <w:jc w:val="center"/>
              <w:rPr>
                <w:rFonts w:hint="eastAsia" w:ascii="仿宋_GB2312" w:hAnsi="仿宋_GB2312" w:eastAsia="仿宋_GB2312" w:cs="仿宋_GB2312"/>
                <w:sz w:val="22"/>
                <w:szCs w:val="24"/>
              </w:rPr>
            </w:pPr>
          </w:p>
        </w:tc>
        <w:tc>
          <w:tcPr>
            <w:tcW w:w="1202" w:type="dxa"/>
            <w:vAlign w:val="center"/>
          </w:tcPr>
          <w:p w14:paraId="1226F47E">
            <w:pPr>
              <w:spacing w:line="300" w:lineRule="exact"/>
              <w:jc w:val="center"/>
              <w:rPr>
                <w:rFonts w:hint="eastAsia" w:ascii="仿宋_GB2312" w:hAnsi="仿宋_GB2312" w:eastAsia="仿宋_GB2312" w:cs="仿宋_GB2312"/>
                <w:b/>
                <w:bCs/>
                <w:sz w:val="22"/>
                <w:szCs w:val="32"/>
              </w:rPr>
            </w:pPr>
            <w:r>
              <w:rPr>
                <w:rFonts w:ascii="仿宋_GB2312" w:hAnsi="仿宋_GB2312" w:eastAsia="仿宋_GB2312" w:cs="仿宋_GB2312"/>
                <w:sz w:val="22"/>
                <w:szCs w:val="24"/>
              </w:rPr>
              <w:t>投标人经验</w:t>
            </w:r>
          </w:p>
        </w:tc>
        <w:tc>
          <w:tcPr>
            <w:tcW w:w="4678" w:type="dxa"/>
            <w:vAlign w:val="center"/>
          </w:tcPr>
          <w:p w14:paraId="4E7BF9A9">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53152D37">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牵头承担过国家、省或市级</w:t>
            </w:r>
            <w:r>
              <w:rPr>
                <w:rFonts w:hint="eastAsia" w:ascii="仿宋_GB2312" w:hAnsi="仿宋_GB2312" w:eastAsia="仿宋_GB2312" w:cs="仿宋_GB2312"/>
                <w:kern w:val="0"/>
                <w:sz w:val="22"/>
                <w:szCs w:val="24"/>
              </w:rPr>
              <w:t>重大项目谋划、</w:t>
            </w:r>
            <w:r>
              <w:rPr>
                <w:rFonts w:ascii="仿宋_GB2312" w:hAnsi="仿宋_GB2312" w:eastAsia="仿宋_GB2312" w:cs="仿宋_GB2312"/>
                <w:kern w:val="0"/>
                <w:sz w:val="22"/>
                <w:szCs w:val="24"/>
              </w:rPr>
              <w:t>产业研究、</w:t>
            </w:r>
            <w:r>
              <w:rPr>
                <w:rFonts w:hint="eastAsia" w:ascii="仿宋_GB2312" w:hAnsi="仿宋_GB2312" w:eastAsia="仿宋_GB2312" w:cs="仿宋_GB2312"/>
                <w:kern w:val="0"/>
                <w:sz w:val="22"/>
                <w:szCs w:val="24"/>
              </w:rPr>
              <w:t>规划编制、政策研究、制度评估等政府项目的</w:t>
            </w:r>
            <w:r>
              <w:rPr>
                <w:rFonts w:ascii="仿宋_GB2312" w:hAnsi="仿宋_GB2312" w:eastAsia="仿宋_GB2312" w:cs="仿宋_GB2312"/>
                <w:kern w:val="0"/>
                <w:sz w:val="22"/>
                <w:szCs w:val="24"/>
              </w:rPr>
              <w:t>，按国家级每项20%、省级或市级每项10%进行计分，最高得分不超过100%。</w:t>
            </w:r>
          </w:p>
          <w:p w14:paraId="7A892891">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5FB7D0D2">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（1）要求提供合同关键页或其他证明文件。</w:t>
            </w:r>
          </w:p>
          <w:p w14:paraId="0AD21DB0">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50B5EC39">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15</w:t>
            </w:r>
          </w:p>
        </w:tc>
        <w:tc>
          <w:tcPr>
            <w:tcW w:w="851" w:type="dxa"/>
            <w:tcBorders>
              <w:left w:val="single" w:color="auto" w:sz="4" w:space="0"/>
            </w:tcBorders>
            <w:vAlign w:val="center"/>
          </w:tcPr>
          <w:p w14:paraId="76A8FE12">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15</w:t>
            </w:r>
          </w:p>
        </w:tc>
      </w:tr>
      <w:tr w14:paraId="5DE018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4B73107">
            <w:pPr>
              <w:numPr>
                <w:ilvl w:val="0"/>
                <w:numId w:val="2"/>
              </w:numPr>
              <w:jc w:val="center"/>
              <w:rPr>
                <w:rFonts w:hint="eastAsia" w:ascii="仿宋_GB2312" w:hAnsi="仿宋_GB2312" w:eastAsia="仿宋_GB2312" w:cs="仿宋_GB2312"/>
                <w:sz w:val="22"/>
                <w:szCs w:val="24"/>
              </w:rPr>
            </w:pPr>
          </w:p>
        </w:tc>
        <w:tc>
          <w:tcPr>
            <w:tcW w:w="1202" w:type="dxa"/>
            <w:vAlign w:val="center"/>
          </w:tcPr>
          <w:p w14:paraId="43AB202B">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投标人获奖情况</w:t>
            </w:r>
          </w:p>
        </w:tc>
        <w:tc>
          <w:tcPr>
            <w:tcW w:w="4678" w:type="dxa"/>
          </w:tcPr>
          <w:p w14:paraId="4C2A03BF">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4074BA37">
            <w:pPr>
              <w:spacing w:line="300" w:lineRule="exact"/>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投标人承担的</w:t>
            </w:r>
            <w:r>
              <w:rPr>
                <w:rFonts w:hint="eastAsia" w:ascii="仿宋_GB2312" w:hAnsi="仿宋_GB2312" w:eastAsia="仿宋_GB2312" w:cs="仿宋_GB2312"/>
                <w:kern w:val="0"/>
                <w:sz w:val="22"/>
                <w:szCs w:val="24"/>
              </w:rPr>
              <w:t>重大项目谋划、产业研究、规划编制、政策研究、制度评估等政府项目，</w:t>
            </w:r>
            <w:r>
              <w:rPr>
                <w:rFonts w:ascii="仿宋_GB2312" w:hAnsi="仿宋_GB2312" w:eastAsia="仿宋_GB2312" w:cs="仿宋_GB2312"/>
                <w:kern w:val="0"/>
                <w:sz w:val="22"/>
                <w:szCs w:val="24"/>
              </w:rPr>
              <w:t>每提供一个国家级奖项得30%，省级奖项得20%，地级市奖项得10%，最高得分不超过100%。</w:t>
            </w:r>
          </w:p>
          <w:p w14:paraId="61BCFE06">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4A21D90D">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（1）要求提供相关证明文件。</w:t>
            </w:r>
          </w:p>
          <w:p w14:paraId="4482E3F6">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55D6B2C9">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11A42B5A">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76A70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80" w:type="dxa"/>
            <w:tcBorders>
              <w:top w:val="single" w:color="auto" w:sz="4" w:space="0"/>
              <w:bottom w:val="single" w:color="auto" w:sz="4" w:space="0"/>
            </w:tcBorders>
            <w:vAlign w:val="center"/>
          </w:tcPr>
          <w:p w14:paraId="6AA5690F">
            <w:pPr>
              <w:numPr>
                <w:ilvl w:val="0"/>
                <w:numId w:val="2"/>
              </w:numPr>
              <w:jc w:val="center"/>
              <w:rPr>
                <w:rFonts w:hint="eastAsia" w:ascii="仿宋_GB2312" w:hAnsi="仿宋_GB2312" w:eastAsia="仿宋_GB2312" w:cs="仿宋_GB2312"/>
                <w:sz w:val="22"/>
                <w:szCs w:val="24"/>
              </w:rPr>
            </w:pPr>
          </w:p>
        </w:tc>
        <w:tc>
          <w:tcPr>
            <w:tcW w:w="1202" w:type="dxa"/>
            <w:vAlign w:val="center"/>
          </w:tcPr>
          <w:p w14:paraId="5C1197D9">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拟安排的项目负责人情况（仅限一人）</w:t>
            </w:r>
          </w:p>
        </w:tc>
        <w:tc>
          <w:tcPr>
            <w:tcW w:w="4678" w:type="dxa"/>
          </w:tcPr>
          <w:p w14:paraId="5DB31DCB">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753EED8D">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（1）项目负责人具有</w:t>
            </w:r>
            <w:r>
              <w:rPr>
                <w:rFonts w:hint="eastAsia" w:ascii="仿宋_GB2312" w:hAnsi="仿宋_GB2312" w:eastAsia="仿宋_GB2312" w:cs="仿宋_GB2312"/>
                <w:kern w:val="0"/>
                <w:sz w:val="22"/>
                <w:szCs w:val="24"/>
              </w:rPr>
              <w:t>中</w:t>
            </w:r>
            <w:r>
              <w:rPr>
                <w:rFonts w:ascii="仿宋_GB2312" w:hAnsi="仿宋_GB2312" w:eastAsia="仿宋_GB2312" w:cs="仿宋_GB2312"/>
                <w:kern w:val="0"/>
                <w:sz w:val="22"/>
                <w:szCs w:val="24"/>
              </w:rPr>
              <w:t>级及以上职称或博士学位，得25%，否则不得分。</w:t>
            </w:r>
          </w:p>
          <w:p w14:paraId="4F910EEE">
            <w:pPr>
              <w:spacing w:line="300" w:lineRule="exact"/>
              <w:rPr>
                <w:rFonts w:hint="eastAsia" w:ascii="仿宋_GB2312" w:hAnsi="仿宋_GB2312" w:eastAsia="仿宋_GB2312" w:cs="仿宋_GB2312"/>
                <w:b/>
                <w:kern w:val="0"/>
                <w:sz w:val="22"/>
                <w:szCs w:val="24"/>
              </w:rPr>
            </w:pPr>
            <w:r>
              <w:rPr>
                <w:rFonts w:ascii="仿宋_GB2312" w:hAnsi="仿宋_GB2312" w:eastAsia="仿宋_GB2312" w:cs="仿宋_GB2312"/>
                <w:kern w:val="0"/>
                <w:sz w:val="22"/>
                <w:szCs w:val="24"/>
              </w:rPr>
              <w:t>（2）项目负责人主持或参与过</w:t>
            </w:r>
            <w:r>
              <w:rPr>
                <w:rFonts w:hint="eastAsia" w:ascii="仿宋_GB2312" w:hAnsi="仿宋_GB2312" w:eastAsia="仿宋_GB2312" w:cs="仿宋_GB2312"/>
                <w:kern w:val="0"/>
                <w:sz w:val="22"/>
                <w:szCs w:val="24"/>
              </w:rPr>
              <w:t>重大项目谋划、产业研究、规划编制、政策研究、制度评估等政府项目的</w:t>
            </w:r>
            <w:r>
              <w:rPr>
                <w:rFonts w:ascii="仿宋_GB2312" w:hAnsi="仿宋_GB2312" w:eastAsia="仿宋_GB2312" w:cs="仿宋_GB2312"/>
                <w:kern w:val="0"/>
                <w:sz w:val="22"/>
                <w:szCs w:val="24"/>
              </w:rPr>
              <w:t>，每提供一个国家级（含国家部委委托）得20%，每提供一个省市级得10%，本项最高得分不超过75%。</w:t>
            </w:r>
          </w:p>
          <w:p w14:paraId="0FCAD8CE">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7BBEC264">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（1）要求提供通过投标人购买的项目负责人近三个月社保，学位或职称文件，业绩合同关键页或其他证明文件（需要体现人员信息，若无人员信息，须提供工作单位出具的证明材料）。</w:t>
            </w:r>
          </w:p>
          <w:p w14:paraId="38488D78">
            <w:pPr>
              <w:spacing w:line="300" w:lineRule="exact"/>
              <w:ind w:left="-63" w:leftChars="-30" w:right="-88" w:rightChars="-42"/>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2935676B">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7CEA51F0">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70CBF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51DAC99E">
            <w:pPr>
              <w:numPr>
                <w:ilvl w:val="0"/>
                <w:numId w:val="2"/>
              </w:numPr>
              <w:jc w:val="center"/>
              <w:rPr>
                <w:rFonts w:hint="eastAsia" w:ascii="仿宋_GB2312" w:hAnsi="仿宋_GB2312" w:eastAsia="仿宋_GB2312" w:cs="仿宋_GB2312"/>
                <w:sz w:val="22"/>
                <w:szCs w:val="24"/>
              </w:rPr>
            </w:pPr>
          </w:p>
        </w:tc>
        <w:tc>
          <w:tcPr>
            <w:tcW w:w="1202" w:type="dxa"/>
            <w:vAlign w:val="center"/>
          </w:tcPr>
          <w:p w14:paraId="5F2A7C4A">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拟安排的项目主要团队成员（主要技术人员）情况（项目负责人除外）</w:t>
            </w:r>
          </w:p>
        </w:tc>
        <w:tc>
          <w:tcPr>
            <w:tcW w:w="4678" w:type="dxa"/>
          </w:tcPr>
          <w:p w14:paraId="5BF8FCAA">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1.评分内容：</w:t>
            </w:r>
          </w:p>
          <w:p w14:paraId="75529A48">
            <w:pPr>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项目团队中每提供1位有中高级职称或博士学位人员得25%，每提供1位有硕士学位人员得20%，最高得分不超过100%。</w:t>
            </w:r>
          </w:p>
          <w:p w14:paraId="0A96216F">
            <w:pPr>
              <w:spacing w:line="300" w:lineRule="exact"/>
              <w:jc w:val="left"/>
              <w:rPr>
                <w:rFonts w:hint="eastAsia" w:ascii="仿宋_GB2312" w:hAnsi="仿宋_GB2312" w:eastAsia="仿宋_GB2312" w:cs="仿宋_GB2312"/>
                <w:b/>
                <w:kern w:val="0"/>
                <w:sz w:val="22"/>
                <w:szCs w:val="24"/>
              </w:rPr>
            </w:pPr>
            <w:r>
              <w:rPr>
                <w:rFonts w:ascii="仿宋_GB2312" w:hAnsi="仿宋_GB2312" w:eastAsia="仿宋_GB2312" w:cs="仿宋_GB2312"/>
                <w:b/>
                <w:kern w:val="0"/>
                <w:sz w:val="22"/>
                <w:szCs w:val="24"/>
              </w:rPr>
              <w:t>2.评分依据：</w:t>
            </w:r>
          </w:p>
          <w:p w14:paraId="2F434ACF">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（1）要求提供通过投标人购买的团队成员近三个月社保，学位或职称文件等。</w:t>
            </w:r>
          </w:p>
          <w:p w14:paraId="1F472EFC">
            <w:pPr>
              <w:spacing w:line="300" w:lineRule="exact"/>
              <w:ind w:left="-63" w:leftChars="-30" w:right="-88" w:rightChars="-42"/>
              <w:jc w:val="lef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553FBA0">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235BF1D4">
            <w:pPr>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69B5F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48BB1BB3">
            <w:pPr>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三</w:t>
            </w:r>
          </w:p>
        </w:tc>
        <w:tc>
          <w:tcPr>
            <w:tcW w:w="7581" w:type="dxa"/>
            <w:gridSpan w:val="4"/>
            <w:vAlign w:val="center"/>
          </w:tcPr>
          <w:p w14:paraId="79C3B6A1">
            <w:pPr>
              <w:spacing w:line="300" w:lineRule="exact"/>
              <w:ind w:left="-78" w:leftChars="-37" w:right="-73" w:rightChars="-35"/>
              <w:jc w:val="center"/>
              <w:rPr>
                <w:rFonts w:hint="eastAsia" w:ascii="仿宋_GB2312" w:hAnsi="仿宋_GB2312" w:eastAsia="仿宋_GB2312" w:cs="仿宋_GB2312"/>
                <w:b/>
                <w:sz w:val="22"/>
                <w:szCs w:val="24"/>
              </w:rPr>
            </w:pPr>
            <w:r>
              <w:rPr>
                <w:rFonts w:ascii="仿宋_GB2312" w:hAnsi="仿宋_GB2312" w:eastAsia="仿宋_GB2312" w:cs="仿宋_GB2312"/>
                <w:b/>
                <w:sz w:val="22"/>
                <w:szCs w:val="24"/>
              </w:rPr>
              <w:t>价格部分（合计10分）</w:t>
            </w:r>
          </w:p>
        </w:tc>
      </w:tr>
      <w:tr w14:paraId="3115D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28892C07">
            <w:pPr>
              <w:numPr>
                <w:ilvl w:val="0"/>
                <w:numId w:val="3"/>
              </w:numPr>
              <w:jc w:val="center"/>
              <w:rPr>
                <w:rFonts w:hint="eastAsia" w:ascii="仿宋_GB2312" w:hAnsi="仿宋_GB2312" w:eastAsia="仿宋_GB2312" w:cs="仿宋_GB2312"/>
                <w:sz w:val="22"/>
                <w:szCs w:val="24"/>
              </w:rPr>
            </w:pPr>
          </w:p>
        </w:tc>
        <w:tc>
          <w:tcPr>
            <w:tcW w:w="1202" w:type="dxa"/>
            <w:vAlign w:val="center"/>
          </w:tcPr>
          <w:p w14:paraId="256CE176">
            <w:pPr>
              <w:spacing w:line="300" w:lineRule="exact"/>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投标报价</w:t>
            </w:r>
          </w:p>
        </w:tc>
        <w:tc>
          <w:tcPr>
            <w:tcW w:w="4678" w:type="dxa"/>
            <w:vAlign w:val="center"/>
          </w:tcPr>
          <w:p w14:paraId="3ECC7560">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所有投标人报价作为投标人的评标价。</w:t>
            </w:r>
          </w:p>
          <w:p w14:paraId="360FE02B">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取所有投标人评标价的算术平均值为基准价，基准价得满分。</w:t>
            </w:r>
          </w:p>
          <w:p w14:paraId="2875DA4E">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价格得分计算公式为：</w:t>
            </w:r>
          </w:p>
          <w:p w14:paraId="2F780BCC">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价格得分 = [1-A×|1-评标价格/评标基准价|]×10</w:t>
            </w:r>
          </w:p>
          <w:p w14:paraId="252C3559">
            <w:pPr>
              <w:autoSpaceDE w:val="0"/>
              <w:autoSpaceDN w:val="0"/>
              <w:adjustRightInd w:val="0"/>
              <w:snapToGrid w:val="0"/>
              <w:spacing w:line="300" w:lineRule="exact"/>
              <w:rPr>
                <w:rFonts w:hint="eastAsia" w:ascii="仿宋_GB2312" w:hAnsi="仿宋_GB2312" w:eastAsia="仿宋_GB2312" w:cs="仿宋_GB2312"/>
                <w:kern w:val="0"/>
                <w:sz w:val="22"/>
                <w:szCs w:val="24"/>
              </w:rPr>
            </w:pPr>
            <w:r>
              <w:rPr>
                <w:rFonts w:ascii="仿宋_GB2312" w:hAnsi="仿宋_GB2312" w:eastAsia="仿宋_GB2312" w:cs="仿宋_GB2312"/>
                <w:kern w:val="0"/>
                <w:sz w:val="22"/>
                <w:szCs w:val="24"/>
              </w:rPr>
              <w:t xml:space="preserve">价格调整系数A:当评标价低于基准价时，A=0.5；当评标价格高于基准价时，A=1。 </w:t>
            </w:r>
          </w:p>
          <w:p w14:paraId="47F683D2">
            <w:pPr>
              <w:spacing w:line="300" w:lineRule="exact"/>
              <w:rPr>
                <w:rFonts w:hint="eastAsia" w:ascii="仿宋_GB2312" w:hAnsi="仿宋_GB2312" w:eastAsia="仿宋_GB2312" w:cs="仿宋_GB2312"/>
                <w:b/>
                <w:bCs/>
                <w:sz w:val="22"/>
                <w:szCs w:val="24"/>
                <w:u w:val="double"/>
              </w:rPr>
            </w:pPr>
            <w:r>
              <w:rPr>
                <w:rFonts w:ascii="仿宋_GB2312" w:hAnsi="仿宋_GB2312" w:eastAsia="仿宋_GB2312" w:cs="仿宋_GB2312"/>
                <w:kern w:val="0"/>
                <w:sz w:val="22"/>
                <w:szCs w:val="24"/>
              </w:rPr>
              <w:t>经以上算法得出的数值即为投标人的价格得分（计算过程及计算结果四舍五入保留小数点后两位）。价格得分为负数时，计为0分。</w:t>
            </w:r>
          </w:p>
        </w:tc>
        <w:tc>
          <w:tcPr>
            <w:tcW w:w="850" w:type="dxa"/>
            <w:tcBorders>
              <w:right w:val="single" w:color="auto" w:sz="4" w:space="0"/>
            </w:tcBorders>
            <w:vAlign w:val="center"/>
          </w:tcPr>
          <w:p w14:paraId="3EE697F4">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c>
          <w:tcPr>
            <w:tcW w:w="851" w:type="dxa"/>
            <w:tcBorders>
              <w:left w:val="single" w:color="auto" w:sz="4" w:space="0"/>
            </w:tcBorders>
            <w:vAlign w:val="center"/>
          </w:tcPr>
          <w:p w14:paraId="0070059B">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w:t>
            </w:r>
          </w:p>
        </w:tc>
      </w:tr>
      <w:tr w14:paraId="2879C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3A6F2D9F">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合计</w:t>
            </w:r>
          </w:p>
        </w:tc>
        <w:tc>
          <w:tcPr>
            <w:tcW w:w="850" w:type="dxa"/>
            <w:tcBorders>
              <w:right w:val="single" w:color="auto" w:sz="4" w:space="0"/>
            </w:tcBorders>
            <w:vAlign w:val="center"/>
          </w:tcPr>
          <w:p w14:paraId="0E987FAB">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100</w:t>
            </w:r>
          </w:p>
        </w:tc>
        <w:tc>
          <w:tcPr>
            <w:tcW w:w="851" w:type="dxa"/>
            <w:tcBorders>
              <w:left w:val="single" w:color="auto" w:sz="4" w:space="0"/>
            </w:tcBorders>
            <w:vAlign w:val="center"/>
          </w:tcPr>
          <w:p w14:paraId="571EA120">
            <w:pPr>
              <w:ind w:left="-78" w:leftChars="-37" w:right="-73" w:rightChars="-35"/>
              <w:jc w:val="center"/>
              <w:rPr>
                <w:rFonts w:hint="eastAsia" w:ascii="仿宋_GB2312" w:hAnsi="仿宋_GB2312" w:eastAsia="仿宋_GB2312" w:cs="仿宋_GB2312"/>
                <w:sz w:val="22"/>
                <w:szCs w:val="24"/>
              </w:rPr>
            </w:pPr>
            <w:r>
              <w:rPr>
                <w:rFonts w:ascii="仿宋_GB2312" w:hAnsi="仿宋_GB2312" w:eastAsia="仿宋_GB2312" w:cs="仿宋_GB2312"/>
                <w:sz w:val="22"/>
                <w:szCs w:val="24"/>
              </w:rPr>
              <w:t>100</w:t>
            </w:r>
          </w:p>
        </w:tc>
      </w:tr>
    </w:tbl>
    <w:p w14:paraId="1E88C1A3">
      <w:pPr>
        <w:spacing w:line="300" w:lineRule="exact"/>
        <w:rPr>
          <w:rFonts w:hint="eastAsia" w:ascii="宋体" w:hAnsi="宋体" w:cs="宋体"/>
          <w:kern w:val="0"/>
          <w:sz w:val="24"/>
          <w:szCs w:val="24"/>
        </w:rPr>
      </w:pPr>
      <w:r>
        <w:rPr>
          <w:rFonts w:hint="eastAsia" w:ascii="宋体" w:hAnsi="宋体"/>
          <w:b/>
          <w:sz w:val="24"/>
          <w:szCs w:val="24"/>
        </w:rPr>
        <w:t>备注：</w:t>
      </w:r>
      <w:r>
        <w:rPr>
          <w:rFonts w:hint="eastAsia" w:ascii="宋体" w:hAnsi="宋体" w:cs="宋体"/>
          <w:kern w:val="0"/>
          <w:sz w:val="24"/>
          <w:szCs w:val="24"/>
        </w:rPr>
        <w:t>1.评标信息内评分方法的说明：</w:t>
      </w:r>
    </w:p>
    <w:p w14:paraId="75C2690A">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（1）权重：按百分比进行设置。</w:t>
      </w:r>
    </w:p>
    <w:p w14:paraId="06BD7D05">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14:paraId="1BEA0BF9">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（3）每项“评分因素”的得分=对应“评分准则”的分值×对应权重%。</w:t>
      </w:r>
    </w:p>
    <w:p w14:paraId="35C0123C">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14:paraId="45CD4632">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14:paraId="3C9CD8B0">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14:paraId="21AE1C67">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14:paraId="11E8078F">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14:paraId="7B333EF0">
      <w:pPr>
        <w:spacing w:line="540" w:lineRule="exact"/>
        <w:ind w:firstLine="600" w:firstLineChars="250"/>
        <w:rPr>
          <w:rFonts w:hint="eastAsia" w:ascii="宋体" w:hAnsi="宋体" w:cs="宋体"/>
          <w:kern w:val="0"/>
          <w:sz w:val="24"/>
          <w:szCs w:val="24"/>
        </w:rPr>
      </w:pPr>
    </w:p>
    <w:p w14:paraId="76345B3C">
      <w:pPr>
        <w:adjustRightInd w:val="0"/>
        <w:snapToGrid w:val="0"/>
        <w:spacing w:line="480" w:lineRule="exact"/>
        <w:ind w:firstLine="640" w:firstLineChars="200"/>
        <w:rPr>
          <w:rFonts w:hint="eastAsia" w:ascii="仿宋_GB2312" w:hAnsi="宋体" w:eastAsia="仿宋_GB2312" w:cs="仿宋_GB2312"/>
          <w:sz w:val="32"/>
          <w:szCs w:val="22"/>
        </w:rPr>
      </w:pPr>
      <w:r>
        <w:rPr>
          <w:rFonts w:hint="eastAsia" w:ascii="仿宋_GB2312" w:hAnsi="宋体" w:eastAsia="仿宋_GB2312" w:cs="仿宋_GB2312"/>
          <w:sz w:val="32"/>
          <w:szCs w:val="22"/>
        </w:rPr>
        <w:t>附件：投标及履约承诺函</w:t>
      </w:r>
    </w:p>
    <w:p w14:paraId="2FB80CB2">
      <w:pPr>
        <w:jc w:val="left"/>
        <w:rPr>
          <w:rFonts w:hint="eastAsia" w:ascii="仿宋_GB2312" w:hAnsi="宋体" w:eastAsia="仿宋_GB2312" w:cs="仿宋_GB2312"/>
          <w:sz w:val="32"/>
          <w:szCs w:val="22"/>
        </w:rPr>
      </w:pPr>
      <w:r>
        <w:rPr>
          <w:rFonts w:ascii="仿宋" w:hAnsi="仿宋" w:eastAsia="仿宋" w:cs="仿宋_GB2312"/>
          <w:sz w:val="32"/>
          <w:szCs w:val="32"/>
        </w:rPr>
        <w:br w:type="page"/>
      </w:r>
      <w:r>
        <w:rPr>
          <w:rFonts w:hint="eastAsia" w:ascii="黑体" w:hAnsi="黑体" w:eastAsia="黑体" w:cs="黑体"/>
          <w:sz w:val="32"/>
          <w:szCs w:val="22"/>
        </w:rPr>
        <w:t>附件</w:t>
      </w:r>
    </w:p>
    <w:p w14:paraId="0E00AC0B">
      <w:pPr>
        <w:adjustRightInd w:val="0"/>
        <w:snapToGrid w:val="0"/>
        <w:spacing w:line="600" w:lineRule="exact"/>
        <w:jc w:val="center"/>
        <w:rPr>
          <w:rFonts w:hint="eastAsia" w:ascii="宋体" w:hAnsi="宋体" w:cs="宋体"/>
          <w:b/>
          <w:bCs/>
          <w:sz w:val="44"/>
          <w:szCs w:val="44"/>
        </w:rPr>
      </w:pPr>
    </w:p>
    <w:p w14:paraId="15390921">
      <w:pPr>
        <w:adjustRightInd w:val="0"/>
        <w:snapToGrid w:val="0"/>
        <w:spacing w:line="600" w:lineRule="exact"/>
        <w:jc w:val="center"/>
        <w:rPr>
          <w:rFonts w:hint="eastAsia" w:ascii="宋体" w:hAnsi="宋体" w:cs="宋体"/>
          <w:b/>
          <w:bCs/>
          <w:sz w:val="44"/>
          <w:szCs w:val="44"/>
        </w:rPr>
      </w:pPr>
      <w:r>
        <w:rPr>
          <w:rFonts w:hint="eastAsia" w:ascii="宋体" w:hAnsi="宋体" w:cs="宋体"/>
          <w:b/>
          <w:bCs/>
          <w:sz w:val="44"/>
          <w:szCs w:val="44"/>
        </w:rPr>
        <w:t>投标及履约承诺函</w:t>
      </w:r>
    </w:p>
    <w:p w14:paraId="38F490EE">
      <w:pPr>
        <w:adjustRightInd w:val="0"/>
        <w:snapToGrid w:val="0"/>
        <w:spacing w:line="600" w:lineRule="exact"/>
        <w:jc w:val="center"/>
        <w:rPr>
          <w:rFonts w:hint="eastAsia" w:ascii="宋体" w:hAnsi="宋体" w:cs="宋体"/>
          <w:b/>
          <w:bCs/>
          <w:sz w:val="32"/>
          <w:szCs w:val="32"/>
        </w:rPr>
      </w:pPr>
    </w:p>
    <w:p w14:paraId="1F3B462D">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我单位承诺：</w:t>
      </w:r>
    </w:p>
    <w:p w14:paraId="767C5546">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656C2ABE">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0F4E65B9">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07C7C07A">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14:paraId="2C8A1FD5">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14:paraId="403FAE5B">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14:paraId="513859CB">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794B46B2">
      <w:pPr>
        <w:adjustRightInd w:val="0"/>
        <w:snapToGrid w:val="0"/>
        <w:spacing w:line="480" w:lineRule="exact"/>
        <w:ind w:firstLine="640" w:firstLineChars="200"/>
        <w:rPr>
          <w:rFonts w:hint="eastAsia" w:ascii="仿宋_GB2312" w:hAnsi="宋体" w:eastAsia="仿宋_GB2312"/>
          <w:sz w:val="32"/>
          <w:szCs w:val="22"/>
        </w:rPr>
      </w:pPr>
    </w:p>
    <w:p w14:paraId="74E447A0">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14:paraId="59B6D8C9">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单位地址：</w:t>
      </w:r>
    </w:p>
    <w:p w14:paraId="0A50E4C4">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59740CC0">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联系电话：</w:t>
      </w:r>
    </w:p>
    <w:p w14:paraId="51AC6A1C">
      <w:pPr>
        <w:adjustRightInd w:val="0"/>
        <w:snapToGrid w:val="0"/>
        <w:spacing w:line="480" w:lineRule="exact"/>
        <w:ind w:firstLine="640" w:firstLineChars="200"/>
        <w:rPr>
          <w:rFonts w:hint="eastAsia"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A8B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85BA105">
                          <w:pPr>
                            <w:pStyle w:val="3"/>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14:paraId="585BA105">
                    <w:pPr>
                      <w:pStyle w:val="3"/>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EE42">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C765D7">
                          <w:pPr>
                            <w:pStyle w:val="3"/>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EC765D7">
                    <w:pPr>
                      <w:pStyle w:val="3"/>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F0"/>
    <w:rsid w:val="00007380"/>
    <w:rsid w:val="00081EB9"/>
    <w:rsid w:val="0011777D"/>
    <w:rsid w:val="00181615"/>
    <w:rsid w:val="001A606A"/>
    <w:rsid w:val="001C7A19"/>
    <w:rsid w:val="002103AB"/>
    <w:rsid w:val="002403DD"/>
    <w:rsid w:val="002D296B"/>
    <w:rsid w:val="00320042"/>
    <w:rsid w:val="00376903"/>
    <w:rsid w:val="003C38A6"/>
    <w:rsid w:val="003C6216"/>
    <w:rsid w:val="003F70B5"/>
    <w:rsid w:val="00446D7E"/>
    <w:rsid w:val="00492806"/>
    <w:rsid w:val="004950CC"/>
    <w:rsid w:val="004B2C2B"/>
    <w:rsid w:val="004C0FF1"/>
    <w:rsid w:val="005601F1"/>
    <w:rsid w:val="005E54A3"/>
    <w:rsid w:val="0061357D"/>
    <w:rsid w:val="00622DDA"/>
    <w:rsid w:val="00634A8A"/>
    <w:rsid w:val="00637B11"/>
    <w:rsid w:val="00693491"/>
    <w:rsid w:val="0088469D"/>
    <w:rsid w:val="008D55B7"/>
    <w:rsid w:val="008E53F0"/>
    <w:rsid w:val="008F4EDE"/>
    <w:rsid w:val="009925CE"/>
    <w:rsid w:val="009A1DBC"/>
    <w:rsid w:val="00A00E30"/>
    <w:rsid w:val="00A5078C"/>
    <w:rsid w:val="00AA4D3E"/>
    <w:rsid w:val="00AE31F4"/>
    <w:rsid w:val="00B6490F"/>
    <w:rsid w:val="00B70FCC"/>
    <w:rsid w:val="00BB2F91"/>
    <w:rsid w:val="00BB4F19"/>
    <w:rsid w:val="00C668C5"/>
    <w:rsid w:val="00D06B1E"/>
    <w:rsid w:val="00D70493"/>
    <w:rsid w:val="00D871A1"/>
    <w:rsid w:val="00D94445"/>
    <w:rsid w:val="00DB0D01"/>
    <w:rsid w:val="00DD71E6"/>
    <w:rsid w:val="00E149A1"/>
    <w:rsid w:val="00EC5E78"/>
    <w:rsid w:val="00EE6BB5"/>
    <w:rsid w:val="00F57280"/>
    <w:rsid w:val="00FE33AE"/>
    <w:rsid w:val="1F2A62BD"/>
    <w:rsid w:val="1FB76A75"/>
    <w:rsid w:val="3AF78758"/>
    <w:rsid w:val="3E1A4412"/>
    <w:rsid w:val="59BBE63D"/>
    <w:rsid w:val="5B6F3AB1"/>
    <w:rsid w:val="5EBFC226"/>
    <w:rsid w:val="6A7D2FE6"/>
    <w:rsid w:val="7EFF03EB"/>
    <w:rsid w:val="EFF9397E"/>
    <w:rsid w:val="FDF7F6BF"/>
    <w:rsid w:val="FF9F8A76"/>
    <w:rsid w:val="FFCE61B9"/>
    <w:rsid w:val="FFD35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link w:val="9"/>
    <w:unhideWhenUsed/>
    <w:qFormat/>
    <w:uiPriority w:val="0"/>
    <w:pPr>
      <w:keepNext/>
      <w:keepLines/>
      <w:spacing w:before="260" w:after="260" w:line="416" w:lineRule="auto"/>
      <w:outlineLvl w:val="2"/>
    </w:pPr>
    <w:rPr>
      <w:b/>
      <w:bCs/>
      <w:sz w:val="32"/>
      <w:szCs w:val="32"/>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仿宋_GB2312" w:eastAsia="仿宋_GB2312"/>
      <w:sz w:val="18"/>
      <w:szCs w:val="18"/>
    </w:rPr>
  </w:style>
  <w:style w:type="character" w:customStyle="1" w:styleId="8">
    <w:name w:val="页脚 字符"/>
    <w:basedOn w:val="6"/>
    <w:link w:val="3"/>
    <w:qFormat/>
    <w:uiPriority w:val="0"/>
    <w:rPr>
      <w:rFonts w:ascii="仿宋_GB2312" w:eastAsia="仿宋_GB2312"/>
      <w:sz w:val="18"/>
      <w:szCs w:val="18"/>
    </w:rPr>
  </w:style>
  <w:style w:type="character" w:customStyle="1" w:styleId="9">
    <w:name w:val="标题 3 字符"/>
    <w:basedOn w:val="6"/>
    <w:link w:val="2"/>
    <w:qFormat/>
    <w:uiPriority w:val="0"/>
    <w:rPr>
      <w:rFonts w:ascii="Calibri" w:hAnsi="Calibri" w:eastAsia="宋体" w:cs="Times New Roman"/>
      <w:b/>
      <w:bCs/>
      <w:sz w:val="32"/>
      <w:szCs w:val="32"/>
    </w:rPr>
  </w:style>
  <w:style w:type="paragraph" w:customStyle="1" w:styleId="10">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3366</Words>
  <Characters>3529</Characters>
  <Lines>31</Lines>
  <Paragraphs>8</Paragraphs>
  <TotalTime>1</TotalTime>
  <ScaleCrop>false</ScaleCrop>
  <LinksUpToDate>false</LinksUpToDate>
  <CharactersWithSpaces>3533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2025-04-29T13:55:00Z</dcterms:created>
  <dc:creator>天浩 沈</dc:creator>
  <cp:lastModifiedBy>WPS_1581317969</cp:lastModifiedBy>
  <dcterms:modified xsi:type="dcterms:W3CDTF">2026-06-08T09:09:16Z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5B78DE00E9BC0CE7C17A1C683A5963A6</vt:lpwstr>
  </property>
  <property fmtid="{D5CDD505-2E9C-101B-9397-08002B2CF9AE}" pid="4" name="KSOTemplateDocerSaveRecord">
    <vt:lpwstr>eyJoZGlkIjoiZmMyNDEwNjk4ZDFhN2FmN2QyYjZmNTg2ZTJmNDAzZWMiLCJ1c2VySWQiOiI4MTY1ODEzMDIifQ==</vt:lpwstr>
  </property>
</Properties>
</file>