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36"/>
          <w:szCs w:val="32"/>
          <w:highlight w:val="none"/>
        </w:rPr>
      </w:pPr>
    </w:p>
    <w:p>
      <w:pPr>
        <w:jc w:val="center"/>
        <w:rPr>
          <w:rFonts w:ascii="宋体" w:hAnsi="宋体" w:eastAsia="宋体" w:cs="Times New Roman"/>
          <w:b/>
          <w:sz w:val="36"/>
          <w:szCs w:val="32"/>
          <w:highlight w:val="none"/>
        </w:rPr>
      </w:pPr>
      <w:r>
        <w:rPr>
          <w:rFonts w:hint="eastAsia" w:ascii="宋体" w:hAnsi="宋体" w:eastAsia="宋体" w:cs="Arial"/>
          <w:b/>
          <w:bCs/>
          <w:sz w:val="36"/>
          <w:szCs w:val="36"/>
          <w:highlight w:val="none"/>
        </w:rPr>
        <w:t>深圳市低空航路试点建设方案和项目谋划预研</w:t>
      </w:r>
    </w:p>
    <w:p>
      <w:pPr>
        <w:jc w:val="center"/>
        <w:rPr>
          <w:rFonts w:ascii="黑体" w:hAnsi="黑体" w:eastAsia="黑体" w:cs="Times New Roman"/>
          <w:sz w:val="96"/>
          <w:szCs w:val="32"/>
          <w:highlight w:val="none"/>
        </w:rPr>
      </w:pPr>
    </w:p>
    <w:p>
      <w:pPr>
        <w:jc w:val="center"/>
        <w:rPr>
          <w:rFonts w:ascii="黑体" w:hAnsi="黑体" w:eastAsia="黑体" w:cs="Times New Roman"/>
          <w:sz w:val="96"/>
          <w:szCs w:val="32"/>
          <w:highlight w:val="none"/>
        </w:rPr>
      </w:pPr>
      <w:r>
        <w:rPr>
          <w:rFonts w:hint="eastAsia" w:ascii="黑体" w:hAnsi="黑体" w:eastAsia="黑体" w:cs="Times New Roman"/>
          <w:sz w:val="96"/>
          <w:szCs w:val="32"/>
          <w:highlight w:val="none"/>
        </w:rPr>
        <w:t>招</w:t>
      </w:r>
    </w:p>
    <w:p>
      <w:pPr>
        <w:jc w:val="center"/>
        <w:rPr>
          <w:rFonts w:ascii="黑体" w:hAnsi="黑体" w:eastAsia="黑体" w:cs="Times New Roman"/>
          <w:sz w:val="96"/>
          <w:szCs w:val="32"/>
          <w:highlight w:val="none"/>
        </w:rPr>
      </w:pPr>
    </w:p>
    <w:p>
      <w:pPr>
        <w:jc w:val="center"/>
        <w:rPr>
          <w:rFonts w:ascii="黑体" w:hAnsi="黑体" w:eastAsia="黑体" w:cs="Times New Roman"/>
          <w:sz w:val="96"/>
          <w:szCs w:val="32"/>
          <w:highlight w:val="none"/>
        </w:rPr>
      </w:pPr>
      <w:r>
        <w:rPr>
          <w:rFonts w:hint="eastAsia" w:ascii="黑体" w:hAnsi="黑体" w:eastAsia="黑体" w:cs="Times New Roman"/>
          <w:sz w:val="96"/>
          <w:szCs w:val="32"/>
          <w:highlight w:val="none"/>
        </w:rPr>
        <w:t>标</w:t>
      </w:r>
    </w:p>
    <w:p>
      <w:pPr>
        <w:jc w:val="center"/>
        <w:rPr>
          <w:rFonts w:ascii="黑体" w:hAnsi="黑体" w:eastAsia="黑体" w:cs="Times New Roman"/>
          <w:sz w:val="96"/>
          <w:szCs w:val="32"/>
          <w:highlight w:val="none"/>
        </w:rPr>
      </w:pPr>
    </w:p>
    <w:p>
      <w:pPr>
        <w:jc w:val="center"/>
        <w:rPr>
          <w:rFonts w:ascii="黑体" w:hAnsi="黑体" w:eastAsia="黑体" w:cs="Times New Roman"/>
          <w:sz w:val="96"/>
          <w:szCs w:val="32"/>
          <w:highlight w:val="none"/>
        </w:rPr>
      </w:pPr>
      <w:r>
        <w:rPr>
          <w:rFonts w:hint="eastAsia" w:ascii="黑体" w:hAnsi="黑体" w:eastAsia="黑体" w:cs="Times New Roman"/>
          <w:sz w:val="96"/>
          <w:szCs w:val="32"/>
          <w:highlight w:val="none"/>
        </w:rPr>
        <w:t>书</w:t>
      </w:r>
    </w:p>
    <w:p>
      <w:pPr>
        <w:jc w:val="center"/>
        <w:rPr>
          <w:rFonts w:ascii="宋体" w:hAnsi="宋体" w:eastAsia="宋体" w:cs="Times New Roman"/>
          <w:sz w:val="32"/>
          <w:szCs w:val="32"/>
          <w:highlight w:val="none"/>
        </w:rPr>
      </w:pPr>
    </w:p>
    <w:p>
      <w:pPr>
        <w:jc w:val="center"/>
        <w:rPr>
          <w:rFonts w:ascii="宋体" w:hAnsi="宋体" w:eastAsia="宋体" w:cs="Times New Roman"/>
          <w:sz w:val="32"/>
          <w:szCs w:val="32"/>
          <w:highlight w:val="none"/>
        </w:rPr>
      </w:pPr>
    </w:p>
    <w:p>
      <w:pPr>
        <w:jc w:val="center"/>
        <w:rPr>
          <w:rFonts w:ascii="宋体" w:hAnsi="宋体" w:eastAsia="宋体" w:cs="Times New Roman"/>
          <w:sz w:val="32"/>
          <w:szCs w:val="32"/>
          <w:highlight w:val="none"/>
        </w:rPr>
      </w:pPr>
      <w:r>
        <w:rPr>
          <w:rFonts w:hint="eastAsia" w:ascii="宋体" w:hAnsi="宋体" w:eastAsia="宋体" w:cs="Times New Roman"/>
          <w:sz w:val="32"/>
          <w:szCs w:val="32"/>
          <w:highlight w:val="none"/>
        </w:rPr>
        <w:t>深圳市发展和改革委员会</w:t>
      </w:r>
    </w:p>
    <w:p>
      <w:pPr>
        <w:jc w:val="center"/>
        <w:rPr>
          <w:rFonts w:ascii="宋体" w:hAnsi="宋体"/>
          <w:sz w:val="32"/>
          <w:szCs w:val="32"/>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highlight w:val="none"/>
        </w:rPr>
        <w:t>2025年12月</w:t>
      </w:r>
    </w:p>
    <w:p>
      <w:pPr>
        <w:jc w:val="center"/>
        <w:rPr>
          <w:rFonts w:ascii="Calibri" w:hAnsi="Calibri" w:eastAsia="宋体" w:cs="Times New Roman"/>
          <w:highlight w:val="none"/>
        </w:rPr>
      </w:pPr>
    </w:p>
    <w:p>
      <w:pPr>
        <w:adjustRightInd w:val="0"/>
        <w:snapToGrid w:val="0"/>
        <w:jc w:val="center"/>
        <w:rPr>
          <w:rFonts w:ascii="宋体" w:hAnsi="宋体" w:eastAsia="宋体" w:cs="Arial"/>
          <w:b/>
          <w:bCs/>
          <w:sz w:val="44"/>
          <w:szCs w:val="44"/>
          <w:highlight w:val="none"/>
        </w:rPr>
      </w:pPr>
      <w:r>
        <w:rPr>
          <w:rFonts w:hint="eastAsia" w:ascii="宋体" w:hAnsi="宋体" w:eastAsia="宋体" w:cs="Arial"/>
          <w:b/>
          <w:bCs/>
          <w:sz w:val="44"/>
          <w:szCs w:val="44"/>
          <w:highlight w:val="none"/>
        </w:rPr>
        <w:t>深圳市低空航路试点建设方案和项目谋划预研招标书</w:t>
      </w:r>
    </w:p>
    <w:p>
      <w:pPr>
        <w:spacing w:line="560" w:lineRule="exact"/>
        <w:ind w:firstLine="642" w:firstLineChars="200"/>
        <w:outlineLvl w:val="0"/>
        <w:rPr>
          <w:rFonts w:ascii="黑体" w:hAnsi="黑体" w:eastAsia="黑体" w:cs="Times New Roman"/>
          <w:b/>
          <w:bCs/>
          <w:sz w:val="32"/>
          <w:szCs w:val="32"/>
          <w:highlight w:val="none"/>
        </w:rPr>
      </w:pP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一、项目概况</w:t>
      </w:r>
    </w:p>
    <w:p>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（一）项目名称：深圳市低空航路试点建设方案和项目谋划预研。</w:t>
      </w:r>
    </w:p>
    <w:p>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（二）服务期限：自合同签订之日起</w:t>
      </w:r>
      <w:r>
        <w:rPr>
          <w:rFonts w:hint="eastAsia" w:ascii="仿宋_GB2312" w:hAnsi="Times New Roman" w:eastAsia="仿宋_GB2312" w:cs="Times New Roman"/>
          <w:bCs/>
          <w:sz w:val="32"/>
          <w:szCs w:val="32"/>
          <w:highlight w:val="none"/>
        </w:rPr>
        <w:t>6</w:t>
      </w:r>
      <w:r>
        <w:rPr>
          <w:rFonts w:hint="eastAsia" w:ascii="仿宋_GB2312" w:hAnsi="仿宋" w:eastAsia="仿宋_GB2312" w:cs="仿宋_GB2312"/>
          <w:sz w:val="32"/>
          <w:szCs w:val="32"/>
          <w:highlight w:val="none"/>
        </w:rPr>
        <w:t>个月。</w:t>
      </w:r>
    </w:p>
    <w:p>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（三）项目预算：预算金额</w:t>
      </w:r>
      <w:r>
        <w:rPr>
          <w:rFonts w:ascii="仿宋_GB2312" w:hAnsi="仿宋" w:eastAsia="仿宋_GB2312" w:cs="仿宋_GB2312"/>
          <w:sz w:val="32"/>
          <w:szCs w:val="32"/>
          <w:highlight w:val="none"/>
        </w:rPr>
        <w:t>77</w:t>
      </w:r>
      <w:r>
        <w:rPr>
          <w:rFonts w:hint="eastAsia" w:ascii="仿宋_GB2312" w:hAnsi="仿宋" w:eastAsia="仿宋_GB2312" w:cs="仿宋_GB2312"/>
          <w:sz w:val="32"/>
          <w:szCs w:val="32"/>
          <w:highlight w:val="none"/>
        </w:rPr>
        <w:t>万元以下。</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二、项目内容</w:t>
      </w:r>
    </w:p>
    <w:p>
      <w:pPr>
        <w:spacing w:line="560" w:lineRule="exact"/>
        <w:ind w:firstLine="640" w:firstLineChars="20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为落实国家低空发展安全为先和低空航路建设要求，夯实我市低空经济高质量发展基础，推动和落实城市空中交通安全运行， 有效解决政务低空统筹弱、适航审定缺位、研发检测标准分散等痛点，以规模化政务飞行牵引商业场景快速跟进，带动飞行量与产业量同步跃升，聚焦当前低空信息基础设施支撑薄弱、建设集约化不足等短板，研究低空航路试点建设的需求导向、项目布局、配套方案及管理机制，形成科学可行的管理指引，并谋划提出一批低空航路试点建设重点项目，实现低空航路网互联互通、服务保障能力提升、安全监管机制健全。</w:t>
      </w:r>
    </w:p>
    <w:p>
      <w:pPr>
        <w:numPr>
          <w:ilvl w:val="0"/>
          <w:numId w:val="1"/>
        </w:numPr>
        <w:spacing w:line="560" w:lineRule="exact"/>
        <w:ind w:firstLine="64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低空飞行航线现状情况分析。全面梳理分析我市已开通的常态化运营的无人机、载人机航线运行情况，及支撑其运营的各类设施规模、功能、技术性能等。</w:t>
      </w:r>
    </w:p>
    <w:p>
      <w:pPr>
        <w:numPr>
          <w:ilvl w:val="0"/>
          <w:numId w:val="1"/>
        </w:numPr>
        <w:spacing w:line="560" w:lineRule="exact"/>
        <w:ind w:firstLine="64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低空经济发展航路需求分析。对当前低空飞行活动分布、未来近期低空飞行需求进行统一分析评估。重点调研跨区域物流场景诉求和军民航部门管理要求。</w:t>
      </w:r>
    </w:p>
    <w:p>
      <w:pPr>
        <w:numPr>
          <w:ilvl w:val="0"/>
          <w:numId w:val="1"/>
        </w:numPr>
        <w:spacing w:line="560" w:lineRule="exact"/>
        <w:ind w:firstLine="64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低空航路试点建设项目谋划。汇汇总各类航路建设需求，综合评估和整体优化，初步确定近期航路需求和各条航路基本走向，重点谋划面向中长距离跨区跨城的物流运输航路。</w:t>
      </w:r>
    </w:p>
    <w:p>
      <w:pPr>
        <w:numPr>
          <w:ilvl w:val="0"/>
          <w:numId w:val="1"/>
        </w:numPr>
        <w:spacing w:line="560" w:lineRule="exact"/>
        <w:ind w:firstLine="64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低空试点航路配套信息基础设施建设方案。明确航路的运行规则、飞行服务保障和安全监管方案，根据相关标准谋划低空航路沿线通信、导航、监视、气象、反制设备设施。</w:t>
      </w:r>
    </w:p>
    <w:p>
      <w:pPr>
        <w:numPr>
          <w:ilvl w:val="0"/>
          <w:numId w:val="1"/>
        </w:numPr>
        <w:spacing w:line="560" w:lineRule="exact"/>
        <w:ind w:firstLine="640" w:firstLineChars="200"/>
        <w:rPr>
          <w:rFonts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低空航路建设维护运行管理指引。提出低空航路建设的组织架构，细化职责任务、工作程序等，建立配套设施运维标准和质量管控体系、完善巡查巡检工作制度，明确航路使用规则和方案。</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三、项目实施要求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（一）项目成果应遵循国家颁布的有关法律、法规及政策要求，符合相关的技术规范和标准。</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研究过程中应广泛深入开展调研，落实国家低空发展安全为先和低空航路建设要求，聚焦当前低空信息基础设施支撑薄弱、建设集约化不足等短板，系统掌握行业快速发展对低空航路的需求，梳理我市低空飞行安全保障的主要瓶颈，为重大项目谋划提供支撑。</w:t>
      </w:r>
    </w:p>
    <w:p>
      <w:pPr>
        <w:spacing w:line="560" w:lineRule="exact"/>
        <w:ind w:firstLine="640" w:firstLineChars="200"/>
        <w:outlineLvl w:val="2"/>
        <w:rPr>
          <w:rFonts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rPr>
        <w:t>（三）研究成果要有前瞻性，视野开阔；具有系统性，研究成果要体系完整、内容全面、材料丰富；具有实用性，研究成果符合深圳实际，针对性和可操作性强。</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四、项目成果交付要求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提交研究成果纸质版10份和电子版，文件能够简明扼要介绍成果核心内容与主要结论，明确项目谋划情况。</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五、投标资格要求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（一）在中华人民共和国境内注册、具有独立承担民事责任能力的法人。</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（二）投标人必须具备相关经营范围（咨询服务等），具备开展本项目研究的基本条件和研究能力。</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（三）参加本次政府采购活动前</w:t>
      </w:r>
      <w:r>
        <w:rPr>
          <w:rFonts w:ascii="仿宋_GB2312" w:hAnsi="Times New Roman" w:eastAsia="仿宋_GB2312" w:cs="Times New Roman"/>
          <w:bCs/>
          <w:sz w:val="32"/>
          <w:szCs w:val="32"/>
          <w:highlight w:val="none"/>
        </w:rPr>
        <w:t>3年内在经营活动中没有重大违法记录（提供声明函，格式自拟）。</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六、投标时间、方式及联系人</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（一）投标时间：</w:t>
      </w:r>
      <w:r>
        <w:rPr>
          <w:rFonts w:ascii="仿宋_GB2312" w:hAnsi="Times New Roman" w:eastAsia="仿宋_GB2312" w:cs="Times New Roman"/>
          <w:bCs/>
          <w:sz w:val="32"/>
          <w:szCs w:val="32"/>
          <w:highlight w:val="none"/>
        </w:rPr>
        <w:t>2025</w:t>
      </w:r>
      <w:r>
        <w:rPr>
          <w:rFonts w:hint="eastAsia" w:ascii="仿宋_GB2312" w:hAnsi="Times New Roman" w:eastAsia="仿宋_GB2312" w:cs="Times New Roman"/>
          <w:bCs/>
          <w:sz w:val="32"/>
          <w:szCs w:val="32"/>
          <w:highlight w:val="none"/>
        </w:rPr>
        <w:t>年</w:t>
      </w:r>
      <w:r>
        <w:rPr>
          <w:rFonts w:ascii="仿宋_GB2312" w:hAnsi="Times New Roman" w:eastAsia="仿宋_GB2312" w:cs="Times New Roman"/>
          <w:bCs/>
          <w:sz w:val="32"/>
          <w:szCs w:val="32"/>
          <w:highlight w:val="none"/>
          <w:lang w:val="en"/>
        </w:rPr>
        <w:t>1</w:t>
      </w:r>
      <w:r>
        <w:rPr>
          <w:rFonts w:hint="eastAsia" w:ascii="仿宋_GB2312" w:hAnsi="Times New Roman" w:eastAsia="仿宋_GB2312" w:cs="Times New Roman"/>
          <w:bCs/>
          <w:sz w:val="32"/>
          <w:szCs w:val="32"/>
          <w:highlight w:val="none"/>
        </w:rPr>
        <w:t>2月</w:t>
      </w:r>
      <w:r>
        <w:rPr>
          <w:rFonts w:hint="eastAsia" w:ascii="仿宋_GB2312" w:hAnsi="Times New Roman" w:eastAsia="仿宋_GB2312" w:cs="Times New Roman"/>
          <w:bCs/>
          <w:sz w:val="32"/>
          <w:szCs w:val="32"/>
          <w:highlight w:val="none"/>
          <w:lang w:val="en-US" w:eastAsia="zh-CN"/>
        </w:rPr>
        <w:t>15</w:t>
      </w:r>
      <w:r>
        <w:rPr>
          <w:rFonts w:hint="eastAsia" w:ascii="仿宋_GB2312" w:hAnsi="Times New Roman" w:eastAsia="仿宋_GB2312" w:cs="Times New Roman"/>
          <w:bCs/>
          <w:sz w:val="32"/>
          <w:szCs w:val="32"/>
          <w:highlight w:val="none"/>
        </w:rPr>
        <w:t>日至12月</w:t>
      </w:r>
      <w:r>
        <w:rPr>
          <w:rFonts w:hint="eastAsia" w:ascii="仿宋_GB2312" w:hAnsi="Times New Roman" w:eastAsia="仿宋_GB2312" w:cs="Times New Roman"/>
          <w:bCs/>
          <w:sz w:val="32"/>
          <w:szCs w:val="32"/>
          <w:highlight w:val="none"/>
          <w:lang w:val="en-US" w:eastAsia="zh-CN"/>
        </w:rPr>
        <w:t>24</w:t>
      </w:r>
      <w:bookmarkStart w:id="0" w:name="_GoBack"/>
      <w:bookmarkEnd w:id="0"/>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highlight w:val="none"/>
        </w:rPr>
        <w:t>，每日上午</w:t>
      </w:r>
      <w:r>
        <w:rPr>
          <w:rFonts w:ascii="仿宋_GB2312" w:hAnsi="Times New Roman" w:eastAsia="仿宋_GB2312" w:cs="Times New Roman"/>
          <w:bCs/>
          <w:sz w:val="32"/>
          <w:szCs w:val="32"/>
          <w:highlight w:val="none"/>
        </w:rPr>
        <w:t>9:00-12:00，下午2:00-5:45（节假日除外）。逾期未投标将不再受理。</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（二）投标地点：深圳市福田区福中三路市民中心</w:t>
      </w:r>
      <w:r>
        <w:rPr>
          <w:rFonts w:ascii="仿宋_GB2312" w:hAnsi="Times New Roman" w:eastAsia="仿宋_GB2312" w:cs="Times New Roman"/>
          <w:bCs/>
          <w:sz w:val="32"/>
          <w:szCs w:val="32"/>
          <w:highlight w:val="none"/>
        </w:rPr>
        <w:t>B区行政服务大厅2号市发展和改革委卡座（可邮寄，以送达日期为投标日期）。</w:t>
      </w:r>
      <w:r>
        <w:rPr>
          <w:rFonts w:ascii="仿宋_GB2312" w:hAnsi="仿宋_GB2312" w:eastAsia="仿宋_GB2312" w:cs="仿宋_GB2312"/>
          <w:sz w:val="32"/>
          <w:szCs w:val="32"/>
          <w:highlight w:val="none"/>
        </w:rPr>
        <w:t>同时，投标文件盖章扫描电子版请发送至邮箱（</w:t>
      </w:r>
      <w:r>
        <w:rPr>
          <w:rFonts w:hint="eastAsia" w:ascii="仿宋_GB2312" w:hAnsi="仿宋_GB2312" w:eastAsia="仿宋_GB2312" w:cs="仿宋_GB2312"/>
          <w:sz w:val="32"/>
          <w:szCs w:val="32"/>
          <w:highlight w:val="none"/>
        </w:rPr>
        <w:t>cx</w:t>
      </w:r>
      <w:r>
        <w:rPr>
          <w:rFonts w:ascii="仿宋_GB2312" w:hAnsi="仿宋_GB2312" w:eastAsia="仿宋_GB2312" w:cs="仿宋_GB2312"/>
          <w:sz w:val="32"/>
          <w:szCs w:val="32"/>
          <w:highlight w:val="none"/>
        </w:rPr>
        <w:t>@fgw.sz.gov.cn）。</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（三）联系人：</w:t>
      </w:r>
      <w:r>
        <w:rPr>
          <w:rFonts w:hint="eastAsia" w:ascii="仿宋_GB2312" w:hAnsi="微软雅黑" w:eastAsia="仿宋_GB2312" w:cs="Times New Roman"/>
          <w:color w:val="040404"/>
          <w:sz w:val="32"/>
          <w:szCs w:val="32"/>
          <w:highlight w:val="none"/>
        </w:rPr>
        <w:t>8812</w:t>
      </w:r>
      <w:r>
        <w:rPr>
          <w:rFonts w:ascii="仿宋_GB2312" w:hAnsi="微软雅黑" w:eastAsia="仿宋_GB2312" w:cs="Times New Roman"/>
          <w:color w:val="040404"/>
          <w:sz w:val="32"/>
          <w:szCs w:val="32"/>
          <w:highlight w:val="none"/>
          <w:lang w:val="en"/>
        </w:rPr>
        <w:t>584</w:t>
      </w:r>
      <w:r>
        <w:rPr>
          <w:rFonts w:hint="eastAsia" w:ascii="仿宋_GB2312" w:hAnsi="微软雅黑" w:eastAsia="仿宋_GB2312" w:cs="Times New Roman"/>
          <w:color w:val="040404"/>
          <w:sz w:val="32"/>
          <w:szCs w:val="32"/>
          <w:highlight w:val="none"/>
          <w:lang w:val="en"/>
        </w:rPr>
        <w:t>2</w:t>
      </w:r>
      <w:r>
        <w:rPr>
          <w:rFonts w:hint="eastAsia" w:ascii="仿宋_GB2312" w:hAnsi="微软雅黑" w:eastAsia="仿宋_GB2312" w:cs="Times New Roman"/>
          <w:color w:val="040404"/>
          <w:sz w:val="32"/>
          <w:szCs w:val="32"/>
          <w:highlight w:val="none"/>
        </w:rPr>
        <w:t>（收件咨询）、</w:t>
      </w:r>
      <w:r>
        <w:rPr>
          <w:rFonts w:ascii="仿宋_GB2312" w:hAnsi="微软雅黑" w:eastAsia="仿宋_GB2312" w:cs="Times New Roman"/>
          <w:color w:val="040404"/>
          <w:sz w:val="32"/>
          <w:szCs w:val="32"/>
          <w:highlight w:val="none"/>
        </w:rPr>
        <w:t>8812</w:t>
      </w:r>
      <w:r>
        <w:rPr>
          <w:rFonts w:hint="eastAsia" w:ascii="仿宋_GB2312" w:hAnsi="微软雅黑" w:eastAsia="仿宋_GB2312" w:cs="Times New Roman"/>
          <w:color w:val="040404"/>
          <w:sz w:val="32"/>
          <w:szCs w:val="32"/>
          <w:highlight w:val="none"/>
          <w:lang w:val="en-US" w:eastAsia="zh-CN"/>
        </w:rPr>
        <w:t>5370</w:t>
      </w:r>
      <w:r>
        <w:rPr>
          <w:rFonts w:hint="eastAsia" w:ascii="仿宋_GB2312" w:hAnsi="微软雅黑" w:eastAsia="仿宋_GB2312" w:cs="Times New Roman"/>
          <w:color w:val="040404"/>
          <w:sz w:val="32"/>
          <w:szCs w:val="32"/>
          <w:highlight w:val="none"/>
        </w:rPr>
        <w:t>（业务咨询）</w:t>
      </w:r>
      <w:r>
        <w:rPr>
          <w:rFonts w:hint="eastAsia" w:ascii="仿宋_GB2312" w:hAnsi="Times New Roman" w:eastAsia="仿宋_GB2312" w:cs="Times New Roman"/>
          <w:bCs/>
          <w:sz w:val="32"/>
          <w:szCs w:val="32"/>
          <w:highlight w:val="none"/>
        </w:rPr>
        <w:t>。</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七、投标文件递交内容</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（一）投标单位简介、投标人营业执照及相关证照（提供加盖公章的复印件，原件备查）。</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（二）法定代表人证明书及授权委托书（原件加盖公章）。</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（三）法定代表人及受委托人身份证复印件（复印件加盖公章）。</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（四）项目方案及报价单（原件加盖公章）。</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（五）投标人相关领域/项目经验证明材料（复印件加盖公章）。</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（六）投标人无重大违法记录声明函（原件加盖公章，格式自拟）。</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（七）投标及履约承诺函原件（格式见附件）。</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（八）住所地不在深圳的投标人应提供营业场所证明原件。</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（九）投标人认为有必要提供的其它材料。</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八、重要提示</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投标单位有下列情况之一的，其投标将被拒绝或作无效投标处理：</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（一）未在规定时间内将投标文件送达规定地点的。</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（二）投标人不具备投标资格要求，或未提交相应资格证明材料。</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（三）投标文件未按规定密封、签字、盖章。</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（四）投标文件无法定代表人签字或无法定代表人有效授权委托的。</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（五）分项报价或投标总价高于预算金额（最高投标限价）的。</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（六）同一项目出现两个及以上报价，且按规定无法确定哪个是有效报价。</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（八）所投服务在质量、技术、方案等方面没有实质性满足招标文件要求。</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（九）法律、法规规定的其他情形。</w:t>
      </w:r>
    </w:p>
    <w:p>
      <w:pPr>
        <w:adjustRightInd w:val="0"/>
        <w:snapToGrid w:val="0"/>
        <w:spacing w:line="560" w:lineRule="exact"/>
        <w:ind w:firstLine="640" w:firstLineChars="200"/>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九、评标方法</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（二）综合评分表</w:t>
      </w:r>
    </w:p>
    <w:tbl>
      <w:tblPr>
        <w:tblStyle w:val="10"/>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评审部分</w:t>
            </w:r>
          </w:p>
        </w:tc>
        <w:tc>
          <w:tcPr>
            <w:tcW w:w="1202" w:type="dxa"/>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评审因素</w:t>
            </w:r>
          </w:p>
        </w:tc>
        <w:tc>
          <w:tcPr>
            <w:tcW w:w="4678" w:type="dxa"/>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评分细则</w:t>
            </w:r>
          </w:p>
        </w:tc>
        <w:tc>
          <w:tcPr>
            <w:tcW w:w="850" w:type="dxa"/>
            <w:tcBorders>
              <w:right w:val="single" w:color="auto" w:sz="4" w:space="0"/>
            </w:tcBorders>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权重（%）</w:t>
            </w:r>
          </w:p>
        </w:tc>
        <w:tc>
          <w:tcPr>
            <w:tcW w:w="851" w:type="dxa"/>
            <w:tcBorders>
              <w:left w:val="single" w:color="auto" w:sz="4" w:space="0"/>
            </w:tcBorders>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一</w:t>
            </w:r>
          </w:p>
        </w:tc>
        <w:tc>
          <w:tcPr>
            <w:tcW w:w="7581" w:type="dxa"/>
            <w:gridSpan w:val="4"/>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Times New Roman"/>
                <w:b/>
                <w:sz w:val="22"/>
                <w:highlight w:val="none"/>
              </w:rPr>
              <w:t>技术部分（合计40分）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2"/>
              </w:numPr>
              <w:spacing w:line="300" w:lineRule="exact"/>
              <w:jc w:val="right"/>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实施方案</w:t>
            </w:r>
          </w:p>
        </w:tc>
        <w:tc>
          <w:tcPr>
            <w:tcW w:w="4678" w:type="dxa"/>
          </w:tcPr>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根据投标人提供的项目实施方案的全面性、针对性、可操作性等进行分档评审：</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1.评价为优，得100%；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2</w:t>
            </w:r>
            <w:r>
              <w:rPr>
                <w:rFonts w:ascii="宋体" w:hAnsi="宋体" w:eastAsia="宋体" w:cs="宋体"/>
                <w:kern w:val="0"/>
                <w:sz w:val="22"/>
                <w:highlight w:val="none"/>
              </w:rPr>
              <w:t>.</w:t>
            </w:r>
            <w:r>
              <w:rPr>
                <w:rFonts w:hint="eastAsia" w:ascii="宋体" w:hAnsi="宋体" w:eastAsia="宋体" w:cs="宋体"/>
                <w:kern w:val="0"/>
                <w:sz w:val="22"/>
                <w:highlight w:val="none"/>
              </w:rPr>
              <w:t>评价为良，得</w:t>
            </w:r>
            <w:r>
              <w:rPr>
                <w:rFonts w:ascii="宋体" w:hAnsi="宋体" w:eastAsia="宋体" w:cs="宋体"/>
                <w:kern w:val="0"/>
                <w:sz w:val="22"/>
                <w:highlight w:val="none"/>
              </w:rPr>
              <w:t>7</w:t>
            </w:r>
            <w:r>
              <w:rPr>
                <w:rFonts w:hint="eastAsia" w:ascii="宋体" w:hAnsi="宋体" w:eastAsia="宋体" w:cs="宋体"/>
                <w:kern w:val="0"/>
                <w:sz w:val="22"/>
                <w:highlight w:val="none"/>
              </w:rPr>
              <w:t>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3</w:t>
            </w:r>
            <w:r>
              <w:rPr>
                <w:rFonts w:ascii="宋体" w:hAnsi="宋体" w:eastAsia="宋体" w:cs="宋体"/>
                <w:kern w:val="0"/>
                <w:sz w:val="22"/>
                <w:highlight w:val="none"/>
              </w:rPr>
              <w:t>.</w:t>
            </w:r>
            <w:r>
              <w:rPr>
                <w:rFonts w:hint="eastAsia" w:ascii="宋体" w:hAnsi="宋体" w:eastAsia="宋体" w:cs="宋体"/>
                <w:kern w:val="0"/>
                <w:sz w:val="22"/>
                <w:highlight w:val="none"/>
              </w:rPr>
              <w:t>评价为中，得</w:t>
            </w:r>
            <w:r>
              <w:rPr>
                <w:rFonts w:ascii="宋体" w:hAnsi="宋体" w:eastAsia="宋体" w:cs="宋体"/>
                <w:kern w:val="0"/>
                <w:sz w:val="22"/>
                <w:highlight w:val="none"/>
              </w:rPr>
              <w:t>4</w:t>
            </w:r>
            <w:r>
              <w:rPr>
                <w:rFonts w:hint="eastAsia" w:ascii="宋体" w:hAnsi="宋体" w:eastAsia="宋体" w:cs="宋体"/>
                <w:kern w:val="0"/>
                <w:sz w:val="22"/>
                <w:highlight w:val="none"/>
              </w:rPr>
              <w:t>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4</w:t>
            </w:r>
            <w:r>
              <w:rPr>
                <w:rFonts w:ascii="宋体" w:hAnsi="宋体" w:eastAsia="宋体" w:cs="宋体"/>
                <w:kern w:val="0"/>
                <w:sz w:val="22"/>
                <w:highlight w:val="none"/>
              </w:rPr>
              <w:t>.</w:t>
            </w:r>
            <w:r>
              <w:rPr>
                <w:rFonts w:hint="eastAsia" w:ascii="宋体" w:hAnsi="宋体" w:eastAsia="宋体" w:cs="宋体"/>
                <w:kern w:val="0"/>
                <w:sz w:val="22"/>
                <w:highlight w:val="none"/>
              </w:rPr>
              <w:t>评价为差，得10%。</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20</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spacing w:line="300" w:lineRule="exact"/>
              <w:jc w:val="right"/>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质量保障措施及方案</w:t>
            </w:r>
          </w:p>
        </w:tc>
        <w:tc>
          <w:tcPr>
            <w:tcW w:w="4678" w:type="dxa"/>
          </w:tcPr>
          <w:p>
            <w:pPr>
              <w:spacing w:line="300" w:lineRule="exact"/>
              <w:jc w:val="left"/>
              <w:rPr>
                <w:rFonts w:ascii="宋体" w:hAnsi="宋体" w:eastAsia="宋体" w:cs="宋体"/>
                <w:kern w:val="0"/>
                <w:sz w:val="22"/>
                <w:highlight w:val="none"/>
              </w:rPr>
            </w:pPr>
            <w:r>
              <w:rPr>
                <w:rFonts w:hint="eastAsia" w:ascii="宋体" w:hAnsi="宋体" w:eastAsia="宋体" w:cs="宋体"/>
                <w:kern w:val="0"/>
                <w:sz w:val="22"/>
                <w:highlight w:val="none"/>
              </w:rPr>
              <w:t>根据投标人对项目进度计划和人员安排、质量和进度保障措施是否合理、可行等进行分档评审：</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1</w:t>
            </w:r>
            <w:r>
              <w:rPr>
                <w:rFonts w:ascii="宋体" w:hAnsi="宋体" w:eastAsia="宋体" w:cs="宋体"/>
                <w:kern w:val="0"/>
                <w:sz w:val="22"/>
                <w:highlight w:val="none"/>
              </w:rPr>
              <w:t>.</w:t>
            </w:r>
            <w:r>
              <w:rPr>
                <w:rFonts w:hint="eastAsia" w:ascii="宋体" w:hAnsi="宋体" w:eastAsia="宋体" w:cs="宋体"/>
                <w:kern w:val="0"/>
                <w:sz w:val="22"/>
                <w:highlight w:val="none"/>
              </w:rPr>
              <w:t>评价为优，得100%；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2</w:t>
            </w:r>
            <w:r>
              <w:rPr>
                <w:rFonts w:ascii="宋体" w:hAnsi="宋体" w:eastAsia="宋体" w:cs="宋体"/>
                <w:kern w:val="0"/>
                <w:sz w:val="22"/>
                <w:highlight w:val="none"/>
              </w:rPr>
              <w:t>.</w:t>
            </w:r>
            <w:r>
              <w:rPr>
                <w:rFonts w:hint="eastAsia" w:ascii="宋体" w:hAnsi="宋体" w:eastAsia="宋体" w:cs="宋体"/>
                <w:kern w:val="0"/>
                <w:sz w:val="22"/>
                <w:highlight w:val="none"/>
              </w:rPr>
              <w:t>评价为良，得70%；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3</w:t>
            </w:r>
            <w:r>
              <w:rPr>
                <w:rFonts w:ascii="宋体" w:hAnsi="宋体" w:eastAsia="宋体" w:cs="宋体"/>
                <w:kern w:val="0"/>
                <w:sz w:val="22"/>
                <w:highlight w:val="none"/>
              </w:rPr>
              <w:t>.</w:t>
            </w:r>
            <w:r>
              <w:rPr>
                <w:rFonts w:hint="eastAsia" w:ascii="宋体" w:hAnsi="宋体" w:eastAsia="宋体" w:cs="宋体"/>
                <w:kern w:val="0"/>
                <w:sz w:val="22"/>
                <w:highlight w:val="none"/>
              </w:rPr>
              <w:t>评价为中，得40%；</w:t>
            </w:r>
          </w:p>
          <w:p>
            <w:pPr>
              <w:spacing w:line="300" w:lineRule="exact"/>
              <w:ind w:left="-78" w:leftChars="-37" w:right="-73" w:rightChars="-35"/>
              <w:jc w:val="left"/>
              <w:rPr>
                <w:rFonts w:ascii="宋体" w:hAnsi="宋体" w:eastAsia="宋体" w:cs="宋体"/>
                <w:kern w:val="0"/>
                <w:sz w:val="22"/>
                <w:highlight w:val="none"/>
              </w:rPr>
            </w:pPr>
            <w:r>
              <w:rPr>
                <w:rFonts w:hint="eastAsia" w:ascii="宋体" w:hAnsi="宋体" w:eastAsia="宋体" w:cs="宋体"/>
                <w:kern w:val="0"/>
                <w:sz w:val="22"/>
                <w:highlight w:val="none"/>
              </w:rPr>
              <w:t>4</w:t>
            </w:r>
            <w:r>
              <w:rPr>
                <w:rFonts w:ascii="宋体" w:hAnsi="宋体" w:eastAsia="宋体" w:cs="宋体"/>
                <w:kern w:val="0"/>
                <w:sz w:val="22"/>
                <w:highlight w:val="none"/>
              </w:rPr>
              <w:t>.</w:t>
            </w:r>
            <w:r>
              <w:rPr>
                <w:rFonts w:hint="eastAsia" w:ascii="宋体" w:hAnsi="宋体" w:eastAsia="宋体" w:cs="宋体"/>
                <w:kern w:val="0"/>
                <w:sz w:val="22"/>
                <w:highlight w:val="none"/>
              </w:rPr>
              <w:t>评价为差，得10%。</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15</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2"/>
              </w:numPr>
              <w:spacing w:line="300" w:lineRule="exact"/>
              <w:jc w:val="right"/>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违约承诺</w:t>
            </w:r>
          </w:p>
        </w:tc>
        <w:tc>
          <w:tcPr>
            <w:tcW w:w="4678" w:type="dxa"/>
          </w:tcPr>
          <w:p>
            <w:pPr>
              <w:spacing w:line="300" w:lineRule="exact"/>
              <w:jc w:val="left"/>
              <w:rPr>
                <w:rFonts w:ascii="宋体" w:hAnsi="宋体" w:eastAsia="宋体" w:cs="宋体"/>
                <w:kern w:val="0"/>
                <w:sz w:val="22"/>
                <w:highlight w:val="none"/>
              </w:rPr>
            </w:pPr>
            <w:r>
              <w:rPr>
                <w:rFonts w:hint="eastAsia" w:ascii="宋体" w:hAnsi="宋体" w:eastAsia="宋体" w:cs="宋体"/>
                <w:kern w:val="0"/>
                <w:sz w:val="22"/>
                <w:highlight w:val="none"/>
              </w:rPr>
              <w:t>提供违约承诺，承诺满足招标文件要求，保证措施合理且有针对性，有具体的违约责任承诺。</w:t>
            </w:r>
          </w:p>
          <w:p>
            <w:pPr>
              <w:spacing w:line="300" w:lineRule="exact"/>
              <w:jc w:val="left"/>
              <w:rPr>
                <w:rFonts w:ascii="宋体" w:hAnsi="宋体" w:eastAsia="宋体" w:cs="宋体"/>
                <w:kern w:val="0"/>
                <w:sz w:val="22"/>
                <w:highlight w:val="none"/>
              </w:rPr>
            </w:pPr>
            <w:r>
              <w:rPr>
                <w:rFonts w:hint="eastAsia" w:ascii="宋体" w:hAnsi="宋体" w:eastAsia="宋体" w:cs="宋体"/>
                <w:kern w:val="0"/>
                <w:sz w:val="22"/>
                <w:highlight w:val="none"/>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二</w:t>
            </w:r>
          </w:p>
        </w:tc>
        <w:tc>
          <w:tcPr>
            <w:tcW w:w="7581" w:type="dxa"/>
            <w:gridSpan w:val="4"/>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宋体"/>
                <w:b/>
                <w:sz w:val="22"/>
                <w:highlight w:val="none"/>
              </w:rPr>
              <w:t>商务部分</w:t>
            </w:r>
            <w:r>
              <w:rPr>
                <w:rFonts w:hint="eastAsia" w:ascii="宋体" w:hAnsi="宋体" w:eastAsia="宋体" w:cs="Times New Roman"/>
                <w:b/>
                <w:sz w:val="22"/>
                <w:highlight w:val="none"/>
              </w:rPr>
              <w:t>（合计</w:t>
            </w:r>
            <w:r>
              <w:rPr>
                <w:rFonts w:ascii="宋体" w:hAnsi="宋体" w:eastAsia="宋体" w:cs="Times New Roman"/>
                <w:b/>
                <w:sz w:val="22"/>
                <w:highlight w:val="none"/>
              </w:rPr>
              <w:t>45</w:t>
            </w:r>
            <w:r>
              <w:rPr>
                <w:rFonts w:hint="eastAsia" w:ascii="宋体" w:hAnsi="宋体" w:eastAsia="宋体" w:cs="Times New Roman"/>
                <w:b/>
                <w:sz w:val="22"/>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3"/>
              </w:numPr>
              <w:spacing w:line="300" w:lineRule="exact"/>
              <w:jc w:val="center"/>
              <w:rPr>
                <w:rFonts w:ascii="宋体" w:hAnsi="宋体" w:eastAsia="宋体" w:cs="Times New Roman"/>
                <w:sz w:val="22"/>
                <w:highlight w:val="none"/>
              </w:rPr>
            </w:pPr>
          </w:p>
        </w:tc>
        <w:tc>
          <w:tcPr>
            <w:tcW w:w="1202" w:type="dxa"/>
            <w:vAlign w:val="center"/>
          </w:tcPr>
          <w:p>
            <w:pPr>
              <w:spacing w:line="300" w:lineRule="exact"/>
              <w:jc w:val="center"/>
              <w:rPr>
                <w:rFonts w:ascii="Arial" w:hAnsi="Arial" w:eastAsia="黑体" w:cs="Times New Roman"/>
                <w:b/>
                <w:bCs/>
                <w:sz w:val="22"/>
                <w:szCs w:val="32"/>
                <w:highlight w:val="none"/>
              </w:rPr>
            </w:pPr>
            <w:r>
              <w:rPr>
                <w:rFonts w:hint="eastAsia" w:ascii="宋体" w:hAnsi="宋体" w:eastAsia="宋体" w:cs="Times New Roman"/>
                <w:sz w:val="22"/>
                <w:highlight w:val="none"/>
              </w:rPr>
              <w:t>投标人经验</w:t>
            </w:r>
          </w:p>
        </w:tc>
        <w:tc>
          <w:tcPr>
            <w:tcW w:w="4678" w:type="dxa"/>
            <w:vAlign w:val="center"/>
          </w:tcPr>
          <w:p>
            <w:pPr>
              <w:spacing w:line="300" w:lineRule="exact"/>
              <w:jc w:val="left"/>
              <w:rPr>
                <w:rFonts w:ascii="宋体" w:hAnsi="宋体" w:eastAsia="宋体" w:cs="宋体"/>
                <w:b/>
                <w:kern w:val="0"/>
                <w:sz w:val="22"/>
                <w:highlight w:val="none"/>
              </w:rPr>
            </w:pPr>
            <w:r>
              <w:rPr>
                <w:rFonts w:hint="eastAsia" w:ascii="宋体" w:hAnsi="宋体" w:eastAsia="宋体" w:cs="宋体"/>
                <w:b/>
                <w:kern w:val="0"/>
                <w:sz w:val="22"/>
                <w:highlight w:val="none"/>
              </w:rPr>
              <w:t>1</w:t>
            </w:r>
            <w:r>
              <w:rPr>
                <w:rFonts w:ascii="宋体" w:hAnsi="宋体" w:eastAsia="宋体" w:cs="宋体"/>
                <w:b/>
                <w:kern w:val="0"/>
                <w:sz w:val="22"/>
                <w:highlight w:val="none"/>
              </w:rPr>
              <w:t>.</w:t>
            </w:r>
            <w:r>
              <w:rPr>
                <w:rFonts w:hint="eastAsia" w:ascii="宋体" w:hAnsi="宋体" w:eastAsia="宋体" w:cs="宋体"/>
                <w:b/>
                <w:kern w:val="0"/>
                <w:sz w:val="22"/>
                <w:highlight w:val="none"/>
              </w:rPr>
              <w:t>评分内容：</w:t>
            </w:r>
          </w:p>
          <w:p>
            <w:pPr>
              <w:spacing w:line="300" w:lineRule="exact"/>
              <w:rPr>
                <w:rFonts w:ascii="宋体" w:hAnsi="宋体" w:eastAsia="宋体" w:cs="宋体"/>
                <w:kern w:val="0"/>
                <w:sz w:val="22"/>
                <w:highlight w:val="none"/>
              </w:rPr>
            </w:pPr>
            <w:r>
              <w:rPr>
                <w:rFonts w:hint="eastAsia" w:ascii="宋体" w:hAnsi="宋体" w:eastAsia="宋体" w:cs="宋体"/>
                <w:kern w:val="0"/>
                <w:sz w:val="22"/>
                <w:highlight w:val="none"/>
              </w:rPr>
              <w:t>牵头承担过</w:t>
            </w:r>
            <w:r>
              <w:rPr>
                <w:rFonts w:hint="eastAsia" w:ascii="宋体" w:hAnsi="宋体" w:eastAsia="宋体" w:cs="宋体"/>
                <w:kern w:val="0"/>
                <w:sz w:val="22"/>
                <w:highlight w:val="none"/>
              </w:rPr>
              <w:t>国家、省或市级</w:t>
            </w:r>
            <w:r>
              <w:rPr>
                <w:rFonts w:hint="eastAsia" w:ascii="宋体" w:hAnsi="宋体" w:cs="宋体"/>
                <w:kern w:val="0"/>
                <w:sz w:val="22"/>
                <w:highlight w:val="none"/>
              </w:rPr>
              <w:t>低空经济类规划</w:t>
            </w:r>
            <w:r>
              <w:rPr>
                <w:rFonts w:hint="eastAsia" w:ascii="宋体" w:hAnsi="宋体" w:cs="宋体"/>
                <w:kern w:val="0"/>
                <w:sz w:val="22"/>
                <w:highlight w:val="none"/>
                <w:lang w:eastAsia="zh-CN"/>
              </w:rPr>
              <w:t>编制</w:t>
            </w:r>
            <w:r>
              <w:rPr>
                <w:rFonts w:hint="eastAsia" w:ascii="宋体" w:hAnsi="宋体" w:cs="宋体"/>
                <w:kern w:val="0"/>
                <w:sz w:val="22"/>
                <w:highlight w:val="none"/>
              </w:rPr>
              <w:t>、</w:t>
            </w:r>
            <w:r>
              <w:rPr>
                <w:rFonts w:hint="eastAsia" w:ascii="宋体" w:hAnsi="宋体" w:cs="宋体"/>
                <w:kern w:val="0"/>
                <w:sz w:val="22"/>
                <w:highlight w:val="none"/>
                <w:lang w:eastAsia="zh-CN"/>
              </w:rPr>
              <w:t>政策</w:t>
            </w:r>
            <w:r>
              <w:rPr>
                <w:rFonts w:hint="eastAsia" w:ascii="宋体" w:hAnsi="宋体" w:cs="宋体"/>
                <w:kern w:val="0"/>
                <w:sz w:val="22"/>
                <w:highlight w:val="none"/>
              </w:rPr>
              <w:t>研究、</w:t>
            </w:r>
            <w:r>
              <w:rPr>
                <w:rFonts w:hint="eastAsia" w:ascii="宋体" w:hAnsi="宋体" w:eastAsia="宋体" w:cs="宋体"/>
                <w:kern w:val="0"/>
                <w:sz w:val="22"/>
                <w:highlight w:val="none"/>
              </w:rPr>
              <w:t>重大项目谋划等政府项目的，按每项</w:t>
            </w:r>
            <w:r>
              <w:rPr>
                <w:rFonts w:ascii="宋体" w:hAnsi="宋体" w:eastAsia="宋体" w:cs="宋体"/>
                <w:kern w:val="0"/>
                <w:sz w:val="22"/>
                <w:highlight w:val="none"/>
              </w:rPr>
              <w:t>20</w:t>
            </w:r>
            <w:r>
              <w:rPr>
                <w:rFonts w:hint="eastAsia" w:ascii="宋体" w:hAnsi="宋体" w:eastAsia="宋体" w:cs="宋体"/>
                <w:kern w:val="0"/>
                <w:sz w:val="22"/>
                <w:highlight w:val="none"/>
              </w:rPr>
              <w:t>%，最高得分不超过100%。</w:t>
            </w:r>
          </w:p>
          <w:p>
            <w:pPr>
              <w:spacing w:line="300" w:lineRule="exact"/>
              <w:jc w:val="left"/>
              <w:rPr>
                <w:rFonts w:ascii="宋体" w:hAnsi="宋体" w:eastAsia="宋体" w:cs="宋体"/>
                <w:b/>
                <w:kern w:val="0"/>
                <w:sz w:val="22"/>
                <w:highlight w:val="none"/>
              </w:rPr>
            </w:pPr>
            <w:r>
              <w:rPr>
                <w:rFonts w:hint="eastAsia" w:ascii="宋体" w:hAnsi="宋体" w:eastAsia="宋体" w:cs="宋体"/>
                <w:b/>
                <w:kern w:val="0"/>
                <w:sz w:val="22"/>
                <w:highlight w:val="none"/>
              </w:rPr>
              <w:t>2</w:t>
            </w:r>
            <w:r>
              <w:rPr>
                <w:rFonts w:ascii="宋体" w:hAnsi="宋体" w:eastAsia="宋体" w:cs="宋体"/>
                <w:b/>
                <w:kern w:val="0"/>
                <w:sz w:val="22"/>
                <w:highlight w:val="none"/>
              </w:rPr>
              <w:t>.</w:t>
            </w:r>
            <w:r>
              <w:rPr>
                <w:rFonts w:hint="eastAsia" w:ascii="宋体" w:hAnsi="宋体" w:eastAsia="宋体" w:cs="宋体"/>
                <w:b/>
                <w:kern w:val="0"/>
                <w:sz w:val="22"/>
                <w:highlight w:val="none"/>
              </w:rPr>
              <w:t>评分依据：</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（1）要求提供中标通知书、合同关键页或其他证明文件。</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3"/>
              </w:numPr>
              <w:spacing w:line="300" w:lineRule="exact"/>
              <w:jc w:val="center"/>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拟安排的项目负责人情况（仅限一人）</w:t>
            </w:r>
          </w:p>
        </w:tc>
        <w:tc>
          <w:tcPr>
            <w:tcW w:w="4678" w:type="dxa"/>
          </w:tcPr>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b/>
                <w:kern w:val="0"/>
                <w:sz w:val="22"/>
                <w:highlight w:val="none"/>
              </w:rPr>
              <w:t>1</w:t>
            </w:r>
            <w:r>
              <w:rPr>
                <w:rFonts w:ascii="宋体" w:hAnsi="宋体" w:eastAsia="宋体" w:cs="宋体"/>
                <w:b/>
                <w:kern w:val="0"/>
                <w:sz w:val="22"/>
                <w:highlight w:val="none"/>
              </w:rPr>
              <w:t>.</w:t>
            </w:r>
            <w:r>
              <w:rPr>
                <w:rFonts w:hint="eastAsia" w:ascii="宋体" w:hAnsi="宋体" w:eastAsia="宋体" w:cs="宋体"/>
                <w:b/>
                <w:kern w:val="0"/>
                <w:sz w:val="22"/>
                <w:highlight w:val="none"/>
              </w:rPr>
              <w:t>评分内容：</w:t>
            </w:r>
          </w:p>
          <w:p>
            <w:pPr>
              <w:spacing w:line="300" w:lineRule="exact"/>
              <w:ind w:left="-63" w:leftChars="-30" w:right="-88" w:rightChars="-42"/>
              <w:jc w:val="left"/>
              <w:rPr>
                <w:rFonts w:ascii="宋体" w:hAnsi="宋体" w:cs="宋体"/>
                <w:kern w:val="0"/>
                <w:sz w:val="22"/>
                <w:highlight w:val="none"/>
              </w:rPr>
            </w:pPr>
            <w:r>
              <w:rPr>
                <w:rFonts w:hint="eastAsia" w:ascii="宋体" w:hAnsi="宋体" w:cs="宋体"/>
                <w:kern w:val="0"/>
                <w:sz w:val="22"/>
                <w:highlight w:val="none"/>
              </w:rPr>
              <w:t>项目负责人须全日制本科（或以上）学历，不满足此项不得分。</w:t>
            </w:r>
          </w:p>
          <w:p>
            <w:pPr>
              <w:spacing w:line="300" w:lineRule="exact"/>
              <w:ind w:left="-63" w:leftChars="-30" w:right="-88" w:rightChars="-42"/>
              <w:jc w:val="left"/>
              <w:rPr>
                <w:rFonts w:ascii="宋体" w:hAnsi="宋体" w:cs="宋体"/>
                <w:kern w:val="0"/>
                <w:sz w:val="22"/>
                <w:highlight w:val="none"/>
              </w:rPr>
            </w:pPr>
            <w:r>
              <w:rPr>
                <w:rFonts w:hint="eastAsia" w:ascii="宋体" w:hAnsi="宋体" w:cs="宋体"/>
                <w:kern w:val="0"/>
                <w:sz w:val="22"/>
                <w:highlight w:val="none"/>
              </w:rPr>
              <w:t>（1）具有硕士学历及以上的，得1</w:t>
            </w:r>
            <w:r>
              <w:rPr>
                <w:rFonts w:ascii="宋体" w:hAnsi="宋体" w:cs="宋体"/>
                <w:kern w:val="0"/>
                <w:sz w:val="22"/>
                <w:highlight w:val="none"/>
              </w:rPr>
              <w:t>0%</w:t>
            </w:r>
            <w:r>
              <w:rPr>
                <w:rFonts w:hint="eastAsia" w:ascii="宋体" w:hAnsi="宋体" w:cs="宋体"/>
                <w:kern w:val="0"/>
                <w:sz w:val="22"/>
                <w:highlight w:val="none"/>
              </w:rPr>
              <w:t>；</w:t>
            </w:r>
          </w:p>
          <w:p>
            <w:pPr>
              <w:spacing w:line="300" w:lineRule="exact"/>
              <w:ind w:left="-63" w:leftChars="-30" w:right="-88" w:rightChars="-42"/>
              <w:jc w:val="left"/>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2</w:t>
            </w:r>
            <w:r>
              <w:rPr>
                <w:rFonts w:hint="eastAsia" w:ascii="宋体" w:hAnsi="宋体" w:cs="宋体"/>
                <w:kern w:val="0"/>
                <w:sz w:val="22"/>
                <w:highlight w:val="none"/>
              </w:rPr>
              <w:t>）具有副高级及以上职称证书的，得1</w:t>
            </w:r>
            <w:r>
              <w:rPr>
                <w:rFonts w:ascii="宋体" w:hAnsi="宋体" w:cs="宋体"/>
                <w:kern w:val="0"/>
                <w:sz w:val="22"/>
                <w:highlight w:val="none"/>
              </w:rPr>
              <w:t>0%</w:t>
            </w:r>
            <w:r>
              <w:rPr>
                <w:rFonts w:hint="eastAsia" w:ascii="宋体" w:hAnsi="宋体" w:cs="宋体"/>
                <w:kern w:val="0"/>
                <w:sz w:val="22"/>
                <w:highlight w:val="none"/>
              </w:rPr>
              <w:t>。</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3</w:t>
            </w:r>
            <w:r>
              <w:rPr>
                <w:rFonts w:hint="eastAsia" w:ascii="宋体" w:hAnsi="宋体" w:cs="宋体"/>
                <w:kern w:val="0"/>
                <w:sz w:val="22"/>
                <w:highlight w:val="none"/>
              </w:rPr>
              <w:t>）主持或参与过</w:t>
            </w:r>
            <w:r>
              <w:rPr>
                <w:rFonts w:hint="eastAsia" w:ascii="宋体" w:hAnsi="宋体" w:eastAsia="宋体" w:cs="宋体"/>
                <w:kern w:val="0"/>
                <w:sz w:val="22"/>
                <w:highlight w:val="none"/>
              </w:rPr>
              <w:t>国家、省或市级</w:t>
            </w:r>
            <w:r>
              <w:rPr>
                <w:rFonts w:hint="eastAsia" w:ascii="宋体" w:hAnsi="宋体" w:cs="宋体"/>
                <w:kern w:val="0"/>
                <w:sz w:val="22"/>
                <w:highlight w:val="none"/>
              </w:rPr>
              <w:t>低空经济类规划</w:t>
            </w:r>
            <w:r>
              <w:rPr>
                <w:rFonts w:hint="eastAsia" w:ascii="宋体" w:hAnsi="宋体" w:cs="宋体"/>
                <w:kern w:val="0"/>
                <w:sz w:val="22"/>
                <w:highlight w:val="none"/>
                <w:lang w:eastAsia="zh-CN"/>
              </w:rPr>
              <w:t>编制</w:t>
            </w:r>
            <w:r>
              <w:rPr>
                <w:rFonts w:hint="eastAsia" w:ascii="宋体" w:hAnsi="宋体" w:cs="宋体"/>
                <w:kern w:val="0"/>
                <w:sz w:val="22"/>
                <w:highlight w:val="none"/>
              </w:rPr>
              <w:t>、</w:t>
            </w:r>
            <w:r>
              <w:rPr>
                <w:rFonts w:hint="eastAsia" w:ascii="宋体" w:hAnsi="宋体" w:cs="宋体"/>
                <w:kern w:val="0"/>
                <w:sz w:val="22"/>
                <w:highlight w:val="none"/>
                <w:lang w:eastAsia="zh-CN"/>
              </w:rPr>
              <w:t>政策</w:t>
            </w:r>
            <w:r>
              <w:rPr>
                <w:rFonts w:hint="eastAsia" w:ascii="宋体" w:hAnsi="宋体" w:cs="宋体"/>
                <w:kern w:val="0"/>
                <w:sz w:val="22"/>
                <w:highlight w:val="none"/>
              </w:rPr>
              <w:t>研究、</w:t>
            </w:r>
            <w:r>
              <w:rPr>
                <w:rFonts w:hint="eastAsia" w:ascii="宋体" w:hAnsi="宋体" w:eastAsia="宋体" w:cs="宋体"/>
                <w:kern w:val="0"/>
                <w:sz w:val="22"/>
                <w:highlight w:val="none"/>
              </w:rPr>
              <w:t>重大项目谋划等政府项目的</w:t>
            </w:r>
            <w:r>
              <w:rPr>
                <w:rFonts w:hint="eastAsia" w:ascii="宋体" w:hAnsi="宋体" w:cs="宋体"/>
                <w:kern w:val="0"/>
                <w:sz w:val="22"/>
                <w:highlight w:val="none"/>
              </w:rPr>
              <w:t>，每个项目得2</w:t>
            </w:r>
            <w:r>
              <w:rPr>
                <w:rFonts w:ascii="宋体" w:hAnsi="宋体" w:cs="宋体"/>
                <w:kern w:val="0"/>
                <w:sz w:val="22"/>
                <w:highlight w:val="none"/>
              </w:rPr>
              <w:t>0%</w:t>
            </w:r>
            <w:r>
              <w:rPr>
                <w:rFonts w:hint="eastAsia" w:ascii="宋体" w:hAnsi="宋体" w:cs="宋体"/>
                <w:kern w:val="0"/>
                <w:sz w:val="22"/>
                <w:highlight w:val="none"/>
              </w:rPr>
              <w:t>，累计最高得8</w:t>
            </w:r>
            <w:r>
              <w:rPr>
                <w:rFonts w:ascii="宋体" w:hAnsi="宋体" w:cs="宋体"/>
                <w:kern w:val="0"/>
                <w:sz w:val="22"/>
                <w:highlight w:val="none"/>
              </w:rPr>
              <w:t>0%</w:t>
            </w:r>
            <w:r>
              <w:rPr>
                <w:rFonts w:hint="eastAsia" w:ascii="宋体" w:hAnsi="宋体" w:cs="宋体"/>
                <w:kern w:val="0"/>
                <w:sz w:val="22"/>
                <w:highlight w:val="none"/>
              </w:rPr>
              <w:t>。</w:t>
            </w:r>
          </w:p>
          <w:p>
            <w:pPr>
              <w:spacing w:line="300" w:lineRule="exact"/>
              <w:jc w:val="left"/>
              <w:rPr>
                <w:rFonts w:ascii="宋体" w:hAnsi="宋体" w:eastAsia="宋体" w:cs="宋体"/>
                <w:b/>
                <w:kern w:val="0"/>
                <w:sz w:val="22"/>
                <w:highlight w:val="none"/>
              </w:rPr>
            </w:pPr>
            <w:r>
              <w:rPr>
                <w:rFonts w:hint="eastAsia" w:ascii="宋体" w:hAnsi="宋体" w:eastAsia="宋体" w:cs="宋体"/>
                <w:b/>
                <w:kern w:val="0"/>
                <w:sz w:val="22"/>
                <w:highlight w:val="none"/>
              </w:rPr>
              <w:t>2</w:t>
            </w:r>
            <w:r>
              <w:rPr>
                <w:rFonts w:ascii="宋体" w:hAnsi="宋体" w:eastAsia="宋体" w:cs="宋体"/>
                <w:b/>
                <w:kern w:val="0"/>
                <w:sz w:val="22"/>
                <w:highlight w:val="none"/>
              </w:rPr>
              <w:t>.</w:t>
            </w:r>
            <w:r>
              <w:rPr>
                <w:rFonts w:hint="eastAsia" w:ascii="宋体" w:hAnsi="宋体" w:eastAsia="宋体" w:cs="宋体"/>
                <w:b/>
                <w:kern w:val="0"/>
                <w:sz w:val="22"/>
                <w:highlight w:val="none"/>
              </w:rPr>
              <w:t>评分依据：</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3"/>
              </w:numPr>
              <w:spacing w:line="300" w:lineRule="exact"/>
              <w:jc w:val="center"/>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拟安排的项目主要团队成员（主要技术人员）情况（项目负责人除外）</w:t>
            </w:r>
          </w:p>
        </w:tc>
        <w:tc>
          <w:tcPr>
            <w:tcW w:w="4678" w:type="dxa"/>
          </w:tcPr>
          <w:p>
            <w:pPr>
              <w:spacing w:line="300" w:lineRule="exact"/>
              <w:jc w:val="left"/>
              <w:rPr>
                <w:rFonts w:ascii="宋体" w:hAnsi="宋体" w:eastAsia="宋体" w:cs="宋体"/>
                <w:b/>
                <w:kern w:val="0"/>
                <w:sz w:val="22"/>
                <w:highlight w:val="none"/>
              </w:rPr>
            </w:pPr>
            <w:r>
              <w:rPr>
                <w:rFonts w:hint="eastAsia" w:ascii="宋体" w:hAnsi="宋体" w:eastAsia="宋体" w:cs="宋体"/>
                <w:b/>
                <w:kern w:val="0"/>
                <w:sz w:val="22"/>
                <w:highlight w:val="none"/>
              </w:rPr>
              <w:t>1</w:t>
            </w:r>
            <w:r>
              <w:rPr>
                <w:rFonts w:ascii="宋体" w:hAnsi="宋体" w:eastAsia="宋体" w:cs="宋体"/>
                <w:b/>
                <w:kern w:val="0"/>
                <w:sz w:val="22"/>
                <w:highlight w:val="none"/>
              </w:rPr>
              <w:t>.</w:t>
            </w:r>
            <w:r>
              <w:rPr>
                <w:rFonts w:hint="eastAsia" w:ascii="宋体" w:hAnsi="宋体" w:eastAsia="宋体" w:cs="宋体"/>
                <w:b/>
                <w:kern w:val="0"/>
                <w:sz w:val="22"/>
                <w:highlight w:val="none"/>
              </w:rPr>
              <w:t>评分内容：</w:t>
            </w:r>
          </w:p>
          <w:p>
            <w:pPr>
              <w:spacing w:line="300" w:lineRule="exact"/>
              <w:jc w:val="left"/>
              <w:rPr>
                <w:rFonts w:ascii="宋体" w:hAnsi="宋体" w:cs="宋体"/>
                <w:kern w:val="0"/>
                <w:sz w:val="22"/>
                <w:highlight w:val="none"/>
              </w:rPr>
            </w:pPr>
            <w:r>
              <w:rPr>
                <w:rFonts w:hint="eastAsia" w:ascii="宋体" w:hAnsi="宋体" w:eastAsia="宋体" w:cs="宋体"/>
                <w:kern w:val="0"/>
                <w:sz w:val="22"/>
                <w:highlight w:val="none"/>
              </w:rPr>
              <w:t>项目团队</w:t>
            </w:r>
            <w:r>
              <w:rPr>
                <w:rFonts w:hint="eastAsia" w:ascii="宋体" w:hAnsi="宋体" w:cs="宋体"/>
                <w:kern w:val="0"/>
                <w:sz w:val="22"/>
                <w:highlight w:val="none"/>
              </w:rPr>
              <w:t>项成员需5人以上（含5人），均须具全日制本科及以上学历，否则此项不得分。项目团队成员（项目负责人除外）中：</w:t>
            </w:r>
          </w:p>
          <w:p>
            <w:pPr>
              <w:spacing w:line="300" w:lineRule="exact"/>
              <w:jc w:val="left"/>
              <w:rPr>
                <w:rFonts w:ascii="宋体" w:hAnsi="宋体" w:cs="宋体"/>
                <w:kern w:val="0"/>
                <w:sz w:val="22"/>
                <w:highlight w:val="none"/>
              </w:rPr>
            </w:pPr>
            <w:r>
              <w:rPr>
                <w:rFonts w:hint="eastAsia" w:ascii="宋体" w:hAnsi="宋体" w:cs="宋体"/>
                <w:kern w:val="0"/>
                <w:sz w:val="22"/>
                <w:highlight w:val="none"/>
              </w:rPr>
              <w:t>（1）具备硕士及以上学历的，每人得1</w:t>
            </w:r>
            <w:r>
              <w:rPr>
                <w:rFonts w:ascii="宋体" w:hAnsi="宋体" w:cs="宋体"/>
                <w:kern w:val="0"/>
                <w:sz w:val="22"/>
                <w:highlight w:val="none"/>
              </w:rPr>
              <w:t>0%</w:t>
            </w:r>
            <w:r>
              <w:rPr>
                <w:rFonts w:hint="eastAsia" w:ascii="宋体" w:hAnsi="宋体" w:cs="宋体"/>
                <w:kern w:val="0"/>
                <w:sz w:val="22"/>
                <w:highlight w:val="none"/>
              </w:rPr>
              <w:t>，累计最高得3</w:t>
            </w:r>
            <w:r>
              <w:rPr>
                <w:rFonts w:ascii="宋体" w:hAnsi="宋体" w:cs="宋体"/>
                <w:kern w:val="0"/>
                <w:sz w:val="22"/>
                <w:highlight w:val="none"/>
              </w:rPr>
              <w:t>0%</w:t>
            </w:r>
            <w:r>
              <w:rPr>
                <w:rFonts w:hint="eastAsia" w:ascii="宋体" w:hAnsi="宋体" w:cs="宋体"/>
                <w:kern w:val="0"/>
                <w:sz w:val="22"/>
                <w:highlight w:val="none"/>
              </w:rPr>
              <w:t>；</w:t>
            </w:r>
          </w:p>
          <w:p>
            <w:pPr>
              <w:spacing w:line="300" w:lineRule="exact"/>
              <w:jc w:val="left"/>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2</w:t>
            </w:r>
            <w:r>
              <w:rPr>
                <w:rFonts w:hint="eastAsia" w:ascii="宋体" w:hAnsi="宋体" w:cs="宋体"/>
                <w:kern w:val="0"/>
                <w:sz w:val="22"/>
                <w:highlight w:val="none"/>
              </w:rPr>
              <w:t>）具备高级（含副高）及以上职称的，每人得</w:t>
            </w:r>
            <w:r>
              <w:rPr>
                <w:rFonts w:ascii="宋体" w:hAnsi="宋体" w:cs="宋体"/>
                <w:kern w:val="0"/>
                <w:sz w:val="22"/>
                <w:highlight w:val="none"/>
              </w:rPr>
              <w:t>10%</w:t>
            </w:r>
            <w:r>
              <w:rPr>
                <w:rFonts w:hint="eastAsia" w:ascii="宋体" w:hAnsi="宋体" w:cs="宋体"/>
                <w:kern w:val="0"/>
                <w:sz w:val="22"/>
                <w:highlight w:val="none"/>
              </w:rPr>
              <w:t>，累计最高得</w:t>
            </w:r>
            <w:r>
              <w:rPr>
                <w:rFonts w:ascii="宋体" w:hAnsi="宋体" w:cs="宋体"/>
                <w:kern w:val="0"/>
                <w:sz w:val="22"/>
                <w:highlight w:val="none"/>
              </w:rPr>
              <w:t>30%</w:t>
            </w:r>
            <w:r>
              <w:rPr>
                <w:rFonts w:hint="eastAsia" w:ascii="宋体" w:hAnsi="宋体" w:cs="宋体"/>
                <w:kern w:val="0"/>
                <w:sz w:val="22"/>
                <w:highlight w:val="none"/>
              </w:rPr>
              <w:t>；</w:t>
            </w:r>
          </w:p>
          <w:p>
            <w:pPr>
              <w:spacing w:line="300" w:lineRule="exact"/>
              <w:jc w:val="left"/>
              <w:rPr>
                <w:rFonts w:ascii="宋体" w:hAnsi="宋体" w:eastAsia="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3</w:t>
            </w:r>
            <w:r>
              <w:rPr>
                <w:rFonts w:hint="eastAsia" w:ascii="宋体" w:hAnsi="宋体" w:cs="宋体"/>
                <w:kern w:val="0"/>
                <w:sz w:val="22"/>
                <w:highlight w:val="none"/>
              </w:rPr>
              <w:t>）具有</w:t>
            </w:r>
            <w:r>
              <w:rPr>
                <w:rFonts w:hint="eastAsia" w:ascii="宋体" w:hAnsi="宋体" w:eastAsia="宋体" w:cs="宋体"/>
                <w:kern w:val="0"/>
                <w:sz w:val="22"/>
                <w:highlight w:val="none"/>
              </w:rPr>
              <w:t>国家、省或市级</w:t>
            </w:r>
            <w:r>
              <w:rPr>
                <w:rFonts w:hint="eastAsia" w:ascii="宋体" w:hAnsi="宋体" w:cs="宋体"/>
                <w:kern w:val="0"/>
                <w:sz w:val="22"/>
                <w:highlight w:val="none"/>
              </w:rPr>
              <w:t>低空经济类规划</w:t>
            </w:r>
            <w:r>
              <w:rPr>
                <w:rFonts w:hint="eastAsia" w:ascii="宋体" w:hAnsi="宋体" w:cs="宋体"/>
                <w:kern w:val="0"/>
                <w:sz w:val="22"/>
                <w:highlight w:val="none"/>
                <w:lang w:eastAsia="zh-CN"/>
              </w:rPr>
              <w:t>编制</w:t>
            </w:r>
            <w:r>
              <w:rPr>
                <w:rFonts w:hint="eastAsia" w:ascii="宋体" w:hAnsi="宋体" w:cs="宋体"/>
                <w:kern w:val="0"/>
                <w:sz w:val="22"/>
                <w:highlight w:val="none"/>
              </w:rPr>
              <w:t>、</w:t>
            </w:r>
            <w:r>
              <w:rPr>
                <w:rFonts w:hint="eastAsia" w:ascii="宋体" w:hAnsi="宋体" w:cs="宋体"/>
                <w:kern w:val="0"/>
                <w:sz w:val="22"/>
                <w:highlight w:val="none"/>
                <w:lang w:eastAsia="zh-CN"/>
              </w:rPr>
              <w:t>政策</w:t>
            </w:r>
            <w:r>
              <w:rPr>
                <w:rFonts w:hint="eastAsia" w:ascii="宋体" w:hAnsi="宋体" w:cs="宋体"/>
                <w:kern w:val="0"/>
                <w:sz w:val="22"/>
                <w:highlight w:val="none"/>
              </w:rPr>
              <w:t>研究、</w:t>
            </w:r>
            <w:r>
              <w:rPr>
                <w:rFonts w:hint="eastAsia" w:ascii="宋体" w:hAnsi="宋体" w:eastAsia="宋体" w:cs="宋体"/>
                <w:kern w:val="0"/>
                <w:sz w:val="22"/>
                <w:highlight w:val="none"/>
              </w:rPr>
              <w:t>重大项目谋划划等政府项目</w:t>
            </w:r>
            <w:r>
              <w:rPr>
                <w:rFonts w:hint="eastAsia" w:ascii="宋体" w:hAnsi="宋体" w:cs="宋体"/>
                <w:kern w:val="0"/>
                <w:sz w:val="22"/>
                <w:highlight w:val="none"/>
              </w:rPr>
              <w:t>经验的，每人得</w:t>
            </w:r>
            <w:r>
              <w:rPr>
                <w:rFonts w:ascii="宋体" w:hAnsi="宋体" w:cs="宋体"/>
                <w:kern w:val="0"/>
                <w:sz w:val="22"/>
                <w:highlight w:val="none"/>
              </w:rPr>
              <w:t>10%</w:t>
            </w:r>
            <w:r>
              <w:rPr>
                <w:rFonts w:hint="eastAsia" w:ascii="宋体" w:hAnsi="宋体" w:cs="宋体"/>
                <w:kern w:val="0"/>
                <w:sz w:val="22"/>
                <w:highlight w:val="none"/>
              </w:rPr>
              <w:t>，累计最高得</w:t>
            </w:r>
            <w:r>
              <w:rPr>
                <w:rFonts w:ascii="宋体" w:hAnsi="宋体" w:cs="宋体"/>
                <w:kern w:val="0"/>
                <w:sz w:val="22"/>
                <w:highlight w:val="none"/>
              </w:rPr>
              <w:t>40%</w:t>
            </w:r>
            <w:r>
              <w:rPr>
                <w:rFonts w:hint="eastAsia" w:ascii="宋体" w:hAnsi="宋体" w:cs="宋体"/>
                <w:kern w:val="0"/>
                <w:sz w:val="22"/>
                <w:highlight w:val="none"/>
              </w:rPr>
              <w:t>。</w:t>
            </w:r>
          </w:p>
          <w:p>
            <w:pPr>
              <w:spacing w:line="300" w:lineRule="exact"/>
              <w:jc w:val="left"/>
              <w:rPr>
                <w:rFonts w:ascii="宋体" w:hAnsi="宋体" w:eastAsia="宋体" w:cs="宋体"/>
                <w:b/>
                <w:kern w:val="0"/>
                <w:sz w:val="22"/>
                <w:highlight w:val="none"/>
              </w:rPr>
            </w:pPr>
            <w:r>
              <w:rPr>
                <w:rFonts w:hint="eastAsia" w:ascii="宋体" w:hAnsi="宋体" w:eastAsia="宋体" w:cs="宋体"/>
                <w:b/>
                <w:kern w:val="0"/>
                <w:sz w:val="22"/>
                <w:highlight w:val="none"/>
              </w:rPr>
              <w:t>2</w:t>
            </w:r>
            <w:r>
              <w:rPr>
                <w:rFonts w:ascii="宋体" w:hAnsi="宋体" w:eastAsia="宋体" w:cs="宋体"/>
                <w:b/>
                <w:kern w:val="0"/>
                <w:sz w:val="22"/>
                <w:highlight w:val="none"/>
              </w:rPr>
              <w:t>.</w:t>
            </w:r>
            <w:r>
              <w:rPr>
                <w:rFonts w:hint="eastAsia" w:ascii="宋体" w:hAnsi="宋体" w:eastAsia="宋体" w:cs="宋体"/>
                <w:b/>
                <w:kern w:val="0"/>
                <w:sz w:val="22"/>
                <w:highlight w:val="none"/>
              </w:rPr>
              <w:t>评分依据：</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（1）要求提供通过投标人购买的团队成员近三个月社保，学位或职称文件等。</w:t>
            </w:r>
          </w:p>
          <w:p>
            <w:pPr>
              <w:spacing w:line="300" w:lineRule="exact"/>
              <w:ind w:left="-63" w:leftChars="-30" w:right="-88" w:rightChars="-42"/>
              <w:jc w:val="left"/>
              <w:rPr>
                <w:rFonts w:ascii="宋体" w:hAnsi="宋体" w:eastAsia="宋体" w:cs="宋体"/>
                <w:kern w:val="0"/>
                <w:sz w:val="22"/>
                <w:highlight w:val="none"/>
              </w:rPr>
            </w:pPr>
            <w:r>
              <w:rPr>
                <w:rFonts w:hint="eastAsia" w:ascii="宋体" w:hAnsi="宋体" w:eastAsia="宋体" w:cs="宋体"/>
                <w:kern w:val="0"/>
                <w:sz w:val="22"/>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eastAsia="宋体" w:cs="Times New Roman"/>
                <w:sz w:val="22"/>
                <w:highlight w:val="none"/>
              </w:rPr>
            </w:pPr>
            <w:r>
              <w:rPr>
                <w:rFonts w:ascii="宋体" w:hAnsi="宋体" w:eastAsia="宋体" w:cs="Times New Roman"/>
                <w:sz w:val="22"/>
                <w:highlight w:val="none"/>
              </w:rPr>
              <w:t>1</w:t>
            </w:r>
            <w:r>
              <w:rPr>
                <w:rFonts w:hint="eastAsia" w:ascii="宋体" w:hAnsi="宋体" w:eastAsia="宋体" w:cs="Times New Roman"/>
                <w:sz w:val="22"/>
                <w:highlight w:val="none"/>
              </w:rPr>
              <w:t>0</w:t>
            </w:r>
          </w:p>
        </w:tc>
        <w:tc>
          <w:tcPr>
            <w:tcW w:w="851" w:type="dxa"/>
            <w:tcBorders>
              <w:left w:val="single" w:color="auto" w:sz="4" w:space="0"/>
            </w:tcBorders>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spacing w:line="300" w:lineRule="exact"/>
              <w:jc w:val="center"/>
              <w:rPr>
                <w:rFonts w:ascii="宋体" w:hAnsi="宋体" w:eastAsia="宋体" w:cs="Times New Roman"/>
                <w:b/>
                <w:sz w:val="22"/>
                <w:highlight w:val="none"/>
              </w:rPr>
            </w:pPr>
            <w:r>
              <w:rPr>
                <w:rFonts w:hint="eastAsia" w:ascii="宋体" w:hAnsi="宋体" w:eastAsia="宋体" w:cs="Times New Roman"/>
                <w:b/>
                <w:sz w:val="22"/>
                <w:highlight w:val="none"/>
              </w:rPr>
              <w:t>三</w:t>
            </w:r>
          </w:p>
        </w:tc>
        <w:tc>
          <w:tcPr>
            <w:tcW w:w="7581" w:type="dxa"/>
            <w:gridSpan w:val="4"/>
            <w:vAlign w:val="center"/>
          </w:tcPr>
          <w:p>
            <w:pPr>
              <w:spacing w:line="300" w:lineRule="exact"/>
              <w:ind w:left="-78" w:leftChars="-37" w:right="-73" w:rightChars="-35"/>
              <w:jc w:val="center"/>
              <w:rPr>
                <w:rFonts w:ascii="宋体" w:hAnsi="宋体" w:eastAsia="宋体" w:cs="宋体"/>
                <w:b/>
                <w:sz w:val="22"/>
                <w:highlight w:val="none"/>
              </w:rPr>
            </w:pPr>
            <w:r>
              <w:rPr>
                <w:rFonts w:hint="eastAsia" w:ascii="宋体" w:hAnsi="宋体" w:eastAsia="宋体" w:cs="Times New Roman"/>
                <w:b/>
                <w:sz w:val="22"/>
                <w:highlight w:val="none"/>
              </w:rPr>
              <w:t>价格部分（合计</w:t>
            </w:r>
            <w:r>
              <w:rPr>
                <w:rFonts w:ascii="宋体" w:hAnsi="宋体" w:eastAsia="宋体" w:cs="Times New Roman"/>
                <w:b/>
                <w:sz w:val="22"/>
                <w:highlight w:val="none"/>
              </w:rPr>
              <w:t>15</w:t>
            </w:r>
            <w:r>
              <w:rPr>
                <w:rFonts w:hint="eastAsia" w:ascii="宋体" w:hAnsi="宋体" w:eastAsia="宋体" w:cs="Times New Roman"/>
                <w:b/>
                <w:sz w:val="22"/>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4"/>
              </w:numPr>
              <w:spacing w:line="300" w:lineRule="exact"/>
              <w:jc w:val="center"/>
              <w:rPr>
                <w:rFonts w:ascii="宋体" w:hAnsi="宋体" w:eastAsia="宋体" w:cs="Times New Roman"/>
                <w:sz w:val="22"/>
                <w:highlight w:val="none"/>
              </w:rPr>
            </w:pPr>
          </w:p>
        </w:tc>
        <w:tc>
          <w:tcPr>
            <w:tcW w:w="1202" w:type="dxa"/>
            <w:vAlign w:val="center"/>
          </w:tcPr>
          <w:p>
            <w:pPr>
              <w:spacing w:line="300" w:lineRule="exact"/>
              <w:jc w:val="center"/>
              <w:rPr>
                <w:rFonts w:ascii="宋体" w:hAnsi="宋体" w:eastAsia="宋体" w:cs="Times New Roman"/>
                <w:sz w:val="22"/>
                <w:highlight w:val="none"/>
              </w:rPr>
            </w:pPr>
            <w:r>
              <w:rPr>
                <w:rFonts w:hint="eastAsia" w:ascii="宋体" w:hAnsi="宋体" w:eastAsia="宋体" w:cs="Times New Roman"/>
                <w:sz w:val="22"/>
                <w:highlight w:val="none"/>
              </w:rPr>
              <w:t>投标报价</w:t>
            </w:r>
          </w:p>
        </w:tc>
        <w:tc>
          <w:tcPr>
            <w:tcW w:w="4678" w:type="dxa"/>
            <w:vAlign w:val="center"/>
          </w:tcPr>
          <w:p>
            <w:pPr>
              <w:autoSpaceDE w:val="0"/>
              <w:autoSpaceDN w:val="0"/>
              <w:adjustRightInd w:val="0"/>
              <w:snapToGrid w:val="0"/>
              <w:spacing w:line="300" w:lineRule="exact"/>
              <w:rPr>
                <w:rFonts w:ascii="宋体" w:hAnsi="宋体" w:eastAsia="宋体" w:cs="宋体"/>
                <w:kern w:val="0"/>
                <w:sz w:val="22"/>
                <w:highlight w:val="none"/>
              </w:rPr>
            </w:pPr>
            <w:r>
              <w:rPr>
                <w:rFonts w:ascii="宋体" w:hAnsi="宋体" w:eastAsia="宋体" w:cs="宋体"/>
                <w:kern w:val="0"/>
                <w:sz w:val="22"/>
                <w:highlight w:val="none"/>
              </w:rPr>
              <w:t>价格分</w:t>
            </w:r>
            <w:r>
              <w:rPr>
                <w:rFonts w:hint="eastAsia" w:ascii="宋体" w:hAnsi="宋体" w:eastAsia="宋体" w:cs="宋体"/>
                <w:kern w:val="0"/>
                <w:sz w:val="22"/>
                <w:highlight w:val="none"/>
              </w:rPr>
              <w:t>应当采用低价优先法计算，即满足招标文件要求且投标价格最低的投标报价为评标基准价，其价格分为满分。其他投标人的价格分统一按照下列公式计算：</w:t>
            </w:r>
          </w:p>
          <w:p>
            <w:pPr>
              <w:spacing w:line="300" w:lineRule="exact"/>
              <w:jc w:val="left"/>
              <w:rPr>
                <w:rFonts w:ascii="宋体" w:hAnsi="宋体" w:eastAsia="宋体" w:cs="宋体"/>
                <w:kern w:val="0"/>
                <w:sz w:val="22"/>
                <w:highlight w:val="none"/>
              </w:rPr>
            </w:pPr>
            <w:r>
              <w:rPr>
                <w:rFonts w:hint="eastAsia" w:ascii="宋体" w:hAnsi="宋体" w:eastAsia="宋体" w:cs="宋体"/>
                <w:kern w:val="0"/>
                <w:sz w:val="22"/>
                <w:highlight w:val="none"/>
              </w:rPr>
              <w:t>投标报价得分=(评标基准价／投标报价)×100×权重</w:t>
            </w:r>
          </w:p>
          <w:p>
            <w:pPr>
              <w:spacing w:line="300" w:lineRule="exact"/>
              <w:jc w:val="left"/>
              <w:rPr>
                <w:rFonts w:ascii="宋体" w:hAnsi="宋体" w:eastAsia="宋体" w:cs="Times New Roman"/>
                <w:bCs/>
                <w:sz w:val="22"/>
                <w:highlight w:val="none"/>
              </w:rPr>
            </w:pPr>
            <w:r>
              <w:rPr>
                <w:rFonts w:hint="eastAsia" w:ascii="宋体" w:hAnsi="宋体" w:eastAsia="宋体" w:cs="Times New Roman"/>
                <w:bCs/>
                <w:sz w:val="22"/>
                <w:highlight w:val="none"/>
              </w:rPr>
              <w:t>备注：</w:t>
            </w:r>
          </w:p>
          <w:p>
            <w:pPr>
              <w:spacing w:line="300" w:lineRule="exact"/>
              <w:jc w:val="left"/>
              <w:rPr>
                <w:rFonts w:ascii="宋体" w:hAnsi="宋体" w:eastAsia="宋体" w:cs="宋体"/>
                <w:sz w:val="22"/>
                <w:highlight w:val="none"/>
              </w:rPr>
            </w:pPr>
            <w:r>
              <w:rPr>
                <w:rFonts w:hint="eastAsia" w:ascii="宋体" w:hAnsi="宋体" w:eastAsia="宋体" w:cs="Times New Roman"/>
                <w:bCs/>
                <w:sz w:val="22"/>
                <w:highlight w:val="none"/>
              </w:rPr>
              <w:t>1、因落实政府采购政策进行价格调整的，以调整后的价格计算评标基准价和投标报价</w:t>
            </w:r>
            <w:r>
              <w:rPr>
                <w:rFonts w:hint="eastAsia" w:ascii="宋体" w:hAnsi="宋体" w:eastAsia="宋体" w:cs="宋体"/>
                <w:sz w:val="22"/>
                <w:highlight w:val="none"/>
              </w:rPr>
              <w:t>,详见“价格扣除”。</w:t>
            </w:r>
          </w:p>
          <w:p>
            <w:pPr>
              <w:spacing w:line="300" w:lineRule="exact"/>
              <w:rPr>
                <w:rFonts w:ascii="宋体" w:hAnsi="宋体" w:eastAsia="宋体" w:cs="Times New Roman"/>
                <w:b/>
                <w:bCs/>
                <w:sz w:val="22"/>
                <w:highlight w:val="none"/>
                <w:u w:val="double"/>
              </w:rPr>
            </w:pPr>
            <w:r>
              <w:rPr>
                <w:rFonts w:hint="eastAsia" w:ascii="宋体" w:hAnsi="宋体" w:eastAsia="宋体" w:cs="Times New Roman"/>
                <w:bCs/>
                <w:sz w:val="22"/>
                <w:highlight w:val="none"/>
              </w:rPr>
              <w:t>2、投标报价得分四舍五入后，</w:t>
            </w:r>
            <w:r>
              <w:rPr>
                <w:rFonts w:hint="eastAsia" w:ascii="宋体" w:hAnsi="宋体" w:eastAsia="宋体" w:cs="Arial"/>
                <w:sz w:val="22"/>
                <w:highlight w:val="none"/>
              </w:rPr>
              <w:t>小数点后保留两位有效数</w:t>
            </w:r>
            <w:r>
              <w:rPr>
                <w:rFonts w:hint="eastAsia" w:ascii="宋体" w:hAnsi="宋体" w:eastAsia="宋体" w:cs="Times New Roman"/>
                <w:bCs/>
                <w:sz w:val="22"/>
                <w:highlight w:val="none"/>
              </w:rPr>
              <w:t>。</w:t>
            </w:r>
          </w:p>
        </w:tc>
        <w:tc>
          <w:tcPr>
            <w:tcW w:w="850" w:type="dxa"/>
            <w:tcBorders>
              <w:right w:val="single" w:color="auto" w:sz="4" w:space="0"/>
            </w:tcBorders>
            <w:vAlign w:val="center"/>
          </w:tcPr>
          <w:p>
            <w:pPr>
              <w:spacing w:line="300" w:lineRule="exact"/>
              <w:ind w:left="-78" w:leftChars="-37" w:right="-73" w:rightChars="-35"/>
              <w:jc w:val="center"/>
              <w:rPr>
                <w:rFonts w:ascii="宋体" w:hAnsi="宋体" w:eastAsia="宋体" w:cs="宋体"/>
                <w:sz w:val="22"/>
                <w:highlight w:val="none"/>
              </w:rPr>
            </w:pPr>
            <w:r>
              <w:rPr>
                <w:rFonts w:ascii="宋体" w:hAnsi="宋体" w:eastAsia="宋体" w:cs="宋体"/>
                <w:sz w:val="22"/>
                <w:highlight w:val="none"/>
              </w:rPr>
              <w:t>15</w:t>
            </w:r>
          </w:p>
        </w:tc>
        <w:tc>
          <w:tcPr>
            <w:tcW w:w="851" w:type="dxa"/>
            <w:tcBorders>
              <w:left w:val="single" w:color="auto" w:sz="4" w:space="0"/>
            </w:tcBorders>
            <w:vAlign w:val="center"/>
          </w:tcPr>
          <w:p>
            <w:pPr>
              <w:spacing w:line="300" w:lineRule="exact"/>
              <w:ind w:left="-78" w:leftChars="-37" w:right="-73" w:rightChars="-35"/>
              <w:jc w:val="center"/>
              <w:rPr>
                <w:rFonts w:ascii="宋体" w:hAnsi="宋体" w:eastAsia="宋体" w:cs="宋体"/>
                <w:sz w:val="22"/>
                <w:highlight w:val="none"/>
              </w:rPr>
            </w:pPr>
            <w:r>
              <w:rPr>
                <w:rFonts w:ascii="宋体" w:hAnsi="宋体" w:eastAsia="宋体" w:cs="Times New Roman"/>
                <w:sz w:val="22"/>
                <w:highlight w:val="none"/>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spacing w:line="300" w:lineRule="exact"/>
              <w:ind w:left="-78" w:leftChars="-37" w:right="-73" w:rightChars="-35"/>
              <w:jc w:val="center"/>
              <w:rPr>
                <w:rFonts w:ascii="宋体" w:hAnsi="宋体" w:eastAsia="宋体" w:cs="宋体"/>
                <w:b/>
                <w:bCs/>
                <w:sz w:val="22"/>
                <w:highlight w:val="none"/>
              </w:rPr>
            </w:pPr>
            <w:r>
              <w:rPr>
                <w:rFonts w:hint="eastAsia" w:ascii="宋体" w:hAnsi="宋体" w:eastAsia="宋体" w:cs="Times New Roman"/>
                <w:b/>
                <w:bCs/>
                <w:sz w:val="22"/>
                <w:highlight w:val="none"/>
              </w:rPr>
              <w:t>总计</w:t>
            </w:r>
          </w:p>
        </w:tc>
        <w:tc>
          <w:tcPr>
            <w:tcW w:w="850" w:type="dxa"/>
            <w:tcBorders>
              <w:right w:val="single" w:color="auto" w:sz="4" w:space="0"/>
            </w:tcBorders>
            <w:vAlign w:val="center"/>
          </w:tcPr>
          <w:p>
            <w:pPr>
              <w:spacing w:line="300" w:lineRule="exact"/>
              <w:ind w:left="-78" w:leftChars="-37" w:right="-73" w:rightChars="-35"/>
              <w:jc w:val="center"/>
              <w:rPr>
                <w:rFonts w:ascii="宋体" w:hAnsi="宋体" w:eastAsia="宋体" w:cs="宋体"/>
                <w:b/>
                <w:bCs/>
                <w:sz w:val="22"/>
                <w:highlight w:val="none"/>
              </w:rPr>
            </w:pPr>
            <w:r>
              <w:rPr>
                <w:rFonts w:hint="eastAsia" w:ascii="宋体" w:hAnsi="宋体" w:eastAsia="宋体" w:cs="宋体"/>
                <w:b/>
                <w:bCs/>
                <w:sz w:val="22"/>
                <w:highlight w:val="none"/>
              </w:rPr>
              <w:t>100</w:t>
            </w:r>
          </w:p>
        </w:tc>
        <w:tc>
          <w:tcPr>
            <w:tcW w:w="851" w:type="dxa"/>
            <w:tcBorders>
              <w:left w:val="single" w:color="auto" w:sz="4" w:space="0"/>
            </w:tcBorders>
            <w:vAlign w:val="center"/>
          </w:tcPr>
          <w:p>
            <w:pPr>
              <w:spacing w:line="300" w:lineRule="exact"/>
              <w:ind w:left="-78" w:leftChars="-37" w:right="-73" w:rightChars="-35"/>
              <w:jc w:val="center"/>
              <w:rPr>
                <w:rFonts w:ascii="宋体" w:hAnsi="宋体" w:eastAsia="宋体" w:cs="宋体"/>
                <w:b/>
                <w:bCs/>
                <w:sz w:val="22"/>
                <w:highlight w:val="none"/>
              </w:rPr>
            </w:pPr>
            <w:r>
              <w:rPr>
                <w:rFonts w:hint="eastAsia" w:ascii="宋体" w:hAnsi="宋体" w:eastAsia="宋体" w:cs="宋体"/>
                <w:b/>
                <w:bCs/>
                <w:sz w:val="22"/>
                <w:highlight w:val="none"/>
              </w:rPr>
              <w:t>100</w:t>
            </w:r>
          </w:p>
        </w:tc>
      </w:tr>
    </w:tbl>
    <w:p>
      <w:pPr>
        <w:spacing w:line="300" w:lineRule="exact"/>
        <w:rPr>
          <w:rFonts w:ascii="宋体" w:hAnsi="宋体" w:eastAsia="宋体" w:cs="宋体"/>
          <w:kern w:val="0"/>
          <w:sz w:val="24"/>
          <w:highlight w:val="none"/>
        </w:rPr>
      </w:pPr>
      <w:r>
        <w:rPr>
          <w:rFonts w:hint="eastAsia" w:ascii="宋体" w:hAnsi="宋体" w:eastAsia="宋体" w:cs="Times New Roman"/>
          <w:b/>
          <w:sz w:val="24"/>
          <w:highlight w:val="none"/>
        </w:rPr>
        <w:t>备注：</w:t>
      </w:r>
      <w:r>
        <w:rPr>
          <w:rFonts w:hint="eastAsia" w:ascii="宋体" w:hAnsi="宋体" w:eastAsia="宋体" w:cs="宋体"/>
          <w:kern w:val="0"/>
          <w:sz w:val="24"/>
          <w:highlight w:val="none"/>
        </w:rPr>
        <w:t>1.评标信息内评分方法的说明：</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（1）权重：按百分比进行设置。</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（2）评分准则：按照评标系统设置要求，每项“评分准则”皆按百分制打分。</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（3）每项“评分因素”的得分=对应“评分准则”的分值×对应权重%。</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2</w:t>
      </w:r>
      <w:r>
        <w:rPr>
          <w:rFonts w:ascii="宋体" w:hAnsi="宋体" w:eastAsia="宋体" w:cs="宋体"/>
          <w:kern w:val="0"/>
          <w:sz w:val="24"/>
          <w:highlight w:val="none"/>
        </w:rPr>
        <w:t>.</w:t>
      </w:r>
      <w:r>
        <w:rPr>
          <w:rFonts w:hint="eastAsia" w:ascii="宋体" w:hAnsi="宋体" w:eastAsia="宋体" w:cs="宋体"/>
          <w:kern w:val="0"/>
          <w:sz w:val="24"/>
          <w:highlight w:val="none"/>
        </w:rPr>
        <w:t>价格扣除</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（1）根据财政部、工业和信息化部印发的《政府采购促进中小企业发展管理办法》（财库〔2020〕46号）的规定，对小型和微型企业产品的价格给予</w:t>
      </w:r>
      <w:r>
        <w:rPr>
          <w:rFonts w:ascii="宋体" w:hAnsi="宋体" w:eastAsia="宋体" w:cs="宋体"/>
          <w:kern w:val="0"/>
          <w:sz w:val="24"/>
          <w:highlight w:val="none"/>
        </w:rPr>
        <w:t>6%</w:t>
      </w:r>
      <w:r>
        <w:rPr>
          <w:rFonts w:hint="eastAsia" w:ascii="宋体" w:hAnsi="宋体" w:eastAsia="宋体" w:cs="宋体"/>
          <w:kern w:val="0"/>
          <w:sz w:val="24"/>
          <w:highlight w:val="none"/>
        </w:rPr>
        <w:t>的扣除，用扣除后的价格参与评审。</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（2）组成联合体（如允许）或者接受分包的小微企业与联合体内其他企业、分包企业之间存在直接控股、管理关系的，不享受价格扣除优惠政策。</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（3）监狱企业产品价格扣除：监狱企业视同小微企业，按上述第（1）、（2）条款享受评审中价格扣除。</w:t>
      </w:r>
    </w:p>
    <w:p>
      <w:pPr>
        <w:spacing w:line="300" w:lineRule="exact"/>
        <w:ind w:firstLine="600" w:firstLineChars="250"/>
        <w:rPr>
          <w:rFonts w:ascii="宋体" w:hAnsi="宋体" w:eastAsia="宋体" w:cs="宋体"/>
          <w:kern w:val="0"/>
          <w:sz w:val="24"/>
          <w:highlight w:val="none"/>
        </w:rPr>
      </w:pPr>
      <w:r>
        <w:rPr>
          <w:rFonts w:hint="eastAsia" w:ascii="宋体" w:hAnsi="宋体" w:eastAsia="宋体" w:cs="宋体"/>
          <w:kern w:val="0"/>
          <w:sz w:val="24"/>
          <w:highlight w:val="none"/>
        </w:rPr>
        <w:t>（4）残疾人福利性单位产品价格扣除：残疾人福利性单位视同小微企业，按上述第（1）、（2）条款享受评审中价格扣除。</w:t>
      </w:r>
    </w:p>
    <w:p>
      <w:pPr>
        <w:spacing w:line="300" w:lineRule="exact"/>
        <w:ind w:firstLine="600" w:firstLineChars="250"/>
        <w:rPr>
          <w:rFonts w:ascii="宋体" w:hAnsi="宋体" w:eastAsia="宋体" w:cs="宋体"/>
          <w:kern w:val="0"/>
          <w:sz w:val="24"/>
          <w:highlight w:val="none"/>
        </w:rPr>
      </w:pPr>
    </w:p>
    <w:p>
      <w:pPr>
        <w:adjustRightInd w:val="0"/>
        <w:snapToGrid w:val="0"/>
        <w:spacing w:line="480" w:lineRule="exact"/>
        <w:ind w:firstLine="640" w:firstLineChars="200"/>
        <w:rPr>
          <w:rFonts w:ascii="仿宋_GB2312" w:hAnsi="宋体" w:eastAsia="仿宋_GB2312" w:cs="仿宋_GB2312"/>
          <w:sz w:val="32"/>
          <w:highlight w:val="none"/>
        </w:rPr>
      </w:pPr>
      <w:r>
        <w:rPr>
          <w:rFonts w:hint="eastAsia" w:ascii="仿宋_GB2312" w:hAnsi="宋体" w:eastAsia="仿宋_GB2312" w:cs="仿宋_GB2312"/>
          <w:sz w:val="32"/>
          <w:highlight w:val="none"/>
        </w:rPr>
        <w:t>附件：投标及履约承诺函</w:t>
      </w:r>
    </w:p>
    <w:p>
      <w:pPr>
        <w:jc w:val="left"/>
        <w:rPr>
          <w:rFonts w:ascii="仿宋" w:hAnsi="仿宋" w:eastAsia="仿宋" w:cs="仿宋_GB2312"/>
          <w:sz w:val="32"/>
          <w:szCs w:val="32"/>
          <w:highlight w:val="none"/>
        </w:rPr>
      </w:pPr>
      <w:r>
        <w:rPr>
          <w:rFonts w:ascii="仿宋" w:hAnsi="仿宋" w:eastAsia="仿宋" w:cs="仿宋_GB2312"/>
          <w:sz w:val="32"/>
          <w:szCs w:val="32"/>
          <w:highlight w:val="none"/>
        </w:rPr>
        <w:br w:type="page"/>
      </w:r>
    </w:p>
    <w:p>
      <w:pPr>
        <w:adjustRightInd w:val="0"/>
        <w:snapToGrid w:val="0"/>
        <w:spacing w:line="480" w:lineRule="exact"/>
        <w:jc w:val="left"/>
        <w:rPr>
          <w:rFonts w:ascii="黑体" w:hAnsi="黑体" w:eastAsia="黑体" w:cs="黑体"/>
          <w:sz w:val="32"/>
          <w:highlight w:val="none"/>
        </w:rPr>
      </w:pPr>
      <w:r>
        <w:rPr>
          <w:rFonts w:hint="eastAsia" w:ascii="黑体" w:hAnsi="黑体" w:eastAsia="黑体" w:cs="黑体"/>
          <w:sz w:val="32"/>
          <w:highlight w:val="none"/>
        </w:rPr>
        <w:t>附件</w:t>
      </w:r>
    </w:p>
    <w:p>
      <w:pPr>
        <w:adjustRightInd w:val="0"/>
        <w:snapToGrid w:val="0"/>
        <w:jc w:val="center"/>
        <w:rPr>
          <w:rFonts w:ascii="宋体" w:hAnsi="宋体" w:eastAsia="宋体" w:cs="宋体"/>
          <w:b/>
          <w:bCs/>
          <w:sz w:val="44"/>
          <w:szCs w:val="44"/>
          <w:highlight w:val="none"/>
        </w:rPr>
      </w:pPr>
    </w:p>
    <w:p>
      <w:pPr>
        <w:adjustRightInd w:val="0"/>
        <w:snapToGrid w:val="0"/>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投标及履约承诺函</w:t>
      </w:r>
    </w:p>
    <w:p>
      <w:pPr>
        <w:adjustRightInd w:val="0"/>
        <w:snapToGrid w:val="0"/>
        <w:jc w:val="center"/>
        <w:rPr>
          <w:rFonts w:ascii="宋体" w:hAnsi="宋体" w:eastAsia="宋体" w:cs="宋体"/>
          <w:b/>
          <w:bCs/>
          <w:sz w:val="44"/>
          <w:szCs w:val="44"/>
          <w:highlight w:val="none"/>
        </w:rPr>
      </w:pP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我单位承诺：</w:t>
      </w: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2.对本招标项目所提供的服务未侵犯知识产权。</w:t>
      </w: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cs="Times New Roman"/>
          <w:sz w:val="32"/>
          <w:highlight w:val="none"/>
        </w:rPr>
      </w:pPr>
      <w:r>
        <w:rPr>
          <w:rFonts w:ascii="仿宋_GB2312" w:hAnsi="宋体" w:eastAsia="仿宋_GB2312" w:cs="仿宋_GB2312"/>
          <w:sz w:val="32"/>
          <w:highlight w:val="none"/>
        </w:rPr>
        <w:t>4</w:t>
      </w:r>
      <w:r>
        <w:rPr>
          <w:rFonts w:hint="eastAsia" w:ascii="仿宋_GB2312" w:hAnsi="宋体" w:eastAsia="仿宋_GB2312" w:cs="仿宋_GB2312"/>
          <w:sz w:val="32"/>
          <w:highlight w:val="none"/>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cs="Times New Roman"/>
          <w:sz w:val="32"/>
          <w:highlight w:val="none"/>
        </w:rPr>
      </w:pPr>
      <w:r>
        <w:rPr>
          <w:rFonts w:ascii="仿宋_GB2312" w:hAnsi="宋体" w:eastAsia="仿宋_GB2312" w:cs="仿宋_GB2312"/>
          <w:sz w:val="32"/>
          <w:highlight w:val="none"/>
        </w:rPr>
        <w:t>5</w:t>
      </w:r>
      <w:r>
        <w:rPr>
          <w:rFonts w:hint="eastAsia" w:ascii="仿宋_GB2312" w:hAnsi="宋体" w:eastAsia="仿宋_GB2312" w:cs="仿宋_GB2312"/>
          <w:sz w:val="32"/>
          <w:highlight w:val="none"/>
        </w:rPr>
        <w:t>.我单位已认真阅读本项目需求，我单位承诺按时递交标书。</w:t>
      </w:r>
    </w:p>
    <w:p>
      <w:pPr>
        <w:adjustRightInd w:val="0"/>
        <w:snapToGrid w:val="0"/>
        <w:spacing w:line="480" w:lineRule="exact"/>
        <w:ind w:firstLine="640" w:firstLineChars="200"/>
        <w:rPr>
          <w:rFonts w:ascii="仿宋_GB2312" w:hAnsi="宋体" w:eastAsia="仿宋_GB2312" w:cs="Times New Roman"/>
          <w:sz w:val="32"/>
          <w:highlight w:val="none"/>
        </w:rPr>
      </w:pPr>
      <w:r>
        <w:rPr>
          <w:rFonts w:ascii="仿宋_GB2312" w:hAnsi="宋体" w:eastAsia="仿宋_GB2312" w:cs="仿宋_GB2312"/>
          <w:sz w:val="32"/>
          <w:highlight w:val="none"/>
        </w:rPr>
        <w:t>6</w:t>
      </w:r>
      <w:r>
        <w:rPr>
          <w:rFonts w:hint="eastAsia" w:ascii="仿宋_GB2312" w:hAnsi="宋体" w:eastAsia="仿宋_GB2312" w:cs="仿宋_GB2312"/>
          <w:sz w:val="32"/>
          <w:highlight w:val="none"/>
        </w:rPr>
        <w:t>.我单位承诺不非法转包或分包。</w:t>
      </w: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cs="Times New Roman"/>
          <w:sz w:val="32"/>
          <w:highlight w:val="none"/>
        </w:rPr>
      </w:pPr>
    </w:p>
    <w:p>
      <w:pPr>
        <w:adjustRightInd w:val="0"/>
        <w:snapToGrid w:val="0"/>
        <w:spacing w:line="480" w:lineRule="exact"/>
        <w:ind w:firstLine="640" w:firstLineChars="200"/>
        <w:rPr>
          <w:rFonts w:ascii="仿宋_GB2312" w:hAnsi="宋体" w:eastAsia="仿宋_GB2312" w:cs="Times New Roman"/>
          <w:sz w:val="32"/>
          <w:highlight w:val="none"/>
          <w:u w:val="single"/>
        </w:rPr>
      </w:pPr>
      <w:r>
        <w:rPr>
          <w:rFonts w:hint="eastAsia" w:ascii="仿宋_GB2312" w:hAnsi="宋体" w:eastAsia="仿宋_GB2312" w:cs="仿宋_GB2312"/>
          <w:sz w:val="32"/>
          <w:highlight w:val="none"/>
        </w:rPr>
        <w:t xml:space="preserve">承诺投标人： </w:t>
      </w:r>
    </w:p>
    <w:p>
      <w:pPr>
        <w:adjustRightInd w:val="0"/>
        <w:snapToGrid w:val="0"/>
        <w:spacing w:line="480" w:lineRule="exact"/>
        <w:ind w:firstLine="640" w:firstLineChars="200"/>
        <w:rPr>
          <w:rFonts w:ascii="仿宋_GB2312" w:hAnsi="宋体" w:eastAsia="仿宋_GB2312" w:cs="Times New Roman"/>
          <w:sz w:val="32"/>
          <w:highlight w:val="none"/>
        </w:rPr>
      </w:pPr>
      <w:r>
        <w:rPr>
          <w:rFonts w:hint="eastAsia" w:ascii="仿宋_GB2312" w:hAnsi="宋体" w:eastAsia="仿宋_GB2312" w:cs="仿宋_GB2312"/>
          <w:sz w:val="32"/>
          <w:highlight w:val="none"/>
        </w:rPr>
        <w:t>单位地址：</w:t>
      </w:r>
    </w:p>
    <w:p>
      <w:pPr>
        <w:adjustRightInd w:val="0"/>
        <w:snapToGrid w:val="0"/>
        <w:spacing w:line="480" w:lineRule="exact"/>
        <w:ind w:firstLine="640" w:firstLineChars="200"/>
        <w:rPr>
          <w:rFonts w:ascii="仿宋_GB2312" w:hAnsi="宋体" w:eastAsia="仿宋_GB2312" w:cs="Times New Roman"/>
          <w:sz w:val="32"/>
          <w:highlight w:val="none"/>
          <w:u w:val="single"/>
        </w:rPr>
      </w:pPr>
      <w:r>
        <w:rPr>
          <w:rFonts w:hint="eastAsia" w:ascii="仿宋_GB2312" w:hAnsi="宋体" w:eastAsia="仿宋_GB2312" w:cs="仿宋_GB2312"/>
          <w:sz w:val="32"/>
          <w:highlight w:val="none"/>
        </w:rPr>
        <w:t>法定代表人或其委托代理人：</w:t>
      </w:r>
    </w:p>
    <w:p>
      <w:pPr>
        <w:adjustRightInd w:val="0"/>
        <w:snapToGrid w:val="0"/>
        <w:spacing w:line="480" w:lineRule="exact"/>
        <w:ind w:firstLine="640" w:firstLineChars="200"/>
        <w:rPr>
          <w:rFonts w:ascii="仿宋_GB2312" w:hAnsi="宋体" w:eastAsia="仿宋_GB2312" w:cs="Times New Roman"/>
          <w:sz w:val="32"/>
          <w:highlight w:val="none"/>
          <w:u w:val="single"/>
        </w:rPr>
      </w:pPr>
      <w:r>
        <w:rPr>
          <w:rFonts w:hint="eastAsia" w:ascii="仿宋_GB2312" w:hAnsi="宋体" w:eastAsia="仿宋_GB2312" w:cs="仿宋_GB2312"/>
          <w:sz w:val="32"/>
          <w:highlight w:val="none"/>
        </w:rPr>
        <w:t>联系电话：</w:t>
      </w:r>
    </w:p>
    <w:p>
      <w:pPr>
        <w:adjustRightInd w:val="0"/>
        <w:snapToGrid w:val="0"/>
        <w:spacing w:line="480" w:lineRule="exact"/>
        <w:ind w:firstLine="640" w:firstLineChars="200"/>
        <w:rPr>
          <w:rFonts w:ascii="仿宋_GB2312" w:hAnsi="仿宋_GB2312" w:eastAsia="仿宋_GB2312" w:cs="仿宋_GB2312"/>
          <w:sz w:val="32"/>
          <w:szCs w:val="32"/>
          <w:highlight w:val="none"/>
        </w:rPr>
      </w:pPr>
      <w:r>
        <w:rPr>
          <w:rFonts w:hint="eastAsia" w:ascii="仿宋_GB2312" w:hAnsi="Times New Roman" w:eastAsia="仿宋_GB2312" w:cs="仿宋_GB2312"/>
          <w:sz w:val="32"/>
          <w:highlight w:val="none"/>
        </w:rPr>
        <w:t xml:space="preserve">日期：   年   月   日  </w:t>
      </w:r>
      <w:r>
        <w:rPr>
          <w:rFonts w:ascii="Times New Roman" w:hAnsi="Times New Roman" w:eastAsia="仿宋_GB2312" w:cs="Times New Roman"/>
          <w:sz w:val="32"/>
          <w:highlight w:val="non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58C3A"/>
    <w:multiLevelType w:val="singleLevel"/>
    <w:tmpl w:val="D2458C3A"/>
    <w:lvl w:ilvl="0" w:tentative="0">
      <w:start w:val="1"/>
      <w:numFmt w:val="decimal"/>
      <w:suff w:val="nothing"/>
      <w:lvlText w:val="（%1）"/>
      <w:lvlJc w:val="left"/>
    </w:lvl>
  </w:abstractNum>
  <w:abstractNum w:abstractNumId="1">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A91924"/>
    <w:rsid w:val="00002CFD"/>
    <w:rsid w:val="00010211"/>
    <w:rsid w:val="000268C4"/>
    <w:rsid w:val="000612B9"/>
    <w:rsid w:val="000727AF"/>
    <w:rsid w:val="000A5394"/>
    <w:rsid w:val="000A5803"/>
    <w:rsid w:val="000B5759"/>
    <w:rsid w:val="00121B56"/>
    <w:rsid w:val="00131ABD"/>
    <w:rsid w:val="001373A7"/>
    <w:rsid w:val="00170302"/>
    <w:rsid w:val="00184284"/>
    <w:rsid w:val="001D4560"/>
    <w:rsid w:val="001F2169"/>
    <w:rsid w:val="00214D33"/>
    <w:rsid w:val="00221B9F"/>
    <w:rsid w:val="002408F5"/>
    <w:rsid w:val="003005D2"/>
    <w:rsid w:val="00321820"/>
    <w:rsid w:val="00397BB9"/>
    <w:rsid w:val="00401B86"/>
    <w:rsid w:val="00481D36"/>
    <w:rsid w:val="00527491"/>
    <w:rsid w:val="005632F2"/>
    <w:rsid w:val="00580ECF"/>
    <w:rsid w:val="00581118"/>
    <w:rsid w:val="005B1A2F"/>
    <w:rsid w:val="006343F6"/>
    <w:rsid w:val="00661641"/>
    <w:rsid w:val="00666A66"/>
    <w:rsid w:val="006B6318"/>
    <w:rsid w:val="006D2528"/>
    <w:rsid w:val="006D4CB4"/>
    <w:rsid w:val="006E1EC2"/>
    <w:rsid w:val="00735422"/>
    <w:rsid w:val="007461D3"/>
    <w:rsid w:val="00793A24"/>
    <w:rsid w:val="007A5009"/>
    <w:rsid w:val="007B4562"/>
    <w:rsid w:val="00867E0A"/>
    <w:rsid w:val="008C5753"/>
    <w:rsid w:val="0097557B"/>
    <w:rsid w:val="00997D9D"/>
    <w:rsid w:val="00A13069"/>
    <w:rsid w:val="00A339C9"/>
    <w:rsid w:val="00A51AAE"/>
    <w:rsid w:val="00A60BCF"/>
    <w:rsid w:val="00A63EC4"/>
    <w:rsid w:val="00A968B7"/>
    <w:rsid w:val="00B04D3E"/>
    <w:rsid w:val="00B86A79"/>
    <w:rsid w:val="00B92F97"/>
    <w:rsid w:val="00C023E5"/>
    <w:rsid w:val="00C02C89"/>
    <w:rsid w:val="00C13DB4"/>
    <w:rsid w:val="00C560DB"/>
    <w:rsid w:val="00C57BC8"/>
    <w:rsid w:val="00CD12E5"/>
    <w:rsid w:val="00D10ACE"/>
    <w:rsid w:val="00D27B6F"/>
    <w:rsid w:val="00D5185F"/>
    <w:rsid w:val="00DA34C9"/>
    <w:rsid w:val="00DD782F"/>
    <w:rsid w:val="00E37C88"/>
    <w:rsid w:val="00E57948"/>
    <w:rsid w:val="00E672BF"/>
    <w:rsid w:val="00E92273"/>
    <w:rsid w:val="00F2682C"/>
    <w:rsid w:val="00F4137D"/>
    <w:rsid w:val="00F62826"/>
    <w:rsid w:val="00F712E7"/>
    <w:rsid w:val="00F7468C"/>
    <w:rsid w:val="00F90B88"/>
    <w:rsid w:val="00FB2CAD"/>
    <w:rsid w:val="00FD0412"/>
    <w:rsid w:val="00FF04DE"/>
    <w:rsid w:val="03A91924"/>
    <w:rsid w:val="157703E2"/>
    <w:rsid w:val="1B7E1A30"/>
    <w:rsid w:val="3FF7B73F"/>
    <w:rsid w:val="45164285"/>
    <w:rsid w:val="4F9641A5"/>
    <w:rsid w:val="4FDB23B6"/>
    <w:rsid w:val="5BFFF19E"/>
    <w:rsid w:val="5FDEAB9A"/>
    <w:rsid w:val="62FCEDC3"/>
    <w:rsid w:val="68A2033A"/>
    <w:rsid w:val="7BF1513D"/>
    <w:rsid w:val="7DBF9B20"/>
    <w:rsid w:val="7FEDEF21"/>
    <w:rsid w:val="BDFE979C"/>
    <w:rsid w:val="FF5BB7E5"/>
    <w:rsid w:val="FFDC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8"/>
    <w:unhideWhenUsed/>
    <w:qFormat/>
    <w:uiPriority w:val="0"/>
    <w:pPr>
      <w:keepNext w:val="0"/>
      <w:keepLines w:val="0"/>
      <w:spacing w:before="0" w:after="0" w:line="560" w:lineRule="exact"/>
      <w:ind w:firstLine="562" w:firstLineChars="200"/>
      <w:outlineLvl w:val="2"/>
    </w:pPr>
    <w:rPr>
      <w:rFonts w:ascii="仿宋_GB2312" w:hAnsi="黑体" w:eastAsia="仿宋_GB2312" w:cs="黑体"/>
      <w:bCs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1"/>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标题 3 字符"/>
    <w:basedOn w:val="11"/>
    <w:link w:val="3"/>
    <w:qFormat/>
    <w:uiPriority w:val="0"/>
    <w:rPr>
      <w:rFonts w:ascii="仿宋_GB2312" w:hAnsi="黑体" w:eastAsia="仿宋_GB2312" w:cs="黑体"/>
      <w:b/>
      <w:kern w:val="2"/>
      <w:sz w:val="28"/>
      <w:szCs w:val="28"/>
    </w:rPr>
  </w:style>
  <w:style w:type="character" w:customStyle="1" w:styleId="19">
    <w:name w:val="标题 2 字符"/>
    <w:basedOn w:val="11"/>
    <w:link w:val="2"/>
    <w:semiHidden/>
    <w:qFormat/>
    <w:uiPriority w:val="0"/>
    <w:rPr>
      <w:rFonts w:asciiTheme="majorHAnsi" w:hAnsiTheme="majorHAnsi" w:eastAsiaTheme="majorEastAsia" w:cstheme="majorBidi"/>
      <w:b/>
      <w:bCs/>
      <w:kern w:val="2"/>
      <w:sz w:val="32"/>
      <w:szCs w:val="32"/>
    </w:rPr>
  </w:style>
  <w:style w:type="character" w:customStyle="1" w:styleId="20">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9"/>
    <w:qFormat/>
    <w:uiPriority w:val="0"/>
    <w:rPr>
      <w:rFonts w:asciiTheme="minorHAnsi" w:hAnsiTheme="minorHAnsi" w:eastAsiaTheme="minorEastAsia" w:cstheme="minorBidi"/>
      <w:b/>
      <w:bCs/>
      <w:kern w:val="2"/>
      <w:sz w:val="21"/>
      <w:szCs w:val="24"/>
    </w:rPr>
  </w:style>
  <w:style w:type="character" w:customStyle="1" w:styleId="22">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976</Words>
  <Characters>5564</Characters>
  <Lines>46</Lines>
  <Paragraphs>13</Paragraphs>
  <TotalTime>9</TotalTime>
  <ScaleCrop>false</ScaleCrop>
  <LinksUpToDate>false</LinksUpToDate>
  <CharactersWithSpaces>6527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2025-12-06T22:19:00Z</dcterms:created>
  <dc:creator>Ganlin Huang</dc:creator>
  <cp:lastModifiedBy>SZDRC</cp:lastModifiedBy>
  <dcterms:modified xsi:type="dcterms:W3CDTF">2025-12-15T18:09:03Z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2DA901D2BC164008AE56391E61DFEEC8_11</vt:lpwstr>
  </property>
  <property fmtid="{D5CDD505-2E9C-101B-9397-08002B2CF9AE}" pid="4" name="KSOTemplateDocerSaveRecord">
    <vt:lpwstr>eyJoZGlkIjoiMWI4NWYzZGFkNDJiYTY1ODFjMTg3YjM5MmNjODNlNDkiLCJ1c2VySWQiOiIxNTU5NjMzMzc5In0=</vt:lpwstr>
  </property>
</Properties>
</file>