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C076E">
      <w:pPr>
        <w:jc w:val="center"/>
        <w:rPr>
          <w:rFonts w:hint="eastAsia" w:ascii="宋体" w:hAnsi="宋体" w:eastAsia="宋体" w:cs="Times New Roman"/>
          <w:b/>
          <w:sz w:val="36"/>
          <w:szCs w:val="32"/>
        </w:rPr>
      </w:pPr>
      <w:bookmarkStart w:id="0" w:name="_GoBack"/>
      <w:bookmarkEnd w:id="0"/>
    </w:p>
    <w:p w14:paraId="4D740CA9">
      <w:pPr>
        <w:jc w:val="center"/>
        <w:rPr>
          <w:rFonts w:hint="eastAsia" w:ascii="宋体" w:hAnsi="宋体" w:eastAsia="宋体" w:cs="Arial"/>
          <w:b/>
          <w:bCs/>
          <w:sz w:val="36"/>
          <w:szCs w:val="36"/>
        </w:rPr>
      </w:pPr>
      <w:r>
        <w:rPr>
          <w:rFonts w:hint="eastAsia" w:ascii="宋体" w:hAnsi="宋体" w:eastAsia="宋体" w:cs="Arial"/>
          <w:b/>
          <w:bCs/>
          <w:sz w:val="36"/>
          <w:szCs w:val="36"/>
        </w:rPr>
        <w:t>生物医学及凝聚态生物领域重大科技基础</w:t>
      </w:r>
    </w:p>
    <w:p w14:paraId="2DD05A1A">
      <w:pPr>
        <w:jc w:val="center"/>
        <w:rPr>
          <w:rFonts w:hint="eastAsia" w:ascii="宋体" w:hAnsi="宋体" w:eastAsia="宋体" w:cs="Times New Roman"/>
          <w:b/>
          <w:sz w:val="36"/>
          <w:szCs w:val="32"/>
        </w:rPr>
      </w:pPr>
      <w:r>
        <w:rPr>
          <w:rFonts w:hint="eastAsia" w:ascii="宋体" w:hAnsi="宋体" w:eastAsia="宋体" w:cs="Arial"/>
          <w:b/>
          <w:bCs/>
          <w:sz w:val="36"/>
          <w:szCs w:val="36"/>
        </w:rPr>
        <w:t>设施项目谋划预研</w:t>
      </w:r>
    </w:p>
    <w:p w14:paraId="7A9DAE8C">
      <w:pPr>
        <w:jc w:val="center"/>
        <w:rPr>
          <w:rFonts w:hint="eastAsia" w:ascii="黑体" w:hAnsi="黑体" w:eastAsia="黑体" w:cs="Times New Roman"/>
          <w:sz w:val="96"/>
          <w:szCs w:val="32"/>
        </w:rPr>
      </w:pPr>
    </w:p>
    <w:p w14:paraId="15417B24">
      <w:pPr>
        <w:jc w:val="center"/>
        <w:rPr>
          <w:rFonts w:hint="eastAsia" w:ascii="黑体" w:hAnsi="黑体" w:eastAsia="黑体" w:cs="Times New Roman"/>
          <w:sz w:val="96"/>
          <w:szCs w:val="32"/>
        </w:rPr>
      </w:pPr>
      <w:r>
        <w:rPr>
          <w:rFonts w:hint="eastAsia" w:ascii="黑体" w:hAnsi="黑体" w:eastAsia="黑体" w:cs="Times New Roman"/>
          <w:sz w:val="96"/>
          <w:szCs w:val="32"/>
        </w:rPr>
        <w:t>招</w:t>
      </w:r>
    </w:p>
    <w:p w14:paraId="4B6805BE">
      <w:pPr>
        <w:jc w:val="center"/>
        <w:rPr>
          <w:rFonts w:hint="eastAsia" w:ascii="黑体" w:hAnsi="黑体" w:eastAsia="黑体" w:cs="Times New Roman"/>
          <w:sz w:val="96"/>
          <w:szCs w:val="32"/>
        </w:rPr>
      </w:pPr>
    </w:p>
    <w:p w14:paraId="6FA440DA">
      <w:pPr>
        <w:jc w:val="center"/>
        <w:rPr>
          <w:rFonts w:hint="eastAsia" w:ascii="黑体" w:hAnsi="黑体" w:eastAsia="黑体" w:cs="Times New Roman"/>
          <w:sz w:val="96"/>
          <w:szCs w:val="32"/>
        </w:rPr>
      </w:pPr>
      <w:r>
        <w:rPr>
          <w:rFonts w:hint="eastAsia" w:ascii="黑体" w:hAnsi="黑体" w:eastAsia="黑体" w:cs="Times New Roman"/>
          <w:sz w:val="96"/>
          <w:szCs w:val="32"/>
        </w:rPr>
        <w:t>标</w:t>
      </w:r>
    </w:p>
    <w:p w14:paraId="23E3AF88">
      <w:pPr>
        <w:jc w:val="center"/>
        <w:rPr>
          <w:rFonts w:hint="eastAsia" w:ascii="黑体" w:hAnsi="黑体" w:eastAsia="黑体" w:cs="Times New Roman"/>
          <w:sz w:val="96"/>
          <w:szCs w:val="32"/>
        </w:rPr>
      </w:pPr>
    </w:p>
    <w:p w14:paraId="51217465">
      <w:pPr>
        <w:jc w:val="center"/>
        <w:rPr>
          <w:rFonts w:hint="eastAsia" w:ascii="黑体" w:hAnsi="黑体" w:eastAsia="黑体" w:cs="Times New Roman"/>
          <w:sz w:val="96"/>
          <w:szCs w:val="32"/>
        </w:rPr>
      </w:pPr>
      <w:r>
        <w:rPr>
          <w:rFonts w:hint="eastAsia" w:ascii="黑体" w:hAnsi="黑体" w:eastAsia="黑体" w:cs="Times New Roman"/>
          <w:sz w:val="96"/>
          <w:szCs w:val="32"/>
        </w:rPr>
        <w:t>书</w:t>
      </w:r>
    </w:p>
    <w:p w14:paraId="16EF97C3">
      <w:pPr>
        <w:jc w:val="center"/>
        <w:rPr>
          <w:rFonts w:hint="eastAsia" w:ascii="宋体" w:hAnsi="宋体" w:eastAsia="宋体" w:cs="Times New Roman"/>
          <w:sz w:val="32"/>
          <w:szCs w:val="32"/>
        </w:rPr>
      </w:pPr>
    </w:p>
    <w:p w14:paraId="0F52C97D">
      <w:pPr>
        <w:jc w:val="center"/>
        <w:rPr>
          <w:rFonts w:hint="eastAsia" w:ascii="宋体" w:hAnsi="宋体" w:eastAsia="宋体" w:cs="Times New Roman"/>
          <w:sz w:val="32"/>
          <w:szCs w:val="32"/>
        </w:rPr>
      </w:pPr>
    </w:p>
    <w:p w14:paraId="6ED1FC33">
      <w:pPr>
        <w:jc w:val="center"/>
        <w:rPr>
          <w:rFonts w:hint="eastAsia" w:ascii="宋体" w:hAnsi="宋体" w:eastAsia="宋体" w:cs="Times New Roman"/>
          <w:sz w:val="32"/>
          <w:szCs w:val="32"/>
        </w:rPr>
      </w:pPr>
      <w:r>
        <w:rPr>
          <w:rFonts w:hint="eastAsia" w:ascii="宋体" w:hAnsi="宋体" w:eastAsia="宋体" w:cs="Times New Roman"/>
          <w:sz w:val="32"/>
          <w:szCs w:val="32"/>
        </w:rPr>
        <w:t>深圳市发展和改革委员会</w:t>
      </w:r>
    </w:p>
    <w:p w14:paraId="18F9F5FA">
      <w:pPr>
        <w:jc w:val="center"/>
        <w:rPr>
          <w:rFonts w:hint="eastAsia" w:ascii="宋体" w:hAnsi="宋体"/>
          <w:sz w:val="32"/>
          <w:szCs w:val="32"/>
        </w:rPr>
        <w:sectPr>
          <w:pgSz w:w="11906" w:h="16838"/>
          <w:pgMar w:top="1440" w:right="1800" w:bottom="1440" w:left="1800" w:header="851" w:footer="992" w:gutter="0"/>
          <w:cols w:space="425" w:num="1"/>
          <w:docGrid w:type="lines" w:linePitch="312" w:charSpace="0"/>
        </w:sectPr>
      </w:pPr>
      <w:r>
        <w:rPr>
          <w:rFonts w:hint="eastAsia" w:ascii="宋体" w:hAnsi="宋体" w:eastAsia="宋体" w:cs="Times New Roman"/>
          <w:sz w:val="32"/>
          <w:szCs w:val="32"/>
        </w:rPr>
        <w:t>2025年12月</w:t>
      </w:r>
    </w:p>
    <w:p w14:paraId="0D6A8857">
      <w:pPr>
        <w:jc w:val="center"/>
        <w:rPr>
          <w:rFonts w:ascii="Calibri" w:hAnsi="Calibri" w:eastAsia="宋体" w:cs="Times New Roman"/>
        </w:rPr>
      </w:pPr>
    </w:p>
    <w:p w14:paraId="294822A9">
      <w:pPr>
        <w:adjustRightInd w:val="0"/>
        <w:snapToGrid w:val="0"/>
        <w:jc w:val="center"/>
        <w:rPr>
          <w:rFonts w:hint="eastAsia" w:ascii="宋体" w:hAnsi="宋体" w:eastAsia="宋体" w:cs="Arial"/>
          <w:b/>
          <w:bCs/>
          <w:sz w:val="44"/>
          <w:szCs w:val="44"/>
        </w:rPr>
      </w:pPr>
      <w:r>
        <w:rPr>
          <w:rFonts w:hint="eastAsia" w:ascii="宋体" w:hAnsi="宋体" w:eastAsia="宋体" w:cs="Arial"/>
          <w:b/>
          <w:bCs/>
          <w:sz w:val="44"/>
          <w:szCs w:val="44"/>
        </w:rPr>
        <w:t>生物医学及凝聚态生物领域重大科技基础</w:t>
      </w:r>
    </w:p>
    <w:p w14:paraId="1EB8DCCD">
      <w:pPr>
        <w:adjustRightInd w:val="0"/>
        <w:snapToGrid w:val="0"/>
        <w:jc w:val="center"/>
        <w:rPr>
          <w:rFonts w:hint="eastAsia" w:ascii="宋体" w:hAnsi="宋体" w:eastAsia="宋体" w:cs="Arial"/>
          <w:b/>
          <w:bCs/>
          <w:sz w:val="44"/>
          <w:szCs w:val="44"/>
        </w:rPr>
      </w:pPr>
      <w:r>
        <w:rPr>
          <w:rFonts w:hint="eastAsia" w:ascii="宋体" w:hAnsi="宋体" w:eastAsia="宋体" w:cs="Arial"/>
          <w:b/>
          <w:bCs/>
          <w:sz w:val="44"/>
          <w:szCs w:val="44"/>
        </w:rPr>
        <w:t>设施项目谋划预研招标书</w:t>
      </w:r>
    </w:p>
    <w:p w14:paraId="49690B3E">
      <w:pPr>
        <w:spacing w:line="560" w:lineRule="exact"/>
        <w:ind w:firstLine="643" w:firstLineChars="200"/>
        <w:outlineLvl w:val="0"/>
        <w:rPr>
          <w:rFonts w:hint="eastAsia" w:ascii="黑体" w:hAnsi="黑体" w:eastAsia="黑体" w:cs="Times New Roman"/>
          <w:b/>
          <w:bCs/>
          <w:sz w:val="32"/>
          <w:szCs w:val="32"/>
        </w:rPr>
      </w:pPr>
    </w:p>
    <w:p w14:paraId="7701FCB9">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一、项目概况</w:t>
      </w:r>
    </w:p>
    <w:p w14:paraId="6DC28842">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（一）项目名称：生物医学及凝聚态生物领域重大科技基础设施项目谋划预研。</w:t>
      </w:r>
    </w:p>
    <w:p w14:paraId="29AECE63">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（二）服务期限：自合同签订之日起</w:t>
      </w:r>
      <w:r>
        <w:rPr>
          <w:rFonts w:hint="eastAsia" w:ascii="仿宋_GB2312" w:hAnsi="Times New Roman" w:eastAsia="仿宋_GB2312" w:cs="Times New Roman"/>
          <w:bCs/>
          <w:sz w:val="32"/>
          <w:szCs w:val="32"/>
        </w:rPr>
        <w:t>6</w:t>
      </w:r>
      <w:r>
        <w:rPr>
          <w:rFonts w:hint="eastAsia" w:ascii="仿宋_GB2312" w:hAnsi="仿宋" w:eastAsia="仿宋_GB2312" w:cs="仿宋_GB2312"/>
          <w:sz w:val="32"/>
          <w:szCs w:val="32"/>
        </w:rPr>
        <w:t>个月。</w:t>
      </w:r>
    </w:p>
    <w:p w14:paraId="6BB1705B">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（三）项目预算：预算金额77万元以下。</w:t>
      </w:r>
    </w:p>
    <w:p w14:paraId="2374E5D4">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二、项目内容</w:t>
      </w:r>
    </w:p>
    <w:p w14:paraId="34A7C586">
      <w:pPr>
        <w:spacing w:line="560" w:lineRule="exact"/>
        <w:ind w:firstLine="640" w:firstLineChars="200"/>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围绕破解临床与科研数据壁垒、挖掘凝聚态生物等最新技术应用潜力、赋能生物医药产业创新的核心需求，研究谋划可落地医学大数据、类器官模型及转化医学应用等方向的一系列重大科技基础设施，形成全市临床与研究数据高效整合与协同的应用体系，推动药物研发与重大疾病防控能力的整体提升。</w:t>
      </w:r>
    </w:p>
    <w:p w14:paraId="110100DF">
      <w:pPr>
        <w:spacing w:line="560" w:lineRule="exact"/>
        <w:ind w:firstLine="640" w:firstLineChars="200"/>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（1）系统梳理国内外生物领域数据中心建设运营情况，重点分析美国国家生物技术信息中心（NCBI）、欧洲生物信息学研究所（EBI）、英国生物银行（UK Biobank）等国际知名生物医学数据库建设运营情况、数据资源整合机制与开放共享模式。深入调研北京、上海、杭州等城市在生物医学领域政策体系、产业发展与重大创新平台布局情况，重点分析中国科学院北京基因组研究所、中国科学院上海营养与健康研究所等生物大数据中心案例，提炼可供我市借鉴的先进经验与发展模式。</w:t>
      </w:r>
    </w:p>
    <w:p w14:paraId="259634BB">
      <w:pPr>
        <w:spacing w:line="560" w:lineRule="exact"/>
        <w:ind w:firstLine="640" w:firstLineChars="200"/>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2）全面总结基因库一期运营和开放共享成效，深入调研我市高校、科研院所、医院及相关企业，系统剖析生物应用领域痛点问题与行业共性新技术平台需求，研究提出生物领域重大科技基础设施建设需求，以及整合全市医疗机构等单位产生的临床数据，以及深圳医学科学院、科研院校和企业产出的科研数据的实施路径。</w:t>
      </w:r>
    </w:p>
    <w:p w14:paraId="063506EF">
      <w:pPr>
        <w:spacing w:line="560" w:lineRule="exact"/>
        <w:ind w:firstLine="640" w:firstLineChars="200"/>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（3）围绕大湾区以及我市生物医药产业发展需要，结合生物医学生命大数据建设需求，谋划提出我市生物领域重大科技基础设施项目，形成项目谋划报告。</w:t>
      </w:r>
    </w:p>
    <w:p w14:paraId="5666EB4B">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三、项目实施要求</w:t>
      </w:r>
    </w:p>
    <w:p w14:paraId="65BCC40E">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（一）项目成果应遵循国家颁布的有关法律、法规及政策要求，符合相关的技术规范和标准。</w:t>
      </w:r>
    </w:p>
    <w:p w14:paraId="67C959BE">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二）研究过程中应当广泛深入开展调查研究，准确掌握国内外典型生物领域重大科技基础设施基本情况，梳理总结我市高校、科研院所、医院及相关企业面临的生物应用领域痛点问题以及行业共性新技术平台需求。</w:t>
      </w:r>
    </w:p>
    <w:p w14:paraId="27CEFDE1">
      <w:pPr>
        <w:spacing w:line="560" w:lineRule="exact"/>
        <w:ind w:firstLine="640" w:firstLineChars="200"/>
        <w:outlineLvl w:val="2"/>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（三）研究成果要有前瞻性，视野开阔；具有系统性，研究成果要体系完整、内容全面、材料丰富；具有实用性，研究成果符合深圳实际，针对性和可操作性强。</w:t>
      </w:r>
    </w:p>
    <w:p w14:paraId="74B05C85">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四、项目成果交付要求</w:t>
      </w:r>
    </w:p>
    <w:p w14:paraId="20F68179">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提交研究成果纸质版10份和电子版，文件能够简明扼要介绍成果核心内容与主要结论，明确项目谋划情况。</w:t>
      </w:r>
    </w:p>
    <w:p w14:paraId="55753B45">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五、投标资格要求</w:t>
      </w:r>
    </w:p>
    <w:p w14:paraId="3CEB21F3">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（一）在中华人民共和国境内注册、具有独立承担民事责任能力的法人。</w:t>
      </w:r>
    </w:p>
    <w:p w14:paraId="22D0A26D">
      <w:pPr>
        <w:spacing w:line="560" w:lineRule="exact"/>
        <w:ind w:firstLine="640" w:firstLineChars="200"/>
        <w:outlineLvl w:val="2"/>
        <w:rPr>
          <w:rFonts w:hint="eastAsia" w:ascii="仿宋_GB2312" w:hAnsi="Times New Roman" w:eastAsia="仿宋_GB2312" w:cs="Times New Roman"/>
          <w:b/>
          <w:bCs/>
          <w:sz w:val="32"/>
          <w:szCs w:val="32"/>
          <w:lang w:eastAsia="zh-CN"/>
        </w:rPr>
      </w:pPr>
      <w:r>
        <w:rPr>
          <w:rFonts w:hint="eastAsia" w:ascii="仿宋_GB2312" w:hAnsi="Times New Roman" w:eastAsia="仿宋_GB2312" w:cs="Times New Roman"/>
          <w:bCs/>
          <w:sz w:val="32"/>
          <w:szCs w:val="32"/>
        </w:rPr>
        <w:t>（二）投标人必须具备相关经营范围（咨询服务等），具备开展本项目研究的基本条件和研究能力</w:t>
      </w:r>
      <w:r>
        <w:rPr>
          <w:rFonts w:hint="eastAsia" w:ascii="仿宋_GB2312" w:hAnsi="Times New Roman" w:eastAsia="仿宋_GB2312" w:cs="Times New Roman"/>
          <w:bCs/>
          <w:sz w:val="32"/>
          <w:szCs w:val="32"/>
          <w:lang w:eastAsia="zh-CN"/>
        </w:rPr>
        <w:t>，</w:t>
      </w:r>
      <w:r>
        <w:rPr>
          <w:rFonts w:hint="eastAsia" w:ascii="仿宋_GB2312" w:hAnsi="Times New Roman" w:eastAsia="仿宋_GB2312" w:cs="Times New Roman"/>
          <w:bCs/>
          <w:sz w:val="32"/>
          <w:szCs w:val="32"/>
        </w:rPr>
        <w:t>建立不少于5人的项目服务团队，核心成员应具有较高专业水平和较强综合研究能力、熟悉相关领域情况</w:t>
      </w:r>
      <w:r>
        <w:rPr>
          <w:rFonts w:hint="eastAsia" w:ascii="仿宋_GB2312" w:hAnsi="Times New Roman" w:eastAsia="仿宋_GB2312" w:cs="Times New Roman"/>
          <w:bCs/>
          <w:sz w:val="32"/>
          <w:szCs w:val="32"/>
          <w:lang w:eastAsia="zh-CN"/>
        </w:rPr>
        <w:t>。</w:t>
      </w:r>
    </w:p>
    <w:p w14:paraId="7F88437B">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（三）参加本次政府采购活动前</w:t>
      </w:r>
      <w:r>
        <w:rPr>
          <w:rFonts w:ascii="仿宋_GB2312" w:hAnsi="Times New Roman" w:eastAsia="仿宋_GB2312" w:cs="Times New Roman"/>
          <w:bCs/>
          <w:sz w:val="32"/>
          <w:szCs w:val="32"/>
        </w:rPr>
        <w:t>3年内在经营活动中没有重大违法记录（提供声明函，格式自拟）。</w:t>
      </w:r>
    </w:p>
    <w:p w14:paraId="5D635DC7">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六、投标时间、方式及联系人</w:t>
      </w:r>
    </w:p>
    <w:p w14:paraId="517F8717">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（一）投标时</w:t>
      </w:r>
      <w:r>
        <w:rPr>
          <w:rFonts w:hint="eastAsia" w:ascii="仿宋_GB2312" w:hAnsi="Times New Roman" w:eastAsia="仿宋_GB2312" w:cs="Times New Roman"/>
          <w:bCs/>
          <w:sz w:val="32"/>
          <w:szCs w:val="32"/>
          <w:highlight w:val="none"/>
        </w:rPr>
        <w:t>间：</w:t>
      </w:r>
      <w:r>
        <w:rPr>
          <w:rFonts w:ascii="仿宋_GB2312" w:hAnsi="Times New Roman" w:eastAsia="仿宋_GB2312" w:cs="Times New Roman"/>
          <w:bCs/>
          <w:sz w:val="32"/>
          <w:szCs w:val="32"/>
          <w:highlight w:val="none"/>
        </w:rPr>
        <w:t>202</w:t>
      </w:r>
      <w:r>
        <w:rPr>
          <w:rFonts w:hint="eastAsia" w:ascii="仿宋_GB2312" w:hAnsi="Times New Roman" w:eastAsia="仿宋_GB2312" w:cs="Times New Roman"/>
          <w:bCs/>
          <w:sz w:val="32"/>
          <w:szCs w:val="32"/>
          <w:highlight w:val="none"/>
        </w:rPr>
        <w:t>5</w:t>
      </w:r>
      <w:r>
        <w:rPr>
          <w:rFonts w:ascii="仿宋_GB2312" w:hAnsi="Times New Roman" w:eastAsia="仿宋_GB2312" w:cs="Times New Roman"/>
          <w:bCs/>
          <w:sz w:val="32"/>
          <w:szCs w:val="32"/>
          <w:highlight w:val="none"/>
        </w:rPr>
        <w:t>年</w:t>
      </w:r>
      <w:r>
        <w:rPr>
          <w:rFonts w:hint="eastAsia" w:ascii="仿宋_GB2312" w:hAnsi="Times New Roman" w:eastAsia="仿宋_GB2312" w:cs="Times New Roman"/>
          <w:bCs/>
          <w:sz w:val="32"/>
          <w:szCs w:val="32"/>
          <w:highlight w:val="none"/>
          <w:lang w:val="en"/>
        </w:rPr>
        <w:t>1</w:t>
      </w:r>
      <w:r>
        <w:rPr>
          <w:rFonts w:hint="eastAsia" w:ascii="仿宋_GB2312" w:hAnsi="Times New Roman" w:eastAsia="仿宋_GB2312" w:cs="Times New Roman"/>
          <w:bCs/>
          <w:sz w:val="32"/>
          <w:szCs w:val="32"/>
          <w:highlight w:val="none"/>
        </w:rPr>
        <w:t>2月</w:t>
      </w:r>
      <w:r>
        <w:rPr>
          <w:rFonts w:hint="eastAsia" w:ascii="仿宋_GB2312" w:hAnsi="Times New Roman" w:eastAsia="仿宋_GB2312" w:cs="Times New Roman"/>
          <w:bCs/>
          <w:sz w:val="32"/>
          <w:szCs w:val="32"/>
          <w:highlight w:val="none"/>
          <w:lang w:val="en-US" w:eastAsia="zh-CN"/>
        </w:rPr>
        <w:t>9</w:t>
      </w:r>
      <w:r>
        <w:rPr>
          <w:rFonts w:hint="eastAsia" w:ascii="仿宋_GB2312" w:hAnsi="Times New Roman" w:eastAsia="仿宋_GB2312" w:cs="Times New Roman"/>
          <w:bCs/>
          <w:sz w:val="32"/>
          <w:szCs w:val="32"/>
          <w:highlight w:val="none"/>
        </w:rPr>
        <w:t>日至12月</w:t>
      </w:r>
      <w:r>
        <w:rPr>
          <w:rFonts w:hint="eastAsia" w:ascii="仿宋_GB2312" w:hAnsi="Times New Roman" w:eastAsia="仿宋_GB2312" w:cs="Times New Roman"/>
          <w:bCs/>
          <w:sz w:val="32"/>
          <w:szCs w:val="32"/>
          <w:highlight w:val="none"/>
          <w:lang w:val="en-US" w:eastAsia="zh-CN"/>
        </w:rPr>
        <w:t>18</w:t>
      </w:r>
      <w:r>
        <w:rPr>
          <w:rFonts w:hint="eastAsia" w:ascii="仿宋_GB2312" w:hAnsi="Times New Roman" w:eastAsia="仿宋_GB2312" w:cs="Times New Roman"/>
          <w:bCs/>
          <w:sz w:val="32"/>
          <w:szCs w:val="32"/>
          <w:highlight w:val="none"/>
        </w:rPr>
        <w:t>日，</w:t>
      </w:r>
      <w:r>
        <w:rPr>
          <w:rFonts w:hint="eastAsia" w:ascii="仿宋_GB2312" w:hAnsi="Times New Roman" w:eastAsia="仿宋_GB2312" w:cs="Times New Roman"/>
          <w:bCs/>
          <w:sz w:val="32"/>
          <w:szCs w:val="32"/>
        </w:rPr>
        <w:t>每日上午</w:t>
      </w:r>
      <w:r>
        <w:rPr>
          <w:rFonts w:ascii="仿宋_GB2312" w:hAnsi="Times New Roman" w:eastAsia="仿宋_GB2312" w:cs="Times New Roman"/>
          <w:bCs/>
          <w:sz w:val="32"/>
          <w:szCs w:val="32"/>
        </w:rPr>
        <w:t>9:00-12:00，下午2:00-5:45（节假日除外）。逾期未投标将不再受理。</w:t>
      </w:r>
    </w:p>
    <w:p w14:paraId="62A77A62">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（二）投标地点：深圳市福田区福中三路市民中心</w:t>
      </w:r>
      <w:r>
        <w:rPr>
          <w:rFonts w:ascii="仿宋_GB2312" w:hAnsi="Times New Roman" w:eastAsia="仿宋_GB2312" w:cs="Times New Roman"/>
          <w:bCs/>
          <w:sz w:val="32"/>
          <w:szCs w:val="32"/>
        </w:rPr>
        <w:t>B区行政服务大厅2号市发展和改革委卡座（可邮寄，以送达日期为投标日期）。</w:t>
      </w:r>
    </w:p>
    <w:p w14:paraId="4FFC588B">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（三）联系人：</w:t>
      </w:r>
      <w:r>
        <w:rPr>
          <w:rFonts w:hint="eastAsia" w:ascii="仿宋_GB2312" w:hAnsi="微软雅黑" w:eastAsia="仿宋_GB2312" w:cs="Times New Roman"/>
          <w:color w:val="040404"/>
          <w:sz w:val="32"/>
          <w:szCs w:val="32"/>
        </w:rPr>
        <w:t>8812</w:t>
      </w:r>
      <w:r>
        <w:rPr>
          <w:rFonts w:hint="eastAsia" w:ascii="仿宋_GB2312" w:hAnsi="微软雅黑" w:eastAsia="仿宋_GB2312" w:cs="Times New Roman"/>
          <w:color w:val="040404"/>
          <w:sz w:val="32"/>
          <w:szCs w:val="32"/>
          <w:lang w:val="en-US" w:eastAsia="zh-CN"/>
        </w:rPr>
        <w:t>5842</w:t>
      </w:r>
      <w:r>
        <w:rPr>
          <w:rFonts w:hint="eastAsia" w:ascii="仿宋_GB2312" w:hAnsi="微软雅黑" w:eastAsia="仿宋_GB2312" w:cs="Times New Roman"/>
          <w:color w:val="040404"/>
          <w:sz w:val="32"/>
          <w:szCs w:val="32"/>
        </w:rPr>
        <w:t>（收件咨询）、8812</w:t>
      </w:r>
      <w:r>
        <w:rPr>
          <w:rFonts w:hint="eastAsia" w:ascii="仿宋_GB2312" w:hAnsi="微软雅黑" w:eastAsia="仿宋_GB2312" w:cs="Times New Roman"/>
          <w:color w:val="040404"/>
          <w:sz w:val="32"/>
          <w:szCs w:val="32"/>
          <w:lang w:val="en-US" w:eastAsia="zh-CN"/>
        </w:rPr>
        <w:t>5370</w:t>
      </w:r>
      <w:r>
        <w:rPr>
          <w:rFonts w:hint="eastAsia" w:ascii="仿宋_GB2312" w:hAnsi="微软雅黑" w:eastAsia="仿宋_GB2312" w:cs="Times New Roman"/>
          <w:color w:val="040404"/>
          <w:sz w:val="32"/>
          <w:szCs w:val="32"/>
        </w:rPr>
        <w:t>（业务咨询）</w:t>
      </w:r>
      <w:r>
        <w:rPr>
          <w:rFonts w:hint="eastAsia" w:ascii="仿宋_GB2312" w:hAnsi="Times New Roman" w:eastAsia="仿宋_GB2312" w:cs="Times New Roman"/>
          <w:bCs/>
          <w:sz w:val="32"/>
          <w:szCs w:val="32"/>
        </w:rPr>
        <w:t>。</w:t>
      </w:r>
    </w:p>
    <w:p w14:paraId="47D62CB3">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七、投标文件递交内容</w:t>
      </w:r>
    </w:p>
    <w:p w14:paraId="391C9C7A">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（一）投标单位简介、投标人营业执照及相关证照（提供加盖公章的复印件，原件备查）。</w:t>
      </w:r>
    </w:p>
    <w:p w14:paraId="6EB99A3B">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（二）法定代表人证明书及授权委托书（原件加盖公章）。</w:t>
      </w:r>
    </w:p>
    <w:p w14:paraId="0F7781F1">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（三）法定代表人及受委托人身份证复印件（复印件加盖公章）。</w:t>
      </w:r>
    </w:p>
    <w:p w14:paraId="426D2318">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（四）项目方案及报价单（原件加盖公章）。</w:t>
      </w:r>
    </w:p>
    <w:p w14:paraId="7074FABF">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（五）投标人相关领域/项目经验证明材料（复印件加盖公章）。</w:t>
      </w:r>
    </w:p>
    <w:p w14:paraId="0E488732">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（六）投标人无重大违法记录声明函（原件加盖公章，格式自拟）。</w:t>
      </w:r>
    </w:p>
    <w:p w14:paraId="632D090C">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（七）投标及履约承诺函原件（格式见附件）。</w:t>
      </w:r>
    </w:p>
    <w:p w14:paraId="7BF19DF9">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（八）住所地不在深圳的投标人应提供营业场所证明原件。</w:t>
      </w:r>
    </w:p>
    <w:p w14:paraId="4D8F3A23">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（九）投标人认为有必要提供的其它材料。</w:t>
      </w:r>
    </w:p>
    <w:p w14:paraId="7864B34A">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投标文件一式三份，整套材料密封并加盖骑缝章，封面注明投标人的名称、地址、联系人及手机号码。</w:t>
      </w:r>
    </w:p>
    <w:p w14:paraId="4268398C">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八、重要提示</w:t>
      </w:r>
    </w:p>
    <w:p w14:paraId="5AAB45AE">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投标单位有下列情况之一的，其投标将被拒绝或作无效投标处理：</w:t>
      </w:r>
    </w:p>
    <w:p w14:paraId="003459D1">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（一）未在规定时间内将投标文件送达规定地点的。</w:t>
      </w:r>
    </w:p>
    <w:p w14:paraId="6786D4AD">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（二）投标人不具备投标资格要求，或未提交相应资格证明材料。</w:t>
      </w:r>
    </w:p>
    <w:p w14:paraId="75DA814D">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（三）投标文件未按规定密封、签字、盖章。</w:t>
      </w:r>
    </w:p>
    <w:p w14:paraId="36ECE33B">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（四）投标文件无法定代表人签字或无法定代表人有效授权委托的。</w:t>
      </w:r>
    </w:p>
    <w:p w14:paraId="317AC0F3">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（五）分项报价或投标总价高于预算金额（最高投标限价）的。</w:t>
      </w:r>
    </w:p>
    <w:p w14:paraId="4DD8EF13">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（六）同一项目出现两个及以上报价，且按规定无法确定哪个是有效报价。</w:t>
      </w:r>
    </w:p>
    <w:p w14:paraId="61DD4FA0">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14:paraId="1615FDA9">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（八）所投服务在质量、技术、方案等方面没有实质性满足招标文件要求。</w:t>
      </w:r>
    </w:p>
    <w:p w14:paraId="0B05D7D0">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（九）法律、法规规定的其他情形。</w:t>
      </w:r>
    </w:p>
    <w:p w14:paraId="1388DCD1">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九、评标方法</w:t>
      </w:r>
    </w:p>
    <w:p w14:paraId="212E26F0">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（一）评标方法为综合评分法，具体评分标准和规则为：投标文件从技术、商务和价格等三个评审因素进行评分，出现总分相同的，则总分相等投标人中最低价者中标。</w:t>
      </w:r>
    </w:p>
    <w:p w14:paraId="3B132582">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（二）综合评分表</w:t>
      </w:r>
    </w:p>
    <w:tbl>
      <w:tblPr>
        <w:tblStyle w:val="4"/>
        <w:tblpPr w:leftFromText="180" w:rightFromText="180" w:vertAnchor="text" w:horzAnchor="page" w:tblpX="1865" w:tblpY="551"/>
        <w:tblOverlap w:val="never"/>
        <w:tblW w:w="826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202"/>
        <w:gridCol w:w="4678"/>
        <w:gridCol w:w="850"/>
        <w:gridCol w:w="851"/>
      </w:tblGrid>
      <w:tr w14:paraId="18DEFB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trPr>
        <w:tc>
          <w:tcPr>
            <w:tcW w:w="680" w:type="dxa"/>
            <w:vAlign w:val="center"/>
          </w:tcPr>
          <w:p w14:paraId="2527D791">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评审部分</w:t>
            </w:r>
          </w:p>
        </w:tc>
        <w:tc>
          <w:tcPr>
            <w:tcW w:w="1202" w:type="dxa"/>
            <w:vAlign w:val="center"/>
          </w:tcPr>
          <w:p w14:paraId="1FFC8C55">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评审因素</w:t>
            </w:r>
          </w:p>
        </w:tc>
        <w:tc>
          <w:tcPr>
            <w:tcW w:w="4678" w:type="dxa"/>
            <w:vAlign w:val="center"/>
          </w:tcPr>
          <w:p w14:paraId="48091069">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评分细则</w:t>
            </w:r>
          </w:p>
        </w:tc>
        <w:tc>
          <w:tcPr>
            <w:tcW w:w="850" w:type="dxa"/>
            <w:tcBorders>
              <w:right w:val="single" w:color="auto" w:sz="4" w:space="0"/>
            </w:tcBorders>
            <w:vAlign w:val="center"/>
          </w:tcPr>
          <w:p w14:paraId="6EC804C6">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权重（%）</w:t>
            </w:r>
          </w:p>
        </w:tc>
        <w:tc>
          <w:tcPr>
            <w:tcW w:w="851" w:type="dxa"/>
            <w:tcBorders>
              <w:left w:val="single" w:color="auto" w:sz="4" w:space="0"/>
            </w:tcBorders>
            <w:vAlign w:val="center"/>
          </w:tcPr>
          <w:p w14:paraId="0FA2EEB8">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分值（分）</w:t>
            </w:r>
          </w:p>
        </w:tc>
      </w:tr>
      <w:tr w14:paraId="652EEB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vAlign w:val="center"/>
          </w:tcPr>
          <w:p w14:paraId="169C1535">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一</w:t>
            </w:r>
          </w:p>
        </w:tc>
        <w:tc>
          <w:tcPr>
            <w:tcW w:w="7581" w:type="dxa"/>
            <w:gridSpan w:val="4"/>
            <w:vAlign w:val="center"/>
          </w:tcPr>
          <w:p w14:paraId="2FF73679">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Times New Roman"/>
                <w:b/>
                <w:sz w:val="22"/>
              </w:rPr>
              <w:t>技术部分（合计40分）</w:t>
            </w:r>
          </w:p>
        </w:tc>
      </w:tr>
      <w:tr w14:paraId="66CA58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740A512E">
            <w:pPr>
              <w:numPr>
                <w:ilvl w:val="0"/>
                <w:numId w:val="1"/>
              </w:numPr>
              <w:spacing w:line="300" w:lineRule="exact"/>
              <w:jc w:val="right"/>
              <w:rPr>
                <w:rFonts w:hint="eastAsia" w:ascii="宋体" w:hAnsi="宋体" w:eastAsia="宋体" w:cs="Times New Roman"/>
                <w:sz w:val="22"/>
              </w:rPr>
            </w:pPr>
          </w:p>
        </w:tc>
        <w:tc>
          <w:tcPr>
            <w:tcW w:w="1202" w:type="dxa"/>
            <w:vAlign w:val="center"/>
          </w:tcPr>
          <w:p w14:paraId="712D0D12">
            <w:pPr>
              <w:spacing w:line="300" w:lineRule="exact"/>
              <w:jc w:val="center"/>
              <w:rPr>
                <w:rFonts w:hint="eastAsia" w:ascii="宋体" w:hAnsi="宋体" w:eastAsia="宋体" w:cs="Times New Roman"/>
                <w:sz w:val="22"/>
              </w:rPr>
            </w:pPr>
            <w:r>
              <w:rPr>
                <w:rFonts w:hint="eastAsia" w:ascii="宋体" w:hAnsi="宋体" w:eastAsia="宋体" w:cs="Times New Roman"/>
                <w:sz w:val="22"/>
              </w:rPr>
              <w:t>实施方案</w:t>
            </w:r>
          </w:p>
        </w:tc>
        <w:tc>
          <w:tcPr>
            <w:tcW w:w="4678" w:type="dxa"/>
          </w:tcPr>
          <w:p w14:paraId="49555F1B">
            <w:pPr>
              <w:spacing w:line="300" w:lineRule="exact"/>
              <w:ind w:left="-78" w:leftChars="-37" w:right="-73" w:rightChars="-35"/>
              <w:jc w:val="left"/>
              <w:rPr>
                <w:rFonts w:hint="eastAsia" w:ascii="宋体" w:hAnsi="宋体" w:eastAsia="宋体" w:cs="宋体"/>
                <w:kern w:val="0"/>
                <w:sz w:val="22"/>
              </w:rPr>
            </w:pPr>
            <w:r>
              <w:rPr>
                <w:rFonts w:hint="eastAsia" w:ascii="宋体" w:hAnsi="宋体" w:eastAsia="宋体" w:cs="宋体"/>
                <w:kern w:val="0"/>
                <w:sz w:val="22"/>
              </w:rPr>
              <w:t>根据投标人提供的项目实施方案的全面性、针对性、可操作性等进行分档评审：</w:t>
            </w:r>
          </w:p>
          <w:p w14:paraId="56CA85C0">
            <w:pPr>
              <w:spacing w:line="300" w:lineRule="exact"/>
              <w:ind w:left="-78" w:leftChars="-37" w:right="-73" w:rightChars="-35"/>
              <w:jc w:val="left"/>
              <w:rPr>
                <w:rFonts w:hint="eastAsia" w:ascii="宋体" w:hAnsi="宋体" w:eastAsia="宋体" w:cs="宋体"/>
                <w:kern w:val="0"/>
                <w:sz w:val="22"/>
              </w:rPr>
            </w:pPr>
            <w:r>
              <w:rPr>
                <w:rFonts w:hint="eastAsia" w:ascii="宋体" w:hAnsi="宋体" w:eastAsia="宋体" w:cs="宋体"/>
                <w:kern w:val="0"/>
                <w:sz w:val="22"/>
              </w:rPr>
              <w:t>1.评价为优，得100%；</w:t>
            </w:r>
          </w:p>
          <w:p w14:paraId="3C9EB01A">
            <w:pPr>
              <w:spacing w:line="300" w:lineRule="exact"/>
              <w:ind w:left="-78" w:leftChars="-37" w:right="-73" w:rightChars="-35"/>
              <w:jc w:val="left"/>
              <w:rPr>
                <w:rFonts w:hint="eastAsia"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w:t>
            </w:r>
            <w:r>
              <w:rPr>
                <w:rFonts w:hint="eastAsia" w:ascii="宋体" w:hAnsi="宋体" w:eastAsia="宋体" w:cs="宋体"/>
                <w:kern w:val="0"/>
                <w:sz w:val="22"/>
              </w:rPr>
              <w:t>评价为良，得</w:t>
            </w:r>
            <w:r>
              <w:rPr>
                <w:rFonts w:ascii="宋体" w:hAnsi="宋体" w:eastAsia="宋体" w:cs="宋体"/>
                <w:kern w:val="0"/>
                <w:sz w:val="22"/>
              </w:rPr>
              <w:t>7</w:t>
            </w:r>
            <w:r>
              <w:rPr>
                <w:rFonts w:hint="eastAsia" w:ascii="宋体" w:hAnsi="宋体" w:eastAsia="宋体" w:cs="宋体"/>
                <w:kern w:val="0"/>
                <w:sz w:val="22"/>
              </w:rPr>
              <w:t>0%；</w:t>
            </w:r>
          </w:p>
          <w:p w14:paraId="6B245BFF">
            <w:pPr>
              <w:spacing w:line="300" w:lineRule="exact"/>
              <w:ind w:left="-78" w:leftChars="-37" w:right="-73" w:rightChars="-35"/>
              <w:jc w:val="left"/>
              <w:rPr>
                <w:rFonts w:hint="eastAsia" w:ascii="宋体" w:hAnsi="宋体" w:eastAsia="宋体" w:cs="宋体"/>
                <w:kern w:val="0"/>
                <w:sz w:val="22"/>
              </w:rPr>
            </w:pPr>
            <w:r>
              <w:rPr>
                <w:rFonts w:hint="eastAsia" w:ascii="宋体" w:hAnsi="宋体" w:eastAsia="宋体" w:cs="宋体"/>
                <w:kern w:val="0"/>
                <w:sz w:val="22"/>
              </w:rPr>
              <w:t>3</w:t>
            </w:r>
            <w:r>
              <w:rPr>
                <w:rFonts w:ascii="宋体" w:hAnsi="宋体" w:eastAsia="宋体" w:cs="宋体"/>
                <w:kern w:val="0"/>
                <w:sz w:val="22"/>
              </w:rPr>
              <w:t>.</w:t>
            </w:r>
            <w:r>
              <w:rPr>
                <w:rFonts w:hint="eastAsia" w:ascii="宋体" w:hAnsi="宋体" w:eastAsia="宋体" w:cs="宋体"/>
                <w:kern w:val="0"/>
                <w:sz w:val="22"/>
              </w:rPr>
              <w:t>评价为中，得</w:t>
            </w:r>
            <w:r>
              <w:rPr>
                <w:rFonts w:ascii="宋体" w:hAnsi="宋体" w:eastAsia="宋体" w:cs="宋体"/>
                <w:kern w:val="0"/>
                <w:sz w:val="22"/>
              </w:rPr>
              <w:t>4</w:t>
            </w:r>
            <w:r>
              <w:rPr>
                <w:rFonts w:hint="eastAsia" w:ascii="宋体" w:hAnsi="宋体" w:eastAsia="宋体" w:cs="宋体"/>
                <w:kern w:val="0"/>
                <w:sz w:val="22"/>
              </w:rPr>
              <w:t>0%；</w:t>
            </w:r>
          </w:p>
          <w:p w14:paraId="3BBB3B59">
            <w:pPr>
              <w:spacing w:line="300" w:lineRule="exact"/>
              <w:ind w:left="-78" w:leftChars="-37" w:right="-73" w:rightChars="-35"/>
              <w:jc w:val="left"/>
              <w:rPr>
                <w:rFonts w:hint="eastAsia" w:ascii="宋体" w:hAnsi="宋体" w:eastAsia="宋体" w:cs="宋体"/>
                <w:kern w:val="0"/>
                <w:sz w:val="22"/>
              </w:rPr>
            </w:pPr>
            <w:r>
              <w:rPr>
                <w:rFonts w:hint="eastAsia" w:ascii="宋体" w:hAnsi="宋体" w:eastAsia="宋体" w:cs="宋体"/>
                <w:kern w:val="0"/>
                <w:sz w:val="22"/>
              </w:rPr>
              <w:t>4</w:t>
            </w:r>
            <w:r>
              <w:rPr>
                <w:rFonts w:ascii="宋体" w:hAnsi="宋体" w:eastAsia="宋体" w:cs="宋体"/>
                <w:kern w:val="0"/>
                <w:sz w:val="22"/>
              </w:rPr>
              <w:t>.</w:t>
            </w:r>
            <w:r>
              <w:rPr>
                <w:rFonts w:hint="eastAsia" w:ascii="宋体" w:hAnsi="宋体" w:eastAsia="宋体" w:cs="宋体"/>
                <w:kern w:val="0"/>
                <w:sz w:val="22"/>
              </w:rPr>
              <w:t>评价为差，得10%。</w:t>
            </w:r>
          </w:p>
        </w:tc>
        <w:tc>
          <w:tcPr>
            <w:tcW w:w="850" w:type="dxa"/>
            <w:tcBorders>
              <w:right w:val="single" w:color="auto" w:sz="4" w:space="0"/>
            </w:tcBorders>
            <w:vAlign w:val="center"/>
          </w:tcPr>
          <w:p w14:paraId="244A1BCF">
            <w:pPr>
              <w:spacing w:line="300" w:lineRule="exact"/>
              <w:jc w:val="center"/>
              <w:rPr>
                <w:rFonts w:hint="eastAsia" w:ascii="宋体" w:hAnsi="宋体" w:eastAsia="宋体" w:cs="Times New Roman"/>
                <w:sz w:val="22"/>
              </w:rPr>
            </w:pPr>
            <w:r>
              <w:rPr>
                <w:rFonts w:ascii="宋体" w:hAnsi="宋体" w:eastAsia="宋体" w:cs="Times New Roman"/>
                <w:sz w:val="22"/>
              </w:rPr>
              <w:t>20</w:t>
            </w:r>
          </w:p>
        </w:tc>
        <w:tc>
          <w:tcPr>
            <w:tcW w:w="851" w:type="dxa"/>
            <w:tcBorders>
              <w:left w:val="single" w:color="auto" w:sz="4" w:space="0"/>
            </w:tcBorders>
            <w:vAlign w:val="center"/>
          </w:tcPr>
          <w:p w14:paraId="1EA2A69B">
            <w:pPr>
              <w:spacing w:line="300" w:lineRule="exact"/>
              <w:jc w:val="center"/>
              <w:rPr>
                <w:rFonts w:hint="eastAsia" w:ascii="宋体" w:hAnsi="宋体" w:eastAsia="宋体" w:cs="Times New Roman"/>
                <w:sz w:val="22"/>
              </w:rPr>
            </w:pPr>
            <w:r>
              <w:rPr>
                <w:rFonts w:ascii="宋体" w:hAnsi="宋体" w:eastAsia="宋体" w:cs="Times New Roman"/>
                <w:sz w:val="22"/>
              </w:rPr>
              <w:t>20</w:t>
            </w:r>
          </w:p>
        </w:tc>
      </w:tr>
      <w:tr w14:paraId="1543B1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321CFE05">
            <w:pPr>
              <w:numPr>
                <w:ilvl w:val="0"/>
                <w:numId w:val="1"/>
              </w:numPr>
              <w:spacing w:line="300" w:lineRule="exact"/>
              <w:jc w:val="right"/>
              <w:rPr>
                <w:rFonts w:hint="eastAsia" w:ascii="宋体" w:hAnsi="宋体" w:eastAsia="宋体" w:cs="Times New Roman"/>
                <w:sz w:val="22"/>
              </w:rPr>
            </w:pPr>
          </w:p>
        </w:tc>
        <w:tc>
          <w:tcPr>
            <w:tcW w:w="1202" w:type="dxa"/>
            <w:vAlign w:val="center"/>
          </w:tcPr>
          <w:p w14:paraId="48A99A72">
            <w:pPr>
              <w:spacing w:line="300" w:lineRule="exact"/>
              <w:jc w:val="center"/>
              <w:rPr>
                <w:rFonts w:hint="eastAsia" w:ascii="宋体" w:hAnsi="宋体" w:eastAsia="宋体" w:cs="Times New Roman"/>
                <w:sz w:val="22"/>
              </w:rPr>
            </w:pPr>
            <w:r>
              <w:rPr>
                <w:rFonts w:hint="eastAsia" w:ascii="宋体" w:hAnsi="宋体" w:eastAsia="宋体" w:cs="Times New Roman"/>
                <w:sz w:val="22"/>
              </w:rPr>
              <w:t>质量保障措施及方案</w:t>
            </w:r>
          </w:p>
        </w:tc>
        <w:tc>
          <w:tcPr>
            <w:tcW w:w="4678" w:type="dxa"/>
          </w:tcPr>
          <w:p w14:paraId="7086318F">
            <w:pPr>
              <w:spacing w:line="300" w:lineRule="exact"/>
              <w:jc w:val="left"/>
              <w:rPr>
                <w:rFonts w:hint="eastAsia" w:ascii="宋体" w:hAnsi="宋体" w:eastAsia="宋体" w:cs="宋体"/>
                <w:kern w:val="0"/>
                <w:sz w:val="22"/>
              </w:rPr>
            </w:pPr>
            <w:r>
              <w:rPr>
                <w:rFonts w:hint="eastAsia" w:ascii="宋体" w:hAnsi="宋体" w:eastAsia="宋体" w:cs="宋体"/>
                <w:kern w:val="0"/>
                <w:sz w:val="22"/>
              </w:rPr>
              <w:t>根据投标人对项目进度计划和人员安排、质量和进度保障措施是否合理、可行等进行分档评审：</w:t>
            </w:r>
          </w:p>
          <w:p w14:paraId="719D36F9">
            <w:pPr>
              <w:spacing w:line="300" w:lineRule="exact"/>
              <w:ind w:left="-78" w:leftChars="-37" w:right="-73" w:rightChars="-35"/>
              <w:jc w:val="left"/>
              <w:rPr>
                <w:rFonts w:hint="eastAsia"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w:t>
            </w:r>
            <w:r>
              <w:rPr>
                <w:rFonts w:hint="eastAsia" w:ascii="宋体" w:hAnsi="宋体" w:eastAsia="宋体" w:cs="宋体"/>
                <w:kern w:val="0"/>
                <w:sz w:val="22"/>
              </w:rPr>
              <w:t>评价为优，得100%；</w:t>
            </w:r>
          </w:p>
          <w:p w14:paraId="42052EFF">
            <w:pPr>
              <w:spacing w:line="300" w:lineRule="exact"/>
              <w:ind w:left="-78" w:leftChars="-37" w:right="-73" w:rightChars="-35"/>
              <w:jc w:val="left"/>
              <w:rPr>
                <w:rFonts w:hint="eastAsia"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w:t>
            </w:r>
            <w:r>
              <w:rPr>
                <w:rFonts w:hint="eastAsia" w:ascii="宋体" w:hAnsi="宋体" w:eastAsia="宋体" w:cs="宋体"/>
                <w:kern w:val="0"/>
                <w:sz w:val="22"/>
              </w:rPr>
              <w:t>评价为良，得70%；</w:t>
            </w:r>
          </w:p>
          <w:p w14:paraId="1CE97AF7">
            <w:pPr>
              <w:spacing w:line="300" w:lineRule="exact"/>
              <w:ind w:left="-78" w:leftChars="-37" w:right="-73" w:rightChars="-35"/>
              <w:jc w:val="left"/>
              <w:rPr>
                <w:rFonts w:hint="eastAsia" w:ascii="宋体" w:hAnsi="宋体" w:eastAsia="宋体" w:cs="宋体"/>
                <w:kern w:val="0"/>
                <w:sz w:val="22"/>
              </w:rPr>
            </w:pPr>
            <w:r>
              <w:rPr>
                <w:rFonts w:hint="eastAsia" w:ascii="宋体" w:hAnsi="宋体" w:eastAsia="宋体" w:cs="宋体"/>
                <w:kern w:val="0"/>
                <w:sz w:val="22"/>
              </w:rPr>
              <w:t>3</w:t>
            </w:r>
            <w:r>
              <w:rPr>
                <w:rFonts w:ascii="宋体" w:hAnsi="宋体" w:eastAsia="宋体" w:cs="宋体"/>
                <w:kern w:val="0"/>
                <w:sz w:val="22"/>
              </w:rPr>
              <w:t>.</w:t>
            </w:r>
            <w:r>
              <w:rPr>
                <w:rFonts w:hint="eastAsia" w:ascii="宋体" w:hAnsi="宋体" w:eastAsia="宋体" w:cs="宋体"/>
                <w:kern w:val="0"/>
                <w:sz w:val="22"/>
              </w:rPr>
              <w:t>评价为中，得40%；</w:t>
            </w:r>
          </w:p>
          <w:p w14:paraId="6EDB58A1">
            <w:pPr>
              <w:spacing w:line="300" w:lineRule="exact"/>
              <w:ind w:left="-78" w:leftChars="-37" w:right="-73" w:rightChars="-35"/>
              <w:jc w:val="left"/>
              <w:rPr>
                <w:rFonts w:hint="eastAsia" w:ascii="宋体" w:hAnsi="宋体" w:eastAsia="宋体" w:cs="宋体"/>
                <w:kern w:val="0"/>
                <w:sz w:val="22"/>
              </w:rPr>
            </w:pPr>
            <w:r>
              <w:rPr>
                <w:rFonts w:hint="eastAsia" w:ascii="宋体" w:hAnsi="宋体" w:eastAsia="宋体" w:cs="宋体"/>
                <w:kern w:val="0"/>
                <w:sz w:val="22"/>
              </w:rPr>
              <w:t>4</w:t>
            </w:r>
            <w:r>
              <w:rPr>
                <w:rFonts w:ascii="宋体" w:hAnsi="宋体" w:eastAsia="宋体" w:cs="宋体"/>
                <w:kern w:val="0"/>
                <w:sz w:val="22"/>
              </w:rPr>
              <w:t>.</w:t>
            </w:r>
            <w:r>
              <w:rPr>
                <w:rFonts w:hint="eastAsia" w:ascii="宋体" w:hAnsi="宋体" w:eastAsia="宋体" w:cs="宋体"/>
                <w:kern w:val="0"/>
                <w:sz w:val="22"/>
              </w:rPr>
              <w:t>评价为差，得10%。</w:t>
            </w:r>
          </w:p>
        </w:tc>
        <w:tc>
          <w:tcPr>
            <w:tcW w:w="850" w:type="dxa"/>
            <w:tcBorders>
              <w:right w:val="single" w:color="auto" w:sz="4" w:space="0"/>
            </w:tcBorders>
            <w:vAlign w:val="center"/>
          </w:tcPr>
          <w:p w14:paraId="6B0DB314">
            <w:pPr>
              <w:spacing w:line="300" w:lineRule="exact"/>
              <w:jc w:val="center"/>
              <w:rPr>
                <w:rFonts w:hint="eastAsia" w:ascii="宋体" w:hAnsi="宋体" w:eastAsia="宋体" w:cs="Times New Roman"/>
                <w:sz w:val="22"/>
              </w:rPr>
            </w:pPr>
            <w:r>
              <w:rPr>
                <w:rFonts w:hint="eastAsia" w:ascii="宋体" w:hAnsi="宋体" w:eastAsia="宋体" w:cs="Times New Roman"/>
                <w:sz w:val="22"/>
              </w:rPr>
              <w:t>15</w:t>
            </w:r>
          </w:p>
        </w:tc>
        <w:tc>
          <w:tcPr>
            <w:tcW w:w="851" w:type="dxa"/>
            <w:tcBorders>
              <w:left w:val="single" w:color="auto" w:sz="4" w:space="0"/>
            </w:tcBorders>
            <w:vAlign w:val="center"/>
          </w:tcPr>
          <w:p w14:paraId="6BFB5FAA">
            <w:pPr>
              <w:spacing w:line="300" w:lineRule="exact"/>
              <w:jc w:val="center"/>
              <w:rPr>
                <w:rFonts w:hint="eastAsia" w:ascii="宋体" w:hAnsi="宋体" w:eastAsia="宋体" w:cs="Times New Roman"/>
                <w:sz w:val="22"/>
              </w:rPr>
            </w:pPr>
            <w:r>
              <w:rPr>
                <w:rFonts w:hint="eastAsia" w:ascii="宋体" w:hAnsi="宋体" w:eastAsia="宋体" w:cs="Times New Roman"/>
                <w:sz w:val="22"/>
              </w:rPr>
              <w:t>15</w:t>
            </w:r>
          </w:p>
        </w:tc>
      </w:tr>
      <w:tr w14:paraId="0C1E5D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14:paraId="42A3CA29">
            <w:pPr>
              <w:numPr>
                <w:ilvl w:val="0"/>
                <w:numId w:val="1"/>
              </w:numPr>
              <w:spacing w:line="300" w:lineRule="exact"/>
              <w:jc w:val="right"/>
              <w:rPr>
                <w:rFonts w:hint="eastAsia" w:ascii="宋体" w:hAnsi="宋体" w:eastAsia="宋体" w:cs="Times New Roman"/>
                <w:sz w:val="22"/>
              </w:rPr>
            </w:pPr>
          </w:p>
        </w:tc>
        <w:tc>
          <w:tcPr>
            <w:tcW w:w="1202" w:type="dxa"/>
            <w:vAlign w:val="center"/>
          </w:tcPr>
          <w:p w14:paraId="4A8AC4E7">
            <w:pPr>
              <w:spacing w:line="300" w:lineRule="exact"/>
              <w:jc w:val="center"/>
              <w:rPr>
                <w:rFonts w:hint="eastAsia" w:ascii="宋体" w:hAnsi="宋体" w:eastAsia="宋体" w:cs="Times New Roman"/>
                <w:sz w:val="22"/>
              </w:rPr>
            </w:pPr>
            <w:r>
              <w:rPr>
                <w:rFonts w:hint="eastAsia" w:ascii="宋体" w:hAnsi="宋体" w:eastAsia="宋体" w:cs="Times New Roman"/>
                <w:sz w:val="22"/>
              </w:rPr>
              <w:t>违约承诺</w:t>
            </w:r>
          </w:p>
        </w:tc>
        <w:tc>
          <w:tcPr>
            <w:tcW w:w="4678" w:type="dxa"/>
          </w:tcPr>
          <w:p w14:paraId="4F866130">
            <w:pPr>
              <w:spacing w:line="300" w:lineRule="exact"/>
              <w:jc w:val="left"/>
              <w:rPr>
                <w:rFonts w:hint="eastAsia" w:ascii="宋体" w:hAnsi="宋体" w:eastAsia="宋体" w:cs="宋体"/>
                <w:kern w:val="0"/>
                <w:sz w:val="22"/>
              </w:rPr>
            </w:pPr>
            <w:r>
              <w:rPr>
                <w:rFonts w:hint="eastAsia" w:ascii="宋体" w:hAnsi="宋体" w:eastAsia="宋体" w:cs="宋体"/>
                <w:kern w:val="0"/>
                <w:sz w:val="22"/>
              </w:rPr>
              <w:t>提供违约承诺，承诺满足招标文件要求，保证措施合理且有针对性，有具体的违约责任承诺。</w:t>
            </w:r>
          </w:p>
          <w:p w14:paraId="1240AF78">
            <w:pPr>
              <w:spacing w:line="300" w:lineRule="exact"/>
              <w:jc w:val="left"/>
              <w:rPr>
                <w:rFonts w:hint="eastAsia" w:ascii="宋体" w:hAnsi="宋体" w:eastAsia="宋体" w:cs="宋体"/>
                <w:kern w:val="0"/>
                <w:sz w:val="22"/>
              </w:rPr>
            </w:pPr>
            <w:r>
              <w:rPr>
                <w:rFonts w:hint="eastAsia" w:ascii="宋体" w:hAnsi="宋体" w:eastAsia="宋体" w:cs="宋体"/>
                <w:kern w:val="0"/>
                <w:sz w:val="22"/>
                <w:lang w:val="en-US" w:eastAsia="zh-CN"/>
              </w:rPr>
              <w:t>1.</w:t>
            </w:r>
            <w:r>
              <w:rPr>
                <w:rFonts w:hint="eastAsia" w:ascii="宋体" w:hAnsi="宋体" w:eastAsia="宋体" w:cs="宋体"/>
                <w:kern w:val="0"/>
                <w:sz w:val="22"/>
              </w:rPr>
              <w:t>投标人提供违约承诺</w:t>
            </w:r>
            <w:r>
              <w:rPr>
                <w:rFonts w:hint="eastAsia" w:ascii="宋体" w:hAnsi="宋体" w:eastAsia="宋体" w:cs="宋体"/>
                <w:kern w:val="0"/>
                <w:sz w:val="22"/>
                <w:lang w:eastAsia="zh-CN"/>
              </w:rPr>
              <w:t>，</w:t>
            </w:r>
            <w:r>
              <w:rPr>
                <w:rFonts w:hint="eastAsia" w:ascii="宋体" w:hAnsi="宋体" w:eastAsia="宋体" w:cs="宋体"/>
                <w:kern w:val="0"/>
                <w:sz w:val="22"/>
              </w:rPr>
              <w:t>得100%。</w:t>
            </w:r>
          </w:p>
          <w:p w14:paraId="18981097">
            <w:pPr>
              <w:spacing w:line="300" w:lineRule="exact"/>
              <w:jc w:val="left"/>
              <w:rPr>
                <w:rFonts w:hint="eastAsia" w:ascii="宋体" w:hAnsi="宋体" w:eastAsia="宋体" w:cs="宋体"/>
                <w:kern w:val="0"/>
                <w:sz w:val="22"/>
              </w:rPr>
            </w:pPr>
            <w:r>
              <w:rPr>
                <w:rFonts w:hint="eastAsia" w:ascii="宋体" w:hAnsi="宋体" w:eastAsia="宋体" w:cs="宋体"/>
                <w:kern w:val="0"/>
                <w:sz w:val="22"/>
                <w:lang w:val="en-US" w:eastAsia="zh-CN"/>
              </w:rPr>
              <w:t>2.</w:t>
            </w:r>
            <w:r>
              <w:rPr>
                <w:rFonts w:hint="eastAsia" w:ascii="宋体" w:hAnsi="宋体" w:eastAsia="宋体" w:cs="宋体"/>
                <w:kern w:val="0"/>
                <w:sz w:val="22"/>
              </w:rPr>
              <w:t>未提供承诺或承诺内容不满足要求不得分。</w:t>
            </w:r>
          </w:p>
        </w:tc>
        <w:tc>
          <w:tcPr>
            <w:tcW w:w="850" w:type="dxa"/>
            <w:tcBorders>
              <w:right w:val="single" w:color="auto" w:sz="4" w:space="0"/>
            </w:tcBorders>
            <w:vAlign w:val="center"/>
          </w:tcPr>
          <w:p w14:paraId="3E957C13">
            <w:pPr>
              <w:spacing w:line="300" w:lineRule="exact"/>
              <w:jc w:val="center"/>
              <w:rPr>
                <w:rFonts w:hint="eastAsia" w:ascii="宋体" w:hAnsi="宋体" w:eastAsia="宋体" w:cs="Times New Roman"/>
                <w:sz w:val="22"/>
              </w:rPr>
            </w:pPr>
            <w:r>
              <w:rPr>
                <w:rFonts w:ascii="宋体" w:hAnsi="宋体" w:eastAsia="宋体" w:cs="Times New Roman"/>
                <w:sz w:val="22"/>
              </w:rPr>
              <w:t>5</w:t>
            </w:r>
          </w:p>
        </w:tc>
        <w:tc>
          <w:tcPr>
            <w:tcW w:w="851" w:type="dxa"/>
            <w:tcBorders>
              <w:left w:val="single" w:color="auto" w:sz="4" w:space="0"/>
            </w:tcBorders>
            <w:vAlign w:val="center"/>
          </w:tcPr>
          <w:p w14:paraId="157F4C46">
            <w:pPr>
              <w:spacing w:line="300" w:lineRule="exact"/>
              <w:jc w:val="center"/>
              <w:rPr>
                <w:rFonts w:hint="eastAsia" w:ascii="宋体" w:hAnsi="宋体" w:eastAsia="宋体" w:cs="Times New Roman"/>
                <w:sz w:val="22"/>
              </w:rPr>
            </w:pPr>
            <w:r>
              <w:rPr>
                <w:rFonts w:ascii="宋体" w:hAnsi="宋体" w:eastAsia="宋体" w:cs="Times New Roman"/>
                <w:sz w:val="22"/>
              </w:rPr>
              <w:t>5</w:t>
            </w:r>
          </w:p>
        </w:tc>
      </w:tr>
      <w:tr w14:paraId="14E04E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vAlign w:val="center"/>
          </w:tcPr>
          <w:p w14:paraId="0C94DF19">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二</w:t>
            </w:r>
          </w:p>
        </w:tc>
        <w:tc>
          <w:tcPr>
            <w:tcW w:w="7581" w:type="dxa"/>
            <w:gridSpan w:val="4"/>
            <w:vAlign w:val="center"/>
          </w:tcPr>
          <w:p w14:paraId="56968FAD">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商务部分</w:t>
            </w:r>
            <w:r>
              <w:rPr>
                <w:rFonts w:hint="eastAsia" w:ascii="宋体" w:hAnsi="宋体" w:eastAsia="宋体" w:cs="Times New Roman"/>
                <w:b/>
                <w:sz w:val="22"/>
              </w:rPr>
              <w:t>（合计40分）</w:t>
            </w:r>
          </w:p>
        </w:tc>
      </w:tr>
      <w:tr w14:paraId="47E80E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21ACC122">
            <w:pPr>
              <w:numPr>
                <w:ilvl w:val="0"/>
                <w:numId w:val="2"/>
              </w:numPr>
              <w:spacing w:line="300" w:lineRule="exact"/>
              <w:jc w:val="center"/>
              <w:rPr>
                <w:rFonts w:hint="eastAsia" w:ascii="宋体" w:hAnsi="宋体" w:eastAsia="宋体" w:cs="Times New Roman"/>
                <w:sz w:val="22"/>
              </w:rPr>
            </w:pPr>
          </w:p>
        </w:tc>
        <w:tc>
          <w:tcPr>
            <w:tcW w:w="1202" w:type="dxa"/>
            <w:vAlign w:val="center"/>
          </w:tcPr>
          <w:p w14:paraId="06C28D5D">
            <w:pPr>
              <w:spacing w:line="300" w:lineRule="exact"/>
              <w:jc w:val="center"/>
              <w:rPr>
                <w:rFonts w:ascii="Arial" w:hAnsi="Arial" w:eastAsia="黑体" w:cs="Times New Roman"/>
                <w:b/>
                <w:bCs/>
                <w:sz w:val="22"/>
                <w:szCs w:val="32"/>
              </w:rPr>
            </w:pPr>
            <w:r>
              <w:rPr>
                <w:rFonts w:hint="eastAsia" w:ascii="宋体" w:hAnsi="宋体" w:eastAsia="宋体" w:cs="Times New Roman"/>
                <w:sz w:val="22"/>
              </w:rPr>
              <w:t>投标人经验</w:t>
            </w:r>
          </w:p>
        </w:tc>
        <w:tc>
          <w:tcPr>
            <w:tcW w:w="4678" w:type="dxa"/>
            <w:vAlign w:val="center"/>
          </w:tcPr>
          <w:p w14:paraId="03EF4CAA">
            <w:pPr>
              <w:spacing w:line="300" w:lineRule="exact"/>
              <w:jc w:val="left"/>
              <w:rPr>
                <w:rFonts w:hint="eastAsia" w:ascii="宋体" w:hAnsi="宋体" w:eastAsia="宋体" w:cs="宋体"/>
                <w:b/>
                <w:kern w:val="0"/>
                <w:sz w:val="22"/>
              </w:rPr>
            </w:pPr>
            <w:r>
              <w:rPr>
                <w:rFonts w:hint="eastAsia" w:ascii="宋体" w:hAnsi="宋体" w:eastAsia="宋体" w:cs="宋体"/>
                <w:b/>
                <w:kern w:val="0"/>
                <w:sz w:val="22"/>
              </w:rPr>
              <w:t>1</w:t>
            </w:r>
            <w:r>
              <w:rPr>
                <w:rFonts w:ascii="宋体" w:hAnsi="宋体" w:eastAsia="宋体" w:cs="宋体"/>
                <w:b/>
                <w:kern w:val="0"/>
                <w:sz w:val="22"/>
              </w:rPr>
              <w:t>.</w:t>
            </w:r>
            <w:r>
              <w:rPr>
                <w:rFonts w:hint="eastAsia" w:ascii="宋体" w:hAnsi="宋体" w:eastAsia="宋体" w:cs="宋体"/>
                <w:b/>
                <w:kern w:val="0"/>
                <w:sz w:val="22"/>
              </w:rPr>
              <w:t>评分内容：</w:t>
            </w:r>
          </w:p>
          <w:p w14:paraId="23C4F266">
            <w:pPr>
              <w:spacing w:line="300" w:lineRule="exact"/>
              <w:jc w:val="left"/>
              <w:rPr>
                <w:rFonts w:hint="eastAsia" w:ascii="宋体" w:hAnsi="宋体" w:eastAsia="宋体" w:cs="宋体"/>
                <w:kern w:val="0"/>
                <w:sz w:val="22"/>
                <w:highlight w:val="none"/>
              </w:rPr>
            </w:pPr>
            <w:r>
              <w:rPr>
                <w:rFonts w:hint="eastAsia" w:ascii="宋体" w:hAnsi="宋体" w:eastAsia="宋体" w:cs="宋体"/>
                <w:kern w:val="0"/>
                <w:sz w:val="22"/>
              </w:rPr>
              <w:t>牵头承担过</w:t>
            </w:r>
            <w:r>
              <w:rPr>
                <w:rFonts w:hint="eastAsia" w:ascii="宋体" w:hAnsi="宋体" w:eastAsia="宋体" w:cs="宋体"/>
                <w:kern w:val="0"/>
                <w:sz w:val="22"/>
                <w:highlight w:val="none"/>
              </w:rPr>
              <w:t>国家、省或市级政策研究、规划编制、制度评估、</w:t>
            </w:r>
            <w:r>
              <w:rPr>
                <w:rFonts w:hint="eastAsia" w:ascii="宋体" w:hAnsi="宋体" w:eastAsia="宋体" w:cs="宋体"/>
                <w:kern w:val="0"/>
                <w:sz w:val="22"/>
                <w:highlight w:val="none"/>
                <w:lang w:val="en-US" w:eastAsia="zh-CN"/>
              </w:rPr>
              <w:t>重大科技基础</w:t>
            </w:r>
            <w:r>
              <w:rPr>
                <w:rFonts w:hint="eastAsia" w:ascii="宋体" w:hAnsi="宋体" w:eastAsia="宋体" w:cs="宋体"/>
                <w:kern w:val="0"/>
                <w:sz w:val="22"/>
                <w:highlight w:val="none"/>
              </w:rPr>
              <w:t>设施建设</w:t>
            </w:r>
            <w:r>
              <w:rPr>
                <w:rFonts w:hint="eastAsia" w:ascii="宋体" w:hAnsi="宋体" w:eastAsia="宋体" w:cs="宋体"/>
                <w:kern w:val="0"/>
                <w:sz w:val="22"/>
                <w:highlight w:val="none"/>
                <w:lang w:val="en-US" w:eastAsia="zh-CN"/>
              </w:rPr>
              <w:t>或</w:t>
            </w:r>
            <w:r>
              <w:rPr>
                <w:rFonts w:hint="eastAsia" w:ascii="宋体" w:hAnsi="宋体" w:eastAsia="宋体" w:cs="宋体"/>
                <w:kern w:val="0"/>
                <w:sz w:val="22"/>
                <w:highlight w:val="none"/>
              </w:rPr>
              <w:t>管理等政府项目的，按国家级每项25%、省级每项20%、市级每项15%进行计分，最高得分不超过100%。</w:t>
            </w:r>
          </w:p>
          <w:p w14:paraId="7EFA7021">
            <w:pPr>
              <w:spacing w:line="300" w:lineRule="exact"/>
              <w:jc w:val="left"/>
              <w:rPr>
                <w:rFonts w:hint="eastAsia" w:ascii="宋体" w:hAnsi="宋体" w:eastAsia="宋体" w:cs="宋体"/>
                <w:b/>
                <w:kern w:val="0"/>
                <w:sz w:val="22"/>
                <w:highlight w:val="none"/>
              </w:rPr>
            </w:pPr>
            <w:r>
              <w:rPr>
                <w:rFonts w:hint="eastAsia" w:ascii="宋体" w:hAnsi="宋体" w:eastAsia="宋体" w:cs="宋体"/>
                <w:b/>
                <w:kern w:val="0"/>
                <w:sz w:val="22"/>
                <w:highlight w:val="none"/>
              </w:rPr>
              <w:t>2</w:t>
            </w:r>
            <w:r>
              <w:rPr>
                <w:rFonts w:ascii="宋体" w:hAnsi="宋体" w:eastAsia="宋体" w:cs="宋体"/>
                <w:b/>
                <w:kern w:val="0"/>
                <w:sz w:val="22"/>
                <w:highlight w:val="none"/>
              </w:rPr>
              <w:t>.</w:t>
            </w:r>
            <w:r>
              <w:rPr>
                <w:rFonts w:hint="eastAsia" w:ascii="宋体" w:hAnsi="宋体" w:eastAsia="宋体" w:cs="宋体"/>
                <w:b/>
                <w:kern w:val="0"/>
                <w:sz w:val="22"/>
                <w:highlight w:val="none"/>
              </w:rPr>
              <w:t>评分依据：</w:t>
            </w:r>
          </w:p>
          <w:p w14:paraId="155FD8B5">
            <w:pPr>
              <w:spacing w:line="300" w:lineRule="exact"/>
              <w:ind w:left="-63" w:leftChars="-30" w:right="-88" w:rightChars="-42"/>
              <w:jc w:val="left"/>
              <w:rPr>
                <w:rFonts w:hint="eastAsia" w:ascii="宋体" w:hAnsi="宋体" w:eastAsia="宋体" w:cs="宋体"/>
                <w:kern w:val="0"/>
                <w:sz w:val="22"/>
                <w:highlight w:val="none"/>
              </w:rPr>
            </w:pPr>
            <w:r>
              <w:rPr>
                <w:rFonts w:hint="eastAsia" w:ascii="宋体" w:hAnsi="宋体" w:eastAsia="宋体" w:cs="宋体"/>
                <w:kern w:val="0"/>
                <w:sz w:val="22"/>
                <w:highlight w:val="none"/>
              </w:rPr>
              <w:t>（1）要求提供中标通知书、合同关键页或其他证明文件。</w:t>
            </w:r>
          </w:p>
          <w:p w14:paraId="4462AEEA">
            <w:pPr>
              <w:spacing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highlight w:val="none"/>
              </w:rPr>
              <w:t>（2）以上资料均要求提供扫描</w:t>
            </w:r>
            <w:r>
              <w:rPr>
                <w:rFonts w:hint="eastAsia" w:ascii="宋体" w:hAnsi="宋体" w:eastAsia="宋体" w:cs="宋体"/>
                <w:kern w:val="0"/>
                <w:sz w:val="22"/>
              </w:rPr>
              <w:t>件（或官方网站截图）。评分中出现无证明资料或专家无法凭所提供资料判断是否得分的情况，一律作不得分处理。</w:t>
            </w:r>
          </w:p>
        </w:tc>
        <w:tc>
          <w:tcPr>
            <w:tcW w:w="850" w:type="dxa"/>
            <w:tcBorders>
              <w:right w:val="single" w:color="auto" w:sz="4" w:space="0"/>
            </w:tcBorders>
            <w:vAlign w:val="center"/>
          </w:tcPr>
          <w:p w14:paraId="3761155D">
            <w:pPr>
              <w:spacing w:line="300" w:lineRule="exact"/>
              <w:jc w:val="center"/>
              <w:rPr>
                <w:rFonts w:hint="eastAsia" w:ascii="宋体" w:hAnsi="宋体" w:eastAsia="宋体" w:cs="Times New Roman"/>
                <w:sz w:val="22"/>
              </w:rPr>
            </w:pPr>
            <w:r>
              <w:rPr>
                <w:rFonts w:ascii="宋体" w:hAnsi="宋体" w:eastAsia="宋体" w:cs="Times New Roman"/>
                <w:sz w:val="22"/>
              </w:rPr>
              <w:t>1</w:t>
            </w:r>
            <w:r>
              <w:rPr>
                <w:rFonts w:hint="eastAsia" w:ascii="宋体" w:hAnsi="宋体" w:eastAsia="宋体" w:cs="Times New Roman"/>
                <w:sz w:val="22"/>
              </w:rPr>
              <w:t>5</w:t>
            </w:r>
          </w:p>
        </w:tc>
        <w:tc>
          <w:tcPr>
            <w:tcW w:w="851" w:type="dxa"/>
            <w:tcBorders>
              <w:left w:val="single" w:color="auto" w:sz="4" w:space="0"/>
            </w:tcBorders>
            <w:vAlign w:val="center"/>
          </w:tcPr>
          <w:p w14:paraId="215F3674">
            <w:pPr>
              <w:spacing w:line="300" w:lineRule="exact"/>
              <w:jc w:val="center"/>
              <w:rPr>
                <w:rFonts w:hint="eastAsia" w:ascii="宋体" w:hAnsi="宋体" w:eastAsia="宋体" w:cs="Times New Roman"/>
                <w:sz w:val="22"/>
              </w:rPr>
            </w:pPr>
            <w:r>
              <w:rPr>
                <w:rFonts w:ascii="宋体" w:hAnsi="宋体" w:eastAsia="宋体" w:cs="Times New Roman"/>
                <w:sz w:val="22"/>
              </w:rPr>
              <w:t>1</w:t>
            </w:r>
            <w:r>
              <w:rPr>
                <w:rFonts w:hint="eastAsia" w:ascii="宋体" w:hAnsi="宋体" w:eastAsia="宋体" w:cs="Times New Roman"/>
                <w:sz w:val="22"/>
              </w:rPr>
              <w:t>5</w:t>
            </w:r>
          </w:p>
        </w:tc>
      </w:tr>
      <w:tr w14:paraId="5E78B9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49FEEDEF">
            <w:pPr>
              <w:numPr>
                <w:ilvl w:val="0"/>
                <w:numId w:val="2"/>
              </w:numPr>
              <w:spacing w:line="300" w:lineRule="exact"/>
              <w:jc w:val="center"/>
              <w:rPr>
                <w:rFonts w:hint="eastAsia" w:ascii="宋体" w:hAnsi="宋体" w:eastAsia="宋体" w:cs="Times New Roman"/>
                <w:sz w:val="22"/>
              </w:rPr>
            </w:pPr>
          </w:p>
        </w:tc>
        <w:tc>
          <w:tcPr>
            <w:tcW w:w="1202" w:type="dxa"/>
            <w:vAlign w:val="center"/>
          </w:tcPr>
          <w:p w14:paraId="00A5D076">
            <w:pPr>
              <w:spacing w:line="300" w:lineRule="exact"/>
              <w:jc w:val="center"/>
              <w:rPr>
                <w:rFonts w:hint="eastAsia" w:ascii="宋体" w:hAnsi="宋体" w:eastAsia="宋体" w:cs="Times New Roman"/>
                <w:sz w:val="22"/>
              </w:rPr>
            </w:pPr>
            <w:r>
              <w:rPr>
                <w:rFonts w:hint="eastAsia" w:ascii="宋体" w:hAnsi="宋体" w:eastAsia="宋体" w:cs="Times New Roman"/>
                <w:sz w:val="22"/>
              </w:rPr>
              <w:t>拟安排的项目负责人情况（仅限一人）</w:t>
            </w:r>
          </w:p>
        </w:tc>
        <w:tc>
          <w:tcPr>
            <w:tcW w:w="4678" w:type="dxa"/>
          </w:tcPr>
          <w:p w14:paraId="04416916">
            <w:pPr>
              <w:spacing w:line="300" w:lineRule="exact"/>
              <w:jc w:val="left"/>
              <w:rPr>
                <w:rFonts w:hint="eastAsia" w:ascii="宋体" w:hAnsi="宋体" w:eastAsia="宋体" w:cs="宋体"/>
                <w:b/>
                <w:kern w:val="0"/>
                <w:sz w:val="22"/>
              </w:rPr>
            </w:pPr>
            <w:r>
              <w:rPr>
                <w:rFonts w:hint="eastAsia" w:ascii="宋体" w:hAnsi="宋体" w:eastAsia="宋体" w:cs="宋体"/>
                <w:b/>
                <w:kern w:val="0"/>
                <w:sz w:val="22"/>
              </w:rPr>
              <w:t>1</w:t>
            </w:r>
            <w:r>
              <w:rPr>
                <w:rFonts w:ascii="宋体" w:hAnsi="宋体" w:eastAsia="宋体" w:cs="宋体"/>
                <w:b/>
                <w:kern w:val="0"/>
                <w:sz w:val="22"/>
              </w:rPr>
              <w:t>.</w:t>
            </w:r>
            <w:r>
              <w:rPr>
                <w:rFonts w:hint="eastAsia" w:ascii="宋体" w:hAnsi="宋体" w:eastAsia="宋体" w:cs="宋体"/>
                <w:b/>
                <w:kern w:val="0"/>
                <w:sz w:val="22"/>
              </w:rPr>
              <w:t>评分内容：</w:t>
            </w:r>
          </w:p>
          <w:p w14:paraId="26A6D0ED">
            <w:pPr>
              <w:spacing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rPr>
              <w:t>（1）项目负责人具有高级职称或博士学位，得50%，否则不得分。</w:t>
            </w:r>
          </w:p>
          <w:p w14:paraId="696A1A51">
            <w:pPr>
              <w:spacing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rPr>
              <w:t>（2）项目负责人主持或参与过国家、省或市级政策研究、规划编制、制度评估等政府项目的，每提供1个得2</w:t>
            </w:r>
            <w:r>
              <w:rPr>
                <w:rFonts w:ascii="宋体" w:hAnsi="宋体" w:eastAsia="宋体" w:cs="宋体"/>
                <w:kern w:val="0"/>
                <w:sz w:val="22"/>
              </w:rPr>
              <w:t>5</w:t>
            </w:r>
            <w:r>
              <w:rPr>
                <w:rFonts w:hint="eastAsia" w:ascii="宋体" w:hAnsi="宋体" w:eastAsia="宋体" w:cs="宋体"/>
                <w:kern w:val="0"/>
                <w:sz w:val="22"/>
              </w:rPr>
              <w:t>%，最高得分不超过50%。</w:t>
            </w:r>
          </w:p>
          <w:p w14:paraId="474BCFFA">
            <w:pPr>
              <w:spacing w:line="300" w:lineRule="exact"/>
              <w:jc w:val="left"/>
              <w:rPr>
                <w:rFonts w:hint="eastAsia" w:ascii="宋体" w:hAnsi="宋体" w:eastAsia="宋体" w:cs="宋体"/>
                <w:b/>
                <w:kern w:val="0"/>
                <w:sz w:val="22"/>
              </w:rPr>
            </w:pPr>
            <w:r>
              <w:rPr>
                <w:rFonts w:hint="eastAsia" w:ascii="宋体" w:hAnsi="宋体" w:eastAsia="宋体" w:cs="宋体"/>
                <w:b/>
                <w:kern w:val="0"/>
                <w:sz w:val="22"/>
              </w:rPr>
              <w:t>2</w:t>
            </w:r>
            <w:r>
              <w:rPr>
                <w:rFonts w:ascii="宋体" w:hAnsi="宋体" w:eastAsia="宋体" w:cs="宋体"/>
                <w:b/>
                <w:kern w:val="0"/>
                <w:sz w:val="22"/>
              </w:rPr>
              <w:t>.</w:t>
            </w:r>
            <w:r>
              <w:rPr>
                <w:rFonts w:hint="eastAsia" w:ascii="宋体" w:hAnsi="宋体" w:eastAsia="宋体" w:cs="宋体"/>
                <w:b/>
                <w:kern w:val="0"/>
                <w:sz w:val="22"/>
              </w:rPr>
              <w:t>评分依据：</w:t>
            </w:r>
          </w:p>
          <w:p w14:paraId="7D246EEC">
            <w:pPr>
              <w:spacing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rPr>
              <w:t>（1）要求提供通过投标人购买的项目负责人近三个月社保，学位或职称文件，业绩合同关键页或其他证明文件（需要体现人员信息，若无人员信息，须提供工作单位出具的证明材料）。</w:t>
            </w:r>
          </w:p>
          <w:p w14:paraId="50237D19">
            <w:pPr>
              <w:spacing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14:paraId="10AF1CAE">
            <w:pPr>
              <w:spacing w:line="300" w:lineRule="exact"/>
              <w:jc w:val="center"/>
              <w:rPr>
                <w:rFonts w:hint="eastAsia" w:ascii="宋体" w:hAnsi="宋体" w:eastAsia="宋体" w:cs="Times New Roman"/>
                <w:sz w:val="22"/>
              </w:rPr>
            </w:pPr>
            <w:r>
              <w:rPr>
                <w:rFonts w:ascii="宋体" w:hAnsi="宋体" w:eastAsia="宋体" w:cs="Times New Roman"/>
                <w:sz w:val="22"/>
              </w:rPr>
              <w:t>1</w:t>
            </w:r>
            <w:r>
              <w:rPr>
                <w:rFonts w:hint="eastAsia" w:ascii="宋体" w:hAnsi="宋体" w:eastAsia="宋体" w:cs="Times New Roman"/>
                <w:sz w:val="22"/>
              </w:rPr>
              <w:t>5</w:t>
            </w:r>
          </w:p>
        </w:tc>
        <w:tc>
          <w:tcPr>
            <w:tcW w:w="851" w:type="dxa"/>
            <w:tcBorders>
              <w:left w:val="single" w:color="auto" w:sz="4" w:space="0"/>
            </w:tcBorders>
            <w:vAlign w:val="center"/>
          </w:tcPr>
          <w:p w14:paraId="3860E650">
            <w:pPr>
              <w:spacing w:line="300" w:lineRule="exact"/>
              <w:jc w:val="center"/>
              <w:rPr>
                <w:rFonts w:hint="eastAsia" w:ascii="宋体" w:hAnsi="宋体" w:eastAsia="宋体" w:cs="Times New Roman"/>
                <w:sz w:val="22"/>
              </w:rPr>
            </w:pPr>
            <w:r>
              <w:rPr>
                <w:rFonts w:ascii="宋体" w:hAnsi="宋体" w:eastAsia="宋体" w:cs="Times New Roman"/>
                <w:sz w:val="22"/>
              </w:rPr>
              <w:t>1</w:t>
            </w:r>
            <w:r>
              <w:rPr>
                <w:rFonts w:hint="eastAsia" w:ascii="宋体" w:hAnsi="宋体" w:eastAsia="宋体" w:cs="Times New Roman"/>
                <w:sz w:val="22"/>
              </w:rPr>
              <w:t>5</w:t>
            </w:r>
          </w:p>
        </w:tc>
      </w:tr>
      <w:tr w14:paraId="076310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08E5FAFF">
            <w:pPr>
              <w:numPr>
                <w:ilvl w:val="0"/>
                <w:numId w:val="2"/>
              </w:numPr>
              <w:spacing w:line="300" w:lineRule="exact"/>
              <w:jc w:val="center"/>
              <w:rPr>
                <w:rFonts w:hint="eastAsia" w:ascii="宋体" w:hAnsi="宋体" w:eastAsia="宋体" w:cs="Times New Roman"/>
                <w:sz w:val="22"/>
              </w:rPr>
            </w:pPr>
          </w:p>
        </w:tc>
        <w:tc>
          <w:tcPr>
            <w:tcW w:w="1202" w:type="dxa"/>
            <w:vAlign w:val="center"/>
          </w:tcPr>
          <w:p w14:paraId="3F604E02">
            <w:pPr>
              <w:spacing w:line="300" w:lineRule="exact"/>
              <w:jc w:val="center"/>
              <w:rPr>
                <w:rFonts w:hint="eastAsia" w:ascii="宋体" w:hAnsi="宋体" w:eastAsia="宋体" w:cs="Times New Roman"/>
                <w:sz w:val="22"/>
              </w:rPr>
            </w:pPr>
            <w:r>
              <w:rPr>
                <w:rFonts w:hint="eastAsia" w:ascii="宋体" w:hAnsi="宋体" w:eastAsia="宋体" w:cs="Times New Roman"/>
                <w:sz w:val="22"/>
              </w:rPr>
              <w:t>拟安排的项目主要团队成员（主要技术人员）情况（项目负责人除外）</w:t>
            </w:r>
          </w:p>
        </w:tc>
        <w:tc>
          <w:tcPr>
            <w:tcW w:w="4678" w:type="dxa"/>
          </w:tcPr>
          <w:p w14:paraId="34B2883D">
            <w:pPr>
              <w:spacing w:line="300" w:lineRule="exact"/>
              <w:jc w:val="left"/>
              <w:rPr>
                <w:rFonts w:hint="eastAsia" w:ascii="宋体" w:hAnsi="宋体" w:eastAsia="宋体" w:cs="宋体"/>
                <w:b/>
                <w:kern w:val="0"/>
                <w:sz w:val="22"/>
              </w:rPr>
            </w:pPr>
            <w:r>
              <w:rPr>
                <w:rFonts w:hint="eastAsia" w:ascii="宋体" w:hAnsi="宋体" w:eastAsia="宋体" w:cs="宋体"/>
                <w:b/>
                <w:kern w:val="0"/>
                <w:sz w:val="22"/>
              </w:rPr>
              <w:t>1</w:t>
            </w:r>
            <w:r>
              <w:rPr>
                <w:rFonts w:ascii="宋体" w:hAnsi="宋体" w:eastAsia="宋体" w:cs="宋体"/>
                <w:b/>
                <w:kern w:val="0"/>
                <w:sz w:val="22"/>
              </w:rPr>
              <w:t>.</w:t>
            </w:r>
            <w:r>
              <w:rPr>
                <w:rFonts w:hint="eastAsia" w:ascii="宋体" w:hAnsi="宋体" w:eastAsia="宋体" w:cs="宋体"/>
                <w:b/>
                <w:kern w:val="0"/>
                <w:sz w:val="22"/>
              </w:rPr>
              <w:t>评分内容：</w:t>
            </w:r>
          </w:p>
          <w:p w14:paraId="7F3EF52B">
            <w:pPr>
              <w:spacing w:line="300" w:lineRule="exact"/>
              <w:jc w:val="left"/>
              <w:rPr>
                <w:rFonts w:hint="eastAsia" w:ascii="宋体" w:hAnsi="宋体" w:eastAsia="宋体" w:cs="宋体"/>
                <w:kern w:val="0"/>
                <w:sz w:val="22"/>
              </w:rPr>
            </w:pPr>
            <w:r>
              <w:rPr>
                <w:rFonts w:hint="eastAsia" w:ascii="宋体" w:hAnsi="宋体" w:eastAsia="宋体" w:cs="宋体"/>
                <w:kern w:val="0"/>
                <w:sz w:val="22"/>
              </w:rPr>
              <w:t>项目团队中每提供1位有高级职称或博士学位人员得20%，每提供1位有中级职称或硕士学位人员得10%，最高得分不超过100%。</w:t>
            </w:r>
          </w:p>
          <w:p w14:paraId="20F81EF3">
            <w:pPr>
              <w:spacing w:line="300" w:lineRule="exact"/>
              <w:jc w:val="left"/>
              <w:rPr>
                <w:rFonts w:hint="eastAsia" w:ascii="宋体" w:hAnsi="宋体" w:eastAsia="宋体" w:cs="宋体"/>
                <w:b/>
                <w:kern w:val="0"/>
                <w:sz w:val="22"/>
              </w:rPr>
            </w:pPr>
            <w:r>
              <w:rPr>
                <w:rFonts w:hint="eastAsia" w:ascii="宋体" w:hAnsi="宋体" w:eastAsia="宋体" w:cs="宋体"/>
                <w:b/>
                <w:kern w:val="0"/>
                <w:sz w:val="22"/>
              </w:rPr>
              <w:t>2</w:t>
            </w:r>
            <w:r>
              <w:rPr>
                <w:rFonts w:ascii="宋体" w:hAnsi="宋体" w:eastAsia="宋体" w:cs="宋体"/>
                <w:b/>
                <w:kern w:val="0"/>
                <w:sz w:val="22"/>
              </w:rPr>
              <w:t>.</w:t>
            </w:r>
            <w:r>
              <w:rPr>
                <w:rFonts w:hint="eastAsia" w:ascii="宋体" w:hAnsi="宋体" w:eastAsia="宋体" w:cs="宋体"/>
                <w:b/>
                <w:kern w:val="0"/>
                <w:sz w:val="22"/>
              </w:rPr>
              <w:t>评分依据：</w:t>
            </w:r>
          </w:p>
          <w:p w14:paraId="412C13DF">
            <w:pPr>
              <w:spacing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rPr>
              <w:t>（1）要求提供通过投标人购买的团队成员近三个月社保，学位或职称文件等。</w:t>
            </w:r>
          </w:p>
          <w:p w14:paraId="6ED2D7EF">
            <w:pPr>
              <w:spacing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14:paraId="692CE7E2">
            <w:pPr>
              <w:spacing w:line="300" w:lineRule="exact"/>
              <w:jc w:val="center"/>
              <w:rPr>
                <w:rFonts w:hint="eastAsia" w:ascii="宋体" w:hAnsi="宋体" w:eastAsia="宋体" w:cs="Times New Roman"/>
                <w:sz w:val="22"/>
              </w:rPr>
            </w:pPr>
            <w:r>
              <w:rPr>
                <w:rFonts w:ascii="宋体" w:hAnsi="宋体" w:eastAsia="宋体" w:cs="Times New Roman"/>
                <w:sz w:val="22"/>
              </w:rPr>
              <w:t>1</w:t>
            </w:r>
            <w:r>
              <w:rPr>
                <w:rFonts w:hint="eastAsia" w:ascii="宋体" w:hAnsi="宋体" w:eastAsia="宋体" w:cs="Times New Roman"/>
                <w:sz w:val="22"/>
              </w:rPr>
              <w:t>0</w:t>
            </w:r>
          </w:p>
        </w:tc>
        <w:tc>
          <w:tcPr>
            <w:tcW w:w="851" w:type="dxa"/>
            <w:tcBorders>
              <w:left w:val="single" w:color="auto" w:sz="4" w:space="0"/>
            </w:tcBorders>
            <w:vAlign w:val="center"/>
          </w:tcPr>
          <w:p w14:paraId="7733EBAA">
            <w:pPr>
              <w:spacing w:line="300" w:lineRule="exact"/>
              <w:jc w:val="center"/>
              <w:rPr>
                <w:rFonts w:hint="eastAsia" w:ascii="宋体" w:hAnsi="宋体" w:eastAsia="宋体" w:cs="Times New Roman"/>
                <w:sz w:val="22"/>
              </w:rPr>
            </w:pPr>
            <w:r>
              <w:rPr>
                <w:rFonts w:hint="eastAsia" w:ascii="宋体" w:hAnsi="宋体" w:eastAsia="宋体" w:cs="Times New Roman"/>
                <w:sz w:val="22"/>
              </w:rPr>
              <w:t>10</w:t>
            </w:r>
          </w:p>
        </w:tc>
      </w:tr>
      <w:tr w14:paraId="6412D6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vAlign w:val="center"/>
          </w:tcPr>
          <w:p w14:paraId="6E05076F">
            <w:pPr>
              <w:spacing w:line="300" w:lineRule="exact"/>
              <w:jc w:val="center"/>
              <w:rPr>
                <w:rFonts w:hint="eastAsia" w:ascii="宋体" w:hAnsi="宋体" w:eastAsia="宋体" w:cs="Times New Roman"/>
                <w:b/>
                <w:sz w:val="22"/>
              </w:rPr>
            </w:pPr>
            <w:r>
              <w:rPr>
                <w:rFonts w:hint="eastAsia" w:ascii="宋体" w:hAnsi="宋体" w:eastAsia="宋体" w:cs="Times New Roman"/>
                <w:b/>
                <w:sz w:val="22"/>
              </w:rPr>
              <w:t>三</w:t>
            </w:r>
          </w:p>
        </w:tc>
        <w:tc>
          <w:tcPr>
            <w:tcW w:w="7581" w:type="dxa"/>
            <w:gridSpan w:val="4"/>
            <w:vAlign w:val="center"/>
          </w:tcPr>
          <w:p w14:paraId="473C37C2">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Times New Roman"/>
                <w:b/>
                <w:sz w:val="22"/>
              </w:rPr>
              <w:t>价格部分（合计20分）</w:t>
            </w:r>
          </w:p>
        </w:tc>
      </w:tr>
      <w:tr w14:paraId="2CCAC3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1" w:hRule="atLeast"/>
        </w:trPr>
        <w:tc>
          <w:tcPr>
            <w:tcW w:w="680" w:type="dxa"/>
            <w:vAlign w:val="center"/>
          </w:tcPr>
          <w:p w14:paraId="64085CE6">
            <w:pPr>
              <w:numPr>
                <w:ilvl w:val="0"/>
                <w:numId w:val="3"/>
              </w:numPr>
              <w:spacing w:line="300" w:lineRule="exact"/>
              <w:jc w:val="center"/>
              <w:rPr>
                <w:rFonts w:hint="eastAsia" w:ascii="宋体" w:hAnsi="宋体" w:eastAsia="宋体" w:cs="Times New Roman"/>
                <w:sz w:val="22"/>
              </w:rPr>
            </w:pPr>
          </w:p>
        </w:tc>
        <w:tc>
          <w:tcPr>
            <w:tcW w:w="1202" w:type="dxa"/>
            <w:vAlign w:val="center"/>
          </w:tcPr>
          <w:p w14:paraId="2853E6DB">
            <w:pPr>
              <w:spacing w:line="300" w:lineRule="exact"/>
              <w:jc w:val="center"/>
              <w:rPr>
                <w:rFonts w:hint="eastAsia" w:ascii="宋体" w:hAnsi="宋体" w:eastAsia="宋体" w:cs="Times New Roman"/>
                <w:sz w:val="22"/>
              </w:rPr>
            </w:pPr>
            <w:r>
              <w:rPr>
                <w:rFonts w:hint="eastAsia" w:ascii="宋体" w:hAnsi="宋体" w:eastAsia="宋体" w:cs="Times New Roman"/>
                <w:sz w:val="22"/>
              </w:rPr>
              <w:t>投标报价</w:t>
            </w:r>
          </w:p>
        </w:tc>
        <w:tc>
          <w:tcPr>
            <w:tcW w:w="4678" w:type="dxa"/>
            <w:vAlign w:val="center"/>
          </w:tcPr>
          <w:p w14:paraId="2A4EFE4A">
            <w:pPr>
              <w:autoSpaceDE w:val="0"/>
              <w:autoSpaceDN w:val="0"/>
              <w:adjustRightInd w:val="0"/>
              <w:snapToGrid w:val="0"/>
              <w:spacing w:line="300" w:lineRule="exact"/>
              <w:rPr>
                <w:rFonts w:hint="eastAsia" w:ascii="宋体" w:hAnsi="宋体" w:eastAsia="宋体" w:cs="宋体"/>
                <w:kern w:val="0"/>
                <w:sz w:val="22"/>
              </w:rPr>
            </w:pPr>
            <w:r>
              <w:rPr>
                <w:rFonts w:ascii="宋体" w:hAnsi="宋体" w:eastAsia="宋体" w:cs="宋体"/>
                <w:kern w:val="0"/>
                <w:sz w:val="22"/>
              </w:rPr>
              <w:t>价格分</w:t>
            </w:r>
            <w:r>
              <w:rPr>
                <w:rFonts w:hint="eastAsia" w:ascii="宋体" w:hAnsi="宋体" w:eastAsia="宋体" w:cs="宋体"/>
                <w:kern w:val="0"/>
                <w:sz w:val="22"/>
              </w:rPr>
              <w:t>应当采用低价优先法计算，即满足招标文件要求且投标价格最低的投标报价为评标基准价，其价格分为满分。其他投标人的价格分统一按照下列公式计算：</w:t>
            </w:r>
          </w:p>
          <w:p w14:paraId="0A009D4B">
            <w:pPr>
              <w:spacing w:line="300" w:lineRule="exact"/>
              <w:jc w:val="left"/>
              <w:rPr>
                <w:rFonts w:hint="eastAsia" w:ascii="宋体" w:hAnsi="宋体" w:eastAsia="宋体" w:cs="宋体"/>
                <w:kern w:val="0"/>
                <w:sz w:val="22"/>
              </w:rPr>
            </w:pPr>
            <w:r>
              <w:rPr>
                <w:rFonts w:hint="eastAsia" w:ascii="宋体" w:hAnsi="宋体" w:eastAsia="宋体" w:cs="宋体"/>
                <w:kern w:val="0"/>
                <w:sz w:val="22"/>
              </w:rPr>
              <w:t>投标报价得分=(评标基准价／投标报价)×100×权重</w:t>
            </w:r>
          </w:p>
          <w:p w14:paraId="06236EBC">
            <w:pPr>
              <w:spacing w:line="300" w:lineRule="exact"/>
              <w:jc w:val="left"/>
              <w:rPr>
                <w:rFonts w:hint="eastAsia" w:ascii="宋体" w:hAnsi="宋体" w:eastAsia="宋体" w:cs="Times New Roman"/>
                <w:bCs/>
                <w:sz w:val="22"/>
              </w:rPr>
            </w:pPr>
            <w:r>
              <w:rPr>
                <w:rFonts w:hint="eastAsia" w:ascii="宋体" w:hAnsi="宋体" w:eastAsia="宋体" w:cs="Times New Roman"/>
                <w:bCs/>
                <w:sz w:val="22"/>
              </w:rPr>
              <w:t>备注：</w:t>
            </w:r>
          </w:p>
          <w:p w14:paraId="209D4082">
            <w:pPr>
              <w:spacing w:line="300" w:lineRule="exact"/>
              <w:jc w:val="left"/>
              <w:rPr>
                <w:rFonts w:hint="eastAsia" w:ascii="宋体" w:hAnsi="宋体" w:eastAsia="宋体" w:cs="宋体"/>
                <w:sz w:val="22"/>
              </w:rPr>
            </w:pPr>
            <w:r>
              <w:rPr>
                <w:rFonts w:hint="eastAsia" w:ascii="宋体" w:hAnsi="宋体" w:eastAsia="宋体" w:cs="Times New Roman"/>
                <w:bCs/>
                <w:sz w:val="22"/>
              </w:rPr>
              <w:t>1、因落实政府采购政策进行价格调整的，以调整后的价格计算评标基准价和投标报价</w:t>
            </w:r>
            <w:r>
              <w:rPr>
                <w:rFonts w:hint="eastAsia" w:ascii="宋体" w:hAnsi="宋体" w:eastAsia="宋体" w:cs="宋体"/>
                <w:sz w:val="22"/>
              </w:rPr>
              <w:t>,详见“价格扣除”。</w:t>
            </w:r>
          </w:p>
          <w:p w14:paraId="4517D72B">
            <w:pPr>
              <w:spacing w:line="300" w:lineRule="exact"/>
              <w:rPr>
                <w:rFonts w:hint="eastAsia" w:ascii="宋体" w:hAnsi="宋体" w:eastAsia="宋体" w:cs="Times New Roman"/>
                <w:b/>
                <w:bCs/>
                <w:sz w:val="22"/>
                <w:u w:val="double"/>
              </w:rPr>
            </w:pPr>
            <w:r>
              <w:rPr>
                <w:rFonts w:hint="eastAsia" w:ascii="宋体" w:hAnsi="宋体" w:eastAsia="宋体" w:cs="Times New Roman"/>
                <w:bCs/>
                <w:sz w:val="22"/>
              </w:rPr>
              <w:t>2、投标报价得分四舍五入后，</w:t>
            </w:r>
            <w:r>
              <w:rPr>
                <w:rFonts w:hint="eastAsia" w:ascii="宋体" w:hAnsi="宋体" w:eastAsia="宋体" w:cs="Arial"/>
                <w:sz w:val="22"/>
              </w:rPr>
              <w:t>小数点后保留两位有效数</w:t>
            </w:r>
            <w:r>
              <w:rPr>
                <w:rFonts w:hint="eastAsia" w:ascii="宋体" w:hAnsi="宋体" w:eastAsia="宋体" w:cs="Times New Roman"/>
                <w:bCs/>
                <w:sz w:val="22"/>
              </w:rPr>
              <w:t>。</w:t>
            </w:r>
          </w:p>
        </w:tc>
        <w:tc>
          <w:tcPr>
            <w:tcW w:w="850" w:type="dxa"/>
            <w:tcBorders>
              <w:right w:val="single" w:color="auto" w:sz="4" w:space="0"/>
            </w:tcBorders>
            <w:vAlign w:val="center"/>
          </w:tcPr>
          <w:p w14:paraId="09CDC4DE">
            <w:pPr>
              <w:spacing w:line="300" w:lineRule="exact"/>
              <w:ind w:left="-78" w:leftChars="-37" w:right="-73" w:rightChars="-35"/>
              <w:jc w:val="center"/>
              <w:rPr>
                <w:rFonts w:hint="eastAsia" w:ascii="宋体" w:hAnsi="宋体" w:eastAsia="宋体" w:cs="宋体"/>
                <w:sz w:val="22"/>
              </w:rPr>
            </w:pPr>
            <w:r>
              <w:rPr>
                <w:rFonts w:hint="eastAsia" w:ascii="宋体" w:hAnsi="宋体" w:eastAsia="宋体" w:cs="宋体"/>
                <w:sz w:val="22"/>
              </w:rPr>
              <w:t>20</w:t>
            </w:r>
          </w:p>
        </w:tc>
        <w:tc>
          <w:tcPr>
            <w:tcW w:w="851" w:type="dxa"/>
            <w:tcBorders>
              <w:left w:val="single" w:color="auto" w:sz="4" w:space="0"/>
            </w:tcBorders>
            <w:vAlign w:val="center"/>
          </w:tcPr>
          <w:p w14:paraId="45FE79EA">
            <w:pPr>
              <w:spacing w:line="300" w:lineRule="exact"/>
              <w:ind w:left="-78" w:leftChars="-37" w:right="-73" w:rightChars="-35"/>
              <w:jc w:val="center"/>
              <w:rPr>
                <w:rFonts w:hint="eastAsia" w:ascii="宋体" w:hAnsi="宋体" w:eastAsia="宋体" w:cs="宋体"/>
                <w:sz w:val="22"/>
              </w:rPr>
            </w:pPr>
            <w:r>
              <w:rPr>
                <w:rFonts w:hint="eastAsia" w:ascii="宋体" w:hAnsi="宋体" w:eastAsia="宋体" w:cs="Times New Roman"/>
                <w:sz w:val="22"/>
              </w:rPr>
              <w:t>20</w:t>
            </w:r>
          </w:p>
        </w:tc>
      </w:tr>
      <w:tr w14:paraId="1643F6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6560" w:type="dxa"/>
            <w:gridSpan w:val="3"/>
            <w:vAlign w:val="center"/>
          </w:tcPr>
          <w:p w14:paraId="1CDB75AE">
            <w:pPr>
              <w:spacing w:line="300" w:lineRule="exact"/>
              <w:ind w:left="-78" w:leftChars="-37" w:right="-73" w:rightChars="-35"/>
              <w:jc w:val="center"/>
              <w:rPr>
                <w:rFonts w:hint="eastAsia" w:ascii="宋体" w:hAnsi="宋体" w:eastAsia="宋体" w:cs="宋体"/>
                <w:b/>
                <w:bCs/>
                <w:sz w:val="22"/>
              </w:rPr>
            </w:pPr>
            <w:r>
              <w:rPr>
                <w:rFonts w:hint="eastAsia" w:ascii="宋体" w:hAnsi="宋体" w:eastAsia="宋体" w:cs="Times New Roman"/>
                <w:b/>
                <w:bCs/>
                <w:sz w:val="22"/>
              </w:rPr>
              <w:t>总计</w:t>
            </w:r>
          </w:p>
        </w:tc>
        <w:tc>
          <w:tcPr>
            <w:tcW w:w="850" w:type="dxa"/>
            <w:tcBorders>
              <w:right w:val="single" w:color="auto" w:sz="4" w:space="0"/>
            </w:tcBorders>
            <w:vAlign w:val="center"/>
          </w:tcPr>
          <w:p w14:paraId="7C1CADE6">
            <w:pPr>
              <w:spacing w:line="300" w:lineRule="exact"/>
              <w:ind w:left="-78" w:leftChars="-37" w:right="-73" w:rightChars="-35"/>
              <w:jc w:val="center"/>
              <w:rPr>
                <w:rFonts w:hint="eastAsia" w:ascii="宋体" w:hAnsi="宋体" w:eastAsia="宋体" w:cs="宋体"/>
                <w:b/>
                <w:bCs/>
                <w:sz w:val="22"/>
              </w:rPr>
            </w:pPr>
            <w:r>
              <w:rPr>
                <w:rFonts w:hint="eastAsia" w:ascii="宋体" w:hAnsi="宋体" w:eastAsia="宋体" w:cs="宋体"/>
                <w:b/>
                <w:bCs/>
                <w:sz w:val="22"/>
              </w:rPr>
              <w:t>100</w:t>
            </w:r>
          </w:p>
        </w:tc>
        <w:tc>
          <w:tcPr>
            <w:tcW w:w="851" w:type="dxa"/>
            <w:tcBorders>
              <w:left w:val="single" w:color="auto" w:sz="4" w:space="0"/>
            </w:tcBorders>
            <w:vAlign w:val="center"/>
          </w:tcPr>
          <w:p w14:paraId="14EF7E87">
            <w:pPr>
              <w:spacing w:line="300" w:lineRule="exact"/>
              <w:ind w:left="-78" w:leftChars="-37" w:right="-73" w:rightChars="-35"/>
              <w:jc w:val="center"/>
              <w:rPr>
                <w:rFonts w:hint="eastAsia" w:ascii="宋体" w:hAnsi="宋体" w:eastAsia="宋体" w:cs="宋体"/>
                <w:b/>
                <w:bCs/>
                <w:sz w:val="22"/>
              </w:rPr>
            </w:pPr>
            <w:r>
              <w:rPr>
                <w:rFonts w:hint="eastAsia" w:ascii="宋体" w:hAnsi="宋体" w:eastAsia="宋体" w:cs="宋体"/>
                <w:b/>
                <w:bCs/>
                <w:sz w:val="22"/>
              </w:rPr>
              <w:t>100</w:t>
            </w:r>
          </w:p>
        </w:tc>
      </w:tr>
    </w:tbl>
    <w:p w14:paraId="7D90F86C">
      <w:pPr>
        <w:spacing w:line="300" w:lineRule="exact"/>
        <w:rPr>
          <w:rFonts w:hint="eastAsia" w:ascii="宋体" w:hAnsi="宋体" w:eastAsia="宋体" w:cs="宋体"/>
          <w:kern w:val="0"/>
          <w:sz w:val="24"/>
        </w:rPr>
      </w:pPr>
      <w:r>
        <w:rPr>
          <w:rFonts w:hint="eastAsia" w:ascii="宋体" w:hAnsi="宋体" w:eastAsia="宋体" w:cs="Times New Roman"/>
          <w:b/>
          <w:sz w:val="24"/>
        </w:rPr>
        <w:t>备注：</w:t>
      </w:r>
      <w:r>
        <w:rPr>
          <w:rFonts w:hint="eastAsia" w:ascii="宋体" w:hAnsi="宋体" w:eastAsia="宋体" w:cs="宋体"/>
          <w:kern w:val="0"/>
          <w:sz w:val="24"/>
        </w:rPr>
        <w:t>1.评标信息内评分方法的说明：</w:t>
      </w:r>
    </w:p>
    <w:p w14:paraId="2B86ACCB">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（1）权重：按百分比进行设置。</w:t>
      </w:r>
    </w:p>
    <w:p w14:paraId="039D8965">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（2）评分准则：按照评标系统设置要求，每项“评分准则”皆按百分制打分。</w:t>
      </w:r>
    </w:p>
    <w:p w14:paraId="22F4843D">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（3）每项“评分因素”的得分=对应“评分准则”的分值×对应权重%。</w:t>
      </w:r>
    </w:p>
    <w:p w14:paraId="07CC60FF">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2</w:t>
      </w:r>
      <w:r>
        <w:rPr>
          <w:rFonts w:ascii="宋体" w:hAnsi="宋体" w:eastAsia="宋体" w:cs="宋体"/>
          <w:kern w:val="0"/>
          <w:sz w:val="24"/>
        </w:rPr>
        <w:t>.</w:t>
      </w:r>
      <w:r>
        <w:rPr>
          <w:rFonts w:hint="eastAsia" w:ascii="宋体" w:hAnsi="宋体" w:eastAsia="宋体" w:cs="宋体"/>
          <w:kern w:val="0"/>
          <w:sz w:val="24"/>
        </w:rPr>
        <w:t>价格扣除</w:t>
      </w:r>
    </w:p>
    <w:p w14:paraId="6053529A">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（1）根据财政部、工业和信息化部印发的《政府采购促进中小企业发展管理办法》（财库〔2020〕46号）的规定，对小型和微型企业产品的价格给予</w:t>
      </w:r>
      <w:r>
        <w:rPr>
          <w:rFonts w:ascii="宋体" w:hAnsi="宋体" w:eastAsia="宋体" w:cs="宋体"/>
          <w:kern w:val="0"/>
          <w:sz w:val="24"/>
        </w:rPr>
        <w:t>6%</w:t>
      </w:r>
      <w:r>
        <w:rPr>
          <w:rFonts w:hint="eastAsia" w:ascii="宋体" w:hAnsi="宋体" w:eastAsia="宋体" w:cs="宋体"/>
          <w:kern w:val="0"/>
          <w:sz w:val="24"/>
        </w:rPr>
        <w:t>的扣除，用扣除后的价格参与评审。</w:t>
      </w:r>
    </w:p>
    <w:p w14:paraId="6782184B">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（2）组成联合体（如允许）或者接受分包的小微企业与联合体内其他企业、分包企业之间存在直接控股、管理关系的，不享受价格扣除优惠政策。</w:t>
      </w:r>
    </w:p>
    <w:p w14:paraId="27708C97">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（3）监狱企业产品价格扣除：监狱企业视同小微企业，按上述第（1）、（2）条款享受评审中价格扣除。</w:t>
      </w:r>
    </w:p>
    <w:p w14:paraId="5F66A551">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（4）残疾人福利性单位产品价格扣除：残疾人福利性单位视同小微企业，按上述第（1）、（2）条款享受评审中价格扣除。</w:t>
      </w:r>
    </w:p>
    <w:p w14:paraId="4CCEC340">
      <w:pPr>
        <w:spacing w:line="300" w:lineRule="exact"/>
        <w:ind w:firstLine="600" w:firstLineChars="250"/>
        <w:rPr>
          <w:rFonts w:hint="eastAsia" w:ascii="宋体" w:hAnsi="宋体" w:eastAsia="宋体" w:cs="宋体"/>
          <w:kern w:val="0"/>
          <w:sz w:val="24"/>
        </w:rPr>
      </w:pPr>
    </w:p>
    <w:p w14:paraId="014EBB86">
      <w:pPr>
        <w:adjustRightInd w:val="0"/>
        <w:snapToGrid w:val="0"/>
        <w:spacing w:line="480" w:lineRule="exact"/>
        <w:ind w:firstLine="640" w:firstLineChars="200"/>
        <w:rPr>
          <w:rFonts w:hint="eastAsia" w:ascii="仿宋_GB2312" w:hAnsi="宋体" w:eastAsia="仿宋_GB2312" w:cs="仿宋_GB2312"/>
          <w:sz w:val="32"/>
        </w:rPr>
      </w:pPr>
      <w:r>
        <w:rPr>
          <w:rFonts w:hint="eastAsia" w:ascii="仿宋_GB2312" w:hAnsi="宋体" w:eastAsia="仿宋_GB2312" w:cs="仿宋_GB2312"/>
          <w:sz w:val="32"/>
        </w:rPr>
        <w:t>附件：投标及履约承诺函</w:t>
      </w:r>
    </w:p>
    <w:p w14:paraId="6AB169F5">
      <w:pPr>
        <w:jc w:val="left"/>
        <w:rPr>
          <w:rFonts w:hint="eastAsia" w:ascii="仿宋" w:hAnsi="仿宋" w:eastAsia="仿宋" w:cs="仿宋_GB2312"/>
          <w:sz w:val="32"/>
          <w:szCs w:val="32"/>
        </w:rPr>
      </w:pPr>
      <w:r>
        <w:rPr>
          <w:rFonts w:ascii="仿宋" w:hAnsi="仿宋" w:eastAsia="仿宋" w:cs="仿宋_GB2312"/>
          <w:sz w:val="32"/>
          <w:szCs w:val="32"/>
        </w:rPr>
        <w:br w:type="page"/>
      </w:r>
    </w:p>
    <w:p w14:paraId="782647E6">
      <w:pPr>
        <w:adjustRightInd w:val="0"/>
        <w:snapToGrid w:val="0"/>
        <w:spacing w:line="480" w:lineRule="exact"/>
        <w:jc w:val="left"/>
        <w:rPr>
          <w:rFonts w:hint="eastAsia" w:ascii="黑体" w:hAnsi="黑体" w:eastAsia="黑体" w:cs="黑体"/>
          <w:sz w:val="32"/>
        </w:rPr>
      </w:pPr>
      <w:r>
        <w:rPr>
          <w:rFonts w:hint="eastAsia" w:ascii="黑体" w:hAnsi="黑体" w:eastAsia="黑体" w:cs="黑体"/>
          <w:sz w:val="32"/>
        </w:rPr>
        <w:t>附件</w:t>
      </w:r>
    </w:p>
    <w:p w14:paraId="5A95B48E">
      <w:pPr>
        <w:adjustRightInd w:val="0"/>
        <w:snapToGrid w:val="0"/>
        <w:jc w:val="center"/>
        <w:rPr>
          <w:rFonts w:hint="eastAsia" w:ascii="宋体" w:hAnsi="宋体" w:eastAsia="宋体" w:cs="宋体"/>
          <w:b/>
          <w:bCs/>
          <w:sz w:val="44"/>
          <w:szCs w:val="44"/>
        </w:rPr>
      </w:pPr>
    </w:p>
    <w:p w14:paraId="7A1516AE">
      <w:pPr>
        <w:adjustRightInd w:val="0"/>
        <w:snapToGrid w:val="0"/>
        <w:jc w:val="center"/>
        <w:rPr>
          <w:rFonts w:hint="eastAsia" w:ascii="宋体" w:hAnsi="宋体" w:eastAsia="宋体" w:cs="宋体"/>
          <w:b/>
          <w:bCs/>
          <w:sz w:val="44"/>
          <w:szCs w:val="44"/>
        </w:rPr>
      </w:pPr>
      <w:r>
        <w:rPr>
          <w:rFonts w:hint="eastAsia" w:ascii="宋体" w:hAnsi="宋体" w:eastAsia="宋体" w:cs="宋体"/>
          <w:b/>
          <w:bCs/>
          <w:sz w:val="44"/>
          <w:szCs w:val="44"/>
        </w:rPr>
        <w:t>投标及履约承诺函</w:t>
      </w:r>
    </w:p>
    <w:p w14:paraId="0CB7235C">
      <w:pPr>
        <w:adjustRightInd w:val="0"/>
        <w:snapToGrid w:val="0"/>
        <w:jc w:val="center"/>
        <w:rPr>
          <w:rFonts w:hint="eastAsia" w:ascii="宋体" w:hAnsi="宋体" w:eastAsia="宋体" w:cs="宋体"/>
          <w:b/>
          <w:bCs/>
          <w:sz w:val="44"/>
          <w:szCs w:val="44"/>
        </w:rPr>
      </w:pPr>
    </w:p>
    <w:p w14:paraId="64525FCD">
      <w:pPr>
        <w:adjustRightInd w:val="0"/>
        <w:snapToGrid w:val="0"/>
        <w:spacing w:line="480" w:lineRule="exact"/>
        <w:ind w:firstLine="640" w:firstLineChars="200"/>
        <w:rPr>
          <w:rFonts w:hint="eastAsia" w:ascii="仿宋_GB2312" w:hAnsi="宋体" w:eastAsia="仿宋_GB2312" w:cs="Times New Roman"/>
          <w:sz w:val="32"/>
        </w:rPr>
      </w:pPr>
      <w:r>
        <w:rPr>
          <w:rFonts w:hint="eastAsia" w:ascii="仿宋_GB2312" w:hAnsi="宋体" w:eastAsia="仿宋_GB2312" w:cs="仿宋_GB2312"/>
          <w:sz w:val="32"/>
        </w:rPr>
        <w:t>我单位承诺：</w:t>
      </w:r>
    </w:p>
    <w:p w14:paraId="08C1B1FA">
      <w:pPr>
        <w:adjustRightInd w:val="0"/>
        <w:snapToGrid w:val="0"/>
        <w:spacing w:line="480" w:lineRule="exact"/>
        <w:ind w:firstLine="640" w:firstLineChars="200"/>
        <w:rPr>
          <w:rFonts w:hint="eastAsia" w:ascii="仿宋_GB2312" w:hAnsi="宋体" w:eastAsia="仿宋_GB2312" w:cs="Times New Roman"/>
          <w:sz w:val="32"/>
        </w:rPr>
      </w:pPr>
      <w:r>
        <w:rPr>
          <w:rFonts w:hint="eastAsia" w:ascii="仿宋_GB2312" w:hAnsi="宋体" w:eastAsia="仿宋_GB2312" w:cs="仿宋_GB2312"/>
          <w:sz w:val="32"/>
        </w:rPr>
        <w:t>1.依法缴纳税收和社会保障资金。具备项目所必需的人员和专业技术能力。参加政府采购活动前三年内在经营活动中没有重大违法记录。</w:t>
      </w:r>
    </w:p>
    <w:p w14:paraId="7191F72E">
      <w:pPr>
        <w:adjustRightInd w:val="0"/>
        <w:snapToGrid w:val="0"/>
        <w:spacing w:line="480" w:lineRule="exact"/>
        <w:ind w:firstLine="640" w:firstLineChars="200"/>
        <w:rPr>
          <w:rFonts w:hint="eastAsia" w:ascii="仿宋_GB2312" w:hAnsi="宋体" w:eastAsia="仿宋_GB2312" w:cs="Times New Roman"/>
          <w:sz w:val="32"/>
        </w:rPr>
      </w:pPr>
      <w:r>
        <w:rPr>
          <w:rFonts w:hint="eastAsia" w:ascii="仿宋_GB2312" w:hAnsi="宋体" w:eastAsia="仿宋_GB2312" w:cs="仿宋_GB2312"/>
          <w:sz w:val="32"/>
        </w:rPr>
        <w:t>2.对本招标项目所提供的服务未侵犯知识产权。</w:t>
      </w:r>
    </w:p>
    <w:p w14:paraId="2290D51A">
      <w:pPr>
        <w:adjustRightInd w:val="0"/>
        <w:snapToGrid w:val="0"/>
        <w:spacing w:line="480" w:lineRule="exact"/>
        <w:ind w:firstLine="640" w:firstLineChars="200"/>
        <w:rPr>
          <w:rFonts w:hint="eastAsia" w:ascii="仿宋_GB2312" w:hAnsi="宋体" w:eastAsia="仿宋_GB2312" w:cs="Times New Roman"/>
          <w:sz w:val="32"/>
        </w:rPr>
      </w:pPr>
      <w:r>
        <w:rPr>
          <w:rFonts w:hint="eastAsia" w:ascii="仿宋_GB2312" w:hAnsi="宋体" w:eastAsia="仿宋_GB2312" w:cs="仿宋_GB2312"/>
          <w:sz w:val="32"/>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14:paraId="58811499">
      <w:pPr>
        <w:adjustRightInd w:val="0"/>
        <w:snapToGrid w:val="0"/>
        <w:spacing w:line="480" w:lineRule="exact"/>
        <w:ind w:firstLine="640" w:firstLineChars="200"/>
        <w:rPr>
          <w:rFonts w:hint="eastAsia" w:ascii="仿宋_GB2312" w:hAnsi="宋体" w:eastAsia="仿宋_GB2312" w:cs="Times New Roman"/>
          <w:sz w:val="32"/>
        </w:rPr>
      </w:pPr>
      <w:r>
        <w:rPr>
          <w:rFonts w:ascii="仿宋_GB2312" w:hAnsi="宋体" w:eastAsia="仿宋_GB2312" w:cs="仿宋_GB2312"/>
          <w:sz w:val="32"/>
        </w:rPr>
        <w:t>4</w:t>
      </w:r>
      <w:r>
        <w:rPr>
          <w:rFonts w:hint="eastAsia" w:ascii="仿宋_GB2312" w:hAnsi="宋体" w:eastAsia="仿宋_GB2312" w:cs="仿宋_GB2312"/>
          <w:sz w:val="32"/>
        </w:rPr>
        <w:t>.如果中标，做到守信，不偷工减料，依照本项目招标文件需求内容、签署的采购合同及在投标中所作的一切承诺履约。项目验收达到全部指标合格，力争优良。</w:t>
      </w:r>
    </w:p>
    <w:p w14:paraId="6927B379">
      <w:pPr>
        <w:adjustRightInd w:val="0"/>
        <w:snapToGrid w:val="0"/>
        <w:spacing w:line="480" w:lineRule="exact"/>
        <w:ind w:firstLine="640" w:firstLineChars="200"/>
        <w:rPr>
          <w:rFonts w:hint="eastAsia" w:ascii="仿宋_GB2312" w:hAnsi="宋体" w:eastAsia="仿宋_GB2312" w:cs="Times New Roman"/>
          <w:sz w:val="32"/>
        </w:rPr>
      </w:pPr>
      <w:r>
        <w:rPr>
          <w:rFonts w:ascii="仿宋_GB2312" w:hAnsi="宋体" w:eastAsia="仿宋_GB2312" w:cs="仿宋_GB2312"/>
          <w:sz w:val="32"/>
        </w:rPr>
        <w:t>5</w:t>
      </w:r>
      <w:r>
        <w:rPr>
          <w:rFonts w:hint="eastAsia" w:ascii="仿宋_GB2312" w:hAnsi="宋体" w:eastAsia="仿宋_GB2312" w:cs="仿宋_GB2312"/>
          <w:sz w:val="32"/>
        </w:rPr>
        <w:t>.我单位已认真阅读本项目需求，我单位承诺按时递交标书。</w:t>
      </w:r>
    </w:p>
    <w:p w14:paraId="1DFDAB0E">
      <w:pPr>
        <w:adjustRightInd w:val="0"/>
        <w:snapToGrid w:val="0"/>
        <w:spacing w:line="480" w:lineRule="exact"/>
        <w:ind w:firstLine="640" w:firstLineChars="200"/>
        <w:rPr>
          <w:rFonts w:hint="eastAsia" w:ascii="仿宋_GB2312" w:hAnsi="宋体" w:eastAsia="仿宋_GB2312" w:cs="Times New Roman"/>
          <w:sz w:val="32"/>
        </w:rPr>
      </w:pPr>
      <w:r>
        <w:rPr>
          <w:rFonts w:ascii="仿宋_GB2312" w:hAnsi="宋体" w:eastAsia="仿宋_GB2312" w:cs="仿宋_GB2312"/>
          <w:sz w:val="32"/>
        </w:rPr>
        <w:t>6</w:t>
      </w:r>
      <w:r>
        <w:rPr>
          <w:rFonts w:hint="eastAsia" w:ascii="仿宋_GB2312" w:hAnsi="宋体" w:eastAsia="仿宋_GB2312" w:cs="仿宋_GB2312"/>
          <w:sz w:val="32"/>
        </w:rPr>
        <w:t>.我单位承诺不非法转包或分包。</w:t>
      </w:r>
    </w:p>
    <w:p w14:paraId="6E592134">
      <w:pPr>
        <w:adjustRightInd w:val="0"/>
        <w:snapToGrid w:val="0"/>
        <w:spacing w:line="480" w:lineRule="exact"/>
        <w:ind w:firstLine="640" w:firstLineChars="200"/>
        <w:rPr>
          <w:rFonts w:hint="eastAsia" w:ascii="仿宋_GB2312" w:hAnsi="宋体" w:eastAsia="仿宋_GB2312" w:cs="Times New Roman"/>
          <w:sz w:val="32"/>
        </w:rPr>
      </w:pPr>
      <w:r>
        <w:rPr>
          <w:rFonts w:hint="eastAsia" w:ascii="仿宋_GB2312" w:hAnsi="宋体" w:eastAsia="仿宋_GB2312" w:cs="仿宋_GB2312"/>
          <w:sz w:val="32"/>
        </w:rPr>
        <w:t>以上承诺，如有违反，愿依照国家相关法律处理，并承担由此给采购人带来的损失。</w:t>
      </w:r>
    </w:p>
    <w:p w14:paraId="7A3BEC47">
      <w:pPr>
        <w:adjustRightInd w:val="0"/>
        <w:snapToGrid w:val="0"/>
        <w:spacing w:line="480" w:lineRule="exact"/>
        <w:ind w:firstLine="640" w:firstLineChars="200"/>
        <w:rPr>
          <w:rFonts w:hint="eastAsia" w:ascii="仿宋_GB2312" w:hAnsi="宋体" w:eastAsia="仿宋_GB2312" w:cs="Times New Roman"/>
          <w:sz w:val="32"/>
        </w:rPr>
      </w:pPr>
    </w:p>
    <w:p w14:paraId="7FD0E829">
      <w:pPr>
        <w:adjustRightInd w:val="0"/>
        <w:snapToGrid w:val="0"/>
        <w:spacing w:line="480" w:lineRule="exact"/>
        <w:ind w:firstLine="640" w:firstLineChars="200"/>
        <w:rPr>
          <w:rFonts w:hint="eastAsia" w:ascii="仿宋_GB2312" w:hAnsi="宋体" w:eastAsia="仿宋_GB2312" w:cs="Times New Roman"/>
          <w:sz w:val="32"/>
          <w:u w:val="single"/>
        </w:rPr>
      </w:pPr>
      <w:r>
        <w:rPr>
          <w:rFonts w:hint="eastAsia" w:ascii="仿宋_GB2312" w:hAnsi="宋体" w:eastAsia="仿宋_GB2312" w:cs="仿宋_GB2312"/>
          <w:sz w:val="32"/>
        </w:rPr>
        <w:t xml:space="preserve">承诺投标人： </w:t>
      </w:r>
    </w:p>
    <w:p w14:paraId="00546FC2">
      <w:pPr>
        <w:adjustRightInd w:val="0"/>
        <w:snapToGrid w:val="0"/>
        <w:spacing w:line="480" w:lineRule="exact"/>
        <w:ind w:firstLine="640" w:firstLineChars="200"/>
        <w:rPr>
          <w:rFonts w:hint="eastAsia" w:ascii="仿宋_GB2312" w:hAnsi="宋体" w:eastAsia="仿宋_GB2312" w:cs="Times New Roman"/>
          <w:sz w:val="32"/>
        </w:rPr>
      </w:pPr>
      <w:r>
        <w:rPr>
          <w:rFonts w:hint="eastAsia" w:ascii="仿宋_GB2312" w:hAnsi="宋体" w:eastAsia="仿宋_GB2312" w:cs="仿宋_GB2312"/>
          <w:sz w:val="32"/>
        </w:rPr>
        <w:t>单位地址：</w:t>
      </w:r>
    </w:p>
    <w:p w14:paraId="6CF2655A">
      <w:pPr>
        <w:adjustRightInd w:val="0"/>
        <w:snapToGrid w:val="0"/>
        <w:spacing w:line="480" w:lineRule="exact"/>
        <w:ind w:firstLine="640" w:firstLineChars="200"/>
        <w:rPr>
          <w:rFonts w:hint="eastAsia" w:ascii="仿宋_GB2312" w:hAnsi="宋体" w:eastAsia="仿宋_GB2312" w:cs="Times New Roman"/>
          <w:sz w:val="32"/>
          <w:u w:val="single"/>
        </w:rPr>
      </w:pPr>
      <w:r>
        <w:rPr>
          <w:rFonts w:hint="eastAsia" w:ascii="仿宋_GB2312" w:hAnsi="宋体" w:eastAsia="仿宋_GB2312" w:cs="仿宋_GB2312"/>
          <w:sz w:val="32"/>
        </w:rPr>
        <w:t>法定代表人或其委托代理人：</w:t>
      </w:r>
    </w:p>
    <w:p w14:paraId="199FE0F0">
      <w:pPr>
        <w:adjustRightInd w:val="0"/>
        <w:snapToGrid w:val="0"/>
        <w:spacing w:line="480" w:lineRule="exact"/>
        <w:ind w:firstLine="640" w:firstLineChars="200"/>
        <w:rPr>
          <w:rFonts w:hint="eastAsia" w:ascii="仿宋_GB2312" w:hAnsi="宋体" w:eastAsia="仿宋_GB2312" w:cs="Times New Roman"/>
          <w:sz w:val="32"/>
          <w:u w:val="single"/>
        </w:rPr>
      </w:pPr>
      <w:r>
        <w:rPr>
          <w:rFonts w:hint="eastAsia" w:ascii="仿宋_GB2312" w:hAnsi="宋体" w:eastAsia="仿宋_GB2312" w:cs="仿宋_GB2312"/>
          <w:sz w:val="32"/>
        </w:rPr>
        <w:t>联系电话：</w:t>
      </w:r>
    </w:p>
    <w:p w14:paraId="6502F504">
      <w:pPr>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Times New Roman" w:eastAsia="仿宋_GB2312" w:cs="仿宋_GB2312"/>
          <w:sz w:val="32"/>
        </w:rPr>
        <w:t xml:space="preserve">日期：   年   月   日  </w:t>
      </w:r>
      <w:r>
        <w:rPr>
          <w:rFonts w:ascii="Times New Roman" w:hAnsi="Times New Roman" w:eastAsia="仿宋_GB2312" w:cs="Times New Roman"/>
          <w:sz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F41E8C"/>
    <w:multiLevelType w:val="multilevel"/>
    <w:tmpl w:val="47F41E8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C2D25F0"/>
    <w:multiLevelType w:val="multilevel"/>
    <w:tmpl w:val="7C2D25F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1924"/>
    <w:rsid w:val="000268C4"/>
    <w:rsid w:val="00121B56"/>
    <w:rsid w:val="001D4560"/>
    <w:rsid w:val="006E1EC2"/>
    <w:rsid w:val="03A91924"/>
    <w:rsid w:val="096B2F7E"/>
    <w:rsid w:val="1DBEB6E5"/>
    <w:rsid w:val="35F80B33"/>
    <w:rsid w:val="3A9A5D7A"/>
    <w:rsid w:val="3FE7C22F"/>
    <w:rsid w:val="53187E45"/>
    <w:rsid w:val="5FE16D87"/>
    <w:rsid w:val="68A2033A"/>
    <w:rsid w:val="70AC4C3D"/>
    <w:rsid w:val="77FFE64D"/>
    <w:rsid w:val="8E3B97E7"/>
    <w:rsid w:val="D33F5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3947</Words>
  <Characters>4096</Characters>
  <Lines>186</Lines>
  <Paragraphs>183</Paragraphs>
  <TotalTime>14</TotalTime>
  <ScaleCrop>false</ScaleCrop>
  <LinksUpToDate>false</LinksUpToDate>
  <CharactersWithSpaces>4110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2025-12-03T06:17:00Z</dcterms:created>
  <dc:creator>wps 会员</dc:creator>
  <cp:lastModifiedBy>丘晓坡</cp:lastModifiedBy>
  <dcterms:modified xsi:type="dcterms:W3CDTF">2025-12-09T09:20:40Z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CA42508172844E61A885D8A5516E75E9_13</vt:lpwstr>
  </property>
  <property fmtid="{D5CDD505-2E9C-101B-9397-08002B2CF9AE}" pid="4" name="KSOTemplateDocerSaveRecord">
    <vt:lpwstr>eyJoZGlkIjoiN2YzNjBkOTgyNWQ1YTMxYzM3MzMwNWFiODNmOWIzYWMiLCJ1c2VySWQiOiI2MzIzMzYyNDgifQ==</vt:lpwstr>
  </property>
</Properties>
</file>