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1FC74">
      <w:pPr>
        <w:adjustRightInd w:val="0"/>
        <w:snapToGrid w:val="0"/>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深圳市推动人工智能赋能教育发展</w:t>
      </w:r>
    </w:p>
    <w:p w14:paraId="48E562FB">
      <w:pPr>
        <w:adjustRightInd w:val="0"/>
        <w:snapToGrid w:val="0"/>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项目谋划预研</w:t>
      </w:r>
    </w:p>
    <w:p w14:paraId="33817BFA">
      <w:pPr>
        <w:spacing w:line="360" w:lineRule="auto"/>
        <w:ind w:left="420" w:leftChars="200"/>
        <w:jc w:val="center"/>
        <w:rPr>
          <w:rFonts w:ascii="宋体" w:hAnsi="宋体" w:cs="Arial"/>
          <w:b/>
          <w:bCs/>
          <w:sz w:val="44"/>
          <w:szCs w:val="44"/>
        </w:rPr>
      </w:pPr>
    </w:p>
    <w:p w14:paraId="637CDD50">
      <w:pPr>
        <w:spacing w:line="360" w:lineRule="auto"/>
        <w:ind w:left="420" w:leftChars="200"/>
        <w:jc w:val="center"/>
        <w:rPr>
          <w:rFonts w:ascii="黑体" w:hAnsi="宋体" w:eastAsia="黑体"/>
          <w:b/>
          <w:bCs/>
          <w:sz w:val="32"/>
          <w:szCs w:val="32"/>
        </w:rPr>
      </w:pPr>
    </w:p>
    <w:p w14:paraId="0BE18B77">
      <w:pPr>
        <w:spacing w:line="360" w:lineRule="auto"/>
        <w:ind w:left="420" w:leftChars="200"/>
        <w:jc w:val="center"/>
        <w:rPr>
          <w:rFonts w:ascii="黑体" w:hAnsi="宋体" w:eastAsia="黑体"/>
          <w:b/>
          <w:bCs/>
          <w:sz w:val="32"/>
          <w:szCs w:val="32"/>
        </w:rPr>
      </w:pPr>
    </w:p>
    <w:p w14:paraId="5AD3CEF2">
      <w:pPr>
        <w:spacing w:line="360" w:lineRule="auto"/>
        <w:jc w:val="center"/>
        <w:rPr>
          <w:rFonts w:ascii="黑体" w:hAnsi="宋体" w:eastAsia="黑体"/>
          <w:b/>
          <w:bCs/>
          <w:sz w:val="72"/>
          <w:szCs w:val="72"/>
        </w:rPr>
      </w:pPr>
      <w:r>
        <w:rPr>
          <w:rFonts w:hint="eastAsia" w:ascii="黑体" w:hAnsi="黑体" w:eastAsia="黑体"/>
          <w:b/>
          <w:bCs/>
          <w:sz w:val="72"/>
          <w:szCs w:val="72"/>
        </w:rPr>
        <w:t>招</w:t>
      </w:r>
    </w:p>
    <w:p w14:paraId="46254425">
      <w:pPr>
        <w:spacing w:line="360" w:lineRule="auto"/>
        <w:jc w:val="center"/>
        <w:rPr>
          <w:rFonts w:ascii="黑体" w:hAnsi="宋体" w:eastAsia="黑体"/>
          <w:b/>
          <w:bCs/>
          <w:sz w:val="72"/>
          <w:szCs w:val="72"/>
        </w:rPr>
      </w:pPr>
    </w:p>
    <w:p w14:paraId="769DE3A4">
      <w:pPr>
        <w:spacing w:line="360" w:lineRule="auto"/>
        <w:jc w:val="center"/>
        <w:rPr>
          <w:rFonts w:ascii="黑体" w:hAnsi="宋体" w:eastAsia="黑体"/>
          <w:b/>
          <w:bCs/>
          <w:sz w:val="72"/>
          <w:szCs w:val="72"/>
        </w:rPr>
      </w:pPr>
      <w:r>
        <w:rPr>
          <w:rFonts w:hint="eastAsia" w:ascii="黑体" w:hAnsi="黑体" w:eastAsia="黑体"/>
          <w:b/>
          <w:bCs/>
          <w:sz w:val="72"/>
          <w:szCs w:val="72"/>
        </w:rPr>
        <w:t>标</w:t>
      </w:r>
    </w:p>
    <w:p w14:paraId="3FF64F72">
      <w:pPr>
        <w:spacing w:line="360" w:lineRule="auto"/>
        <w:jc w:val="center"/>
        <w:rPr>
          <w:rFonts w:ascii="黑体" w:hAnsi="宋体" w:eastAsia="黑体"/>
          <w:b/>
          <w:bCs/>
          <w:sz w:val="48"/>
          <w:szCs w:val="48"/>
        </w:rPr>
      </w:pPr>
    </w:p>
    <w:p w14:paraId="5D0A177B">
      <w:pPr>
        <w:spacing w:line="360" w:lineRule="auto"/>
        <w:jc w:val="center"/>
        <w:rPr>
          <w:rFonts w:ascii="黑体" w:hAnsi="宋体" w:eastAsia="黑体"/>
          <w:b/>
          <w:bCs/>
          <w:sz w:val="72"/>
          <w:szCs w:val="72"/>
        </w:rPr>
      </w:pPr>
      <w:r>
        <w:rPr>
          <w:rFonts w:hint="eastAsia" w:ascii="黑体" w:hAnsi="黑体" w:eastAsia="黑体"/>
          <w:b/>
          <w:bCs/>
          <w:sz w:val="72"/>
          <w:szCs w:val="72"/>
        </w:rPr>
        <w:t>书</w:t>
      </w:r>
    </w:p>
    <w:p w14:paraId="2E9FB3FB">
      <w:pPr>
        <w:spacing w:line="360" w:lineRule="auto"/>
        <w:ind w:left="420" w:leftChars="200"/>
        <w:jc w:val="center"/>
        <w:rPr>
          <w:rFonts w:ascii="宋体" w:hAnsi="宋体"/>
          <w:sz w:val="44"/>
          <w:szCs w:val="44"/>
        </w:rPr>
      </w:pPr>
    </w:p>
    <w:p w14:paraId="2BD6EB1C">
      <w:pPr>
        <w:spacing w:line="360" w:lineRule="auto"/>
        <w:ind w:left="420" w:leftChars="200"/>
        <w:jc w:val="center"/>
        <w:rPr>
          <w:rFonts w:ascii="微软雅黑" w:hAnsi="宋体" w:cs="Arial"/>
          <w:sz w:val="48"/>
          <w:szCs w:val="48"/>
        </w:rPr>
      </w:pPr>
    </w:p>
    <w:p w14:paraId="5A8A2572">
      <w:pPr>
        <w:spacing w:line="360" w:lineRule="auto"/>
        <w:rPr>
          <w:rFonts w:ascii="微软雅黑" w:hAnsi="宋体" w:cs="Arial"/>
          <w:sz w:val="48"/>
          <w:szCs w:val="48"/>
        </w:rPr>
      </w:pPr>
    </w:p>
    <w:p w14:paraId="591214D9">
      <w:pPr>
        <w:adjustRightInd w:val="0"/>
        <w:snapToGrid w:val="0"/>
        <w:spacing w:line="600" w:lineRule="exact"/>
        <w:jc w:val="center"/>
        <w:rPr>
          <w:rFonts w:ascii="宋体" w:hAnsi="宋体"/>
          <w:b/>
          <w:color w:val="000000"/>
          <w:sz w:val="32"/>
          <w:szCs w:val="32"/>
        </w:rPr>
      </w:pPr>
      <w:r>
        <w:rPr>
          <w:rFonts w:hint="eastAsia" w:ascii="宋体" w:hAnsi="宋体"/>
          <w:b/>
          <w:color w:val="000000"/>
          <w:sz w:val="32"/>
          <w:szCs w:val="32"/>
        </w:rPr>
        <w:t>深圳市发展和改革委员会</w:t>
      </w:r>
    </w:p>
    <w:p w14:paraId="314E6107">
      <w:pPr>
        <w:spacing w:line="600" w:lineRule="exact"/>
        <w:jc w:val="center"/>
        <w:rPr>
          <w:rFonts w:ascii="宋体" w:hAnsi="宋体"/>
          <w:b/>
          <w:bCs/>
          <w:sz w:val="44"/>
          <w:szCs w:val="44"/>
        </w:rPr>
        <w:sectPr>
          <w:headerReference r:id="rId3" w:type="default"/>
          <w:pgSz w:w="11906" w:h="16838"/>
          <w:pgMar w:top="1400" w:right="1797" w:bottom="1089" w:left="1797" w:header="720" w:footer="720" w:gutter="0"/>
          <w:cols w:space="720" w:num="1"/>
          <w:docGrid w:type="lines" w:linePitch="312" w:charSpace="0"/>
        </w:sectP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5年12月</w:t>
      </w:r>
    </w:p>
    <w:p w14:paraId="30C506F3">
      <w:pPr>
        <w:adjustRightInd w:val="0"/>
        <w:snapToGrid w:val="0"/>
        <w:jc w:val="center"/>
        <w:rPr>
          <w:rFonts w:ascii="宋体" w:hAnsi="宋体" w:cs="Arial"/>
          <w:b/>
          <w:bCs/>
          <w:sz w:val="44"/>
          <w:szCs w:val="44"/>
        </w:rPr>
      </w:pPr>
      <w:r>
        <w:rPr>
          <w:rFonts w:hint="eastAsia" w:ascii="宋体" w:hAnsi="宋体" w:cs="Arial"/>
          <w:b/>
          <w:bCs/>
          <w:sz w:val="44"/>
          <w:szCs w:val="44"/>
        </w:rPr>
        <w:t>深圳市推动人工智能赋能教育发展项目</w:t>
      </w:r>
      <w:r>
        <w:rPr>
          <w:rFonts w:hint="eastAsia" w:ascii="宋体" w:hAnsi="宋体" w:cs="Arial"/>
          <w:b/>
          <w:bCs/>
          <w:sz w:val="44"/>
          <w:szCs w:val="44"/>
        </w:rPr>
        <w:br w:type="textWrapping"/>
      </w:r>
      <w:r>
        <w:rPr>
          <w:rFonts w:hint="eastAsia" w:ascii="宋体" w:hAnsi="宋体" w:cs="Arial"/>
          <w:b/>
          <w:bCs/>
          <w:sz w:val="44"/>
          <w:szCs w:val="44"/>
        </w:rPr>
        <w:t>谋划预研招标书</w:t>
      </w:r>
    </w:p>
    <w:p w14:paraId="2C273EF7">
      <w:pPr>
        <w:spacing w:line="560" w:lineRule="exact"/>
        <w:ind w:firstLine="643" w:firstLineChars="200"/>
        <w:rPr>
          <w:rFonts w:ascii="黑体" w:hAnsi="黑体" w:eastAsia="黑体"/>
          <w:b/>
          <w:bCs/>
          <w:sz w:val="32"/>
          <w:szCs w:val="32"/>
        </w:rPr>
      </w:pPr>
    </w:p>
    <w:p w14:paraId="44DB9D31">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一、项目概况</w:t>
      </w:r>
    </w:p>
    <w:p w14:paraId="52B57F4B">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（一）项目名称：深圳市推动人工智能赋能教育发展项目谋划预研。</w:t>
      </w:r>
    </w:p>
    <w:p w14:paraId="7D217706">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（二）服务期限：自合同签订之日起6个月。</w:t>
      </w:r>
    </w:p>
    <w:p w14:paraId="4D58D9CA">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（三）项目预算：上限73万元。</w:t>
      </w:r>
    </w:p>
    <w:p w14:paraId="109D73BE">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二、项目内容</w:t>
      </w:r>
    </w:p>
    <w:p w14:paraId="50222B61">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（一）深圳市推动人工智能赋能教育发展的现状与存在问题。分析深圳人工智能赋能基础教育、高等教育、职业教育等方面的供需现状，并结合与国内外先进城市的对比，梳理深圳发展成效与亟需破解问题。</w:t>
      </w:r>
    </w:p>
    <w:p w14:paraId="3E4D23AB">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深圳市推动人工智能赋能教育的具体方向和发展路径。结合发展趋势、其他地区典型经验和深圳实际需求，研究提出深圳推动人工智能赋能教育的具体细分领域，形成深圳推动人工智能赋能教育的重点任务和实施路径。</w:t>
      </w:r>
    </w:p>
    <w:p w14:paraId="4D089A9C">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支撑人工智能赋能教育的重大项目。研究谋划一批符合国家政策要求、契合深圳市发展实际、满足人工智能赋能教育需要的相关建设项目，形成分区域、分类型、分时序的深圳市“十五五”时期“人工智能+教育”储备项目清单。</w:t>
      </w:r>
    </w:p>
    <w:p w14:paraId="5371CE41">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三、项目实施要求</w:t>
      </w:r>
    </w:p>
    <w:p w14:paraId="76E98C4D">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14:paraId="68320D19">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（二）研究过程中应当进行深入调查研究，充分把握深圳现有基础条件、存在问题等相关信息和基础资料。</w:t>
      </w:r>
    </w:p>
    <w:p w14:paraId="3C468E4A">
      <w:pPr>
        <w:pStyle w:val="2"/>
        <w:keepNext w:val="0"/>
        <w:keepLines w:val="0"/>
        <w:spacing w:before="0" w:after="0" w:line="560" w:lineRule="exact"/>
        <w:ind w:firstLine="640" w:firstLineChars="200"/>
      </w:pPr>
      <w:r>
        <w:rPr>
          <w:rFonts w:hint="eastAsia" w:ascii="仿宋_GB2312" w:hAnsi="Times New Roman" w:eastAsia="仿宋_GB2312"/>
          <w:b w:val="0"/>
        </w:rPr>
        <w:t>（三）研究成果要具有前瞻性，面向未来、视野开阔；具有系统性，体系完整、内容全面、材料丰富；具有实用性，符合深圳实际情况，针对性和可操作性强。</w:t>
      </w:r>
    </w:p>
    <w:p w14:paraId="4C786C14">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四、项目成果交付要求</w:t>
      </w:r>
    </w:p>
    <w:p w14:paraId="3408FEF8">
      <w:pPr>
        <w:spacing w:line="560" w:lineRule="exact"/>
        <w:ind w:firstLine="640" w:firstLineChars="200"/>
        <w:rPr>
          <w:rFonts w:ascii="Times New Roman" w:hAnsi="Times New Roman" w:eastAsia="仿宋_GB2312"/>
          <w:color w:val="000000"/>
          <w:sz w:val="32"/>
        </w:rPr>
      </w:pPr>
      <w:r>
        <w:rPr>
          <w:rFonts w:hint="eastAsia" w:ascii="Times New Roman" w:hAnsi="Times New Roman" w:eastAsia="仿宋_GB2312"/>
          <w:color w:val="000000"/>
          <w:sz w:val="32"/>
        </w:rPr>
        <w:t>提交研究成果纸</w:t>
      </w:r>
      <w:r>
        <w:rPr>
          <w:rFonts w:hint="eastAsia" w:ascii="仿宋_GB2312" w:hAnsi="仿宋_GB2312" w:eastAsia="仿宋_GB2312" w:cs="仿宋_GB2312"/>
          <w:color w:val="000000"/>
          <w:sz w:val="32"/>
        </w:rPr>
        <w:t>质版5份</w:t>
      </w:r>
      <w:r>
        <w:rPr>
          <w:rFonts w:hint="eastAsia" w:ascii="Times New Roman" w:hAnsi="Times New Roman" w:eastAsia="仿宋_GB2312"/>
          <w:color w:val="000000"/>
          <w:sz w:val="32"/>
        </w:rPr>
        <w:t>和电子版，文件能够简明扼要介绍成果核心内容与主要结论。</w:t>
      </w:r>
    </w:p>
    <w:p w14:paraId="21AE69C6">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五、投标资格要求</w:t>
      </w:r>
    </w:p>
    <w:p w14:paraId="4C618095">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14:paraId="31CB37C4">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14:paraId="6F43A30B">
      <w:pPr>
        <w:pStyle w:val="2"/>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14:paraId="7D2EC2E9">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六、投标时间、方式及联系人</w:t>
      </w:r>
    </w:p>
    <w:p w14:paraId="04FA2CEE">
      <w:pPr>
        <w:spacing w:line="560" w:lineRule="exact"/>
        <w:ind w:firstLine="640" w:firstLineChars="200"/>
        <w:rPr>
          <w:rFonts w:ascii="Times New Roman" w:hAnsi="Times New Roman" w:eastAsia="仿宋_GB2312"/>
          <w:color w:val="0000FF"/>
          <w:sz w:val="32"/>
        </w:rPr>
      </w:pPr>
      <w:r>
        <w:rPr>
          <w:rFonts w:hint="eastAsia" w:ascii="Times New Roman" w:hAnsi="Times New Roman" w:eastAsia="仿宋_GB2312"/>
          <w:color w:val="000000"/>
          <w:sz w:val="32"/>
        </w:rPr>
        <w:t>（一）投标</w:t>
      </w:r>
      <w:r>
        <w:rPr>
          <w:rFonts w:ascii="仿宋_GB2312" w:hAnsi="仿宋_GB2312" w:eastAsia="仿宋_GB2312" w:cs="仿宋_GB2312"/>
          <w:color w:val="000000"/>
          <w:sz w:val="32"/>
        </w:rPr>
        <w:t>时间：202</w:t>
      </w:r>
      <w:r>
        <w:rPr>
          <w:rFonts w:hint="eastAsia" w:ascii="仿宋_GB2312" w:hAnsi="仿宋_GB2312" w:eastAsia="仿宋_GB2312" w:cs="仿宋_GB2312"/>
          <w:color w:val="000000"/>
          <w:sz w:val="32"/>
        </w:rPr>
        <w:t>5</w:t>
      </w:r>
      <w:r>
        <w:rPr>
          <w:rFonts w:ascii="仿宋_GB2312" w:hAnsi="仿宋_GB2312" w:eastAsia="仿宋_GB2312" w:cs="仿宋_GB2312"/>
          <w:color w:val="000000"/>
          <w:sz w:val="32"/>
        </w:rPr>
        <w:t>年</w:t>
      </w:r>
      <w:r>
        <w:rPr>
          <w:rFonts w:hint="eastAsia" w:ascii="仿宋_GB2312" w:hAnsi="仿宋_GB2312" w:eastAsia="仿宋_GB2312" w:cs="仿宋_GB2312"/>
          <w:color w:val="000000"/>
          <w:sz w:val="32"/>
        </w:rPr>
        <w:t>12</w:t>
      </w:r>
      <w:r>
        <w:rPr>
          <w:rFonts w:ascii="仿宋_GB2312" w:hAnsi="仿宋_GB2312" w:eastAsia="仿宋_GB2312" w:cs="仿宋_GB2312"/>
          <w:color w:val="000000"/>
          <w:sz w:val="32"/>
        </w:rPr>
        <w:t>月</w:t>
      </w:r>
      <w:r>
        <w:rPr>
          <w:rFonts w:hint="eastAsia" w:ascii="仿宋_GB2312" w:hAnsi="仿宋_GB2312" w:eastAsia="仿宋_GB2312" w:cs="仿宋_GB2312"/>
          <w:sz w:val="32"/>
        </w:rPr>
        <w:t>4</w:t>
      </w:r>
      <w:r>
        <w:rPr>
          <w:rFonts w:ascii="仿宋_GB2312" w:hAnsi="仿宋_GB2312" w:eastAsia="仿宋_GB2312" w:cs="仿宋_GB2312"/>
          <w:sz w:val="32"/>
        </w:rPr>
        <w:t>日至20</w:t>
      </w:r>
      <w:r>
        <w:rPr>
          <w:rFonts w:hint="eastAsia" w:ascii="仿宋_GB2312" w:hAnsi="仿宋_GB2312" w:eastAsia="仿宋_GB2312" w:cs="仿宋_GB2312"/>
          <w:sz w:val="32"/>
        </w:rPr>
        <w:t>25</w:t>
      </w:r>
      <w:r>
        <w:rPr>
          <w:rFonts w:ascii="仿宋_GB2312" w:hAnsi="仿宋_GB2312" w:eastAsia="仿宋_GB2312" w:cs="仿宋_GB2312"/>
          <w:sz w:val="32"/>
        </w:rPr>
        <w:t>年</w:t>
      </w:r>
      <w:r>
        <w:rPr>
          <w:rFonts w:hint="eastAsia" w:ascii="仿宋_GB2312" w:hAnsi="仿宋_GB2312" w:eastAsia="仿宋_GB2312" w:cs="仿宋_GB2312"/>
          <w:sz w:val="32"/>
        </w:rPr>
        <w:t>12</w:t>
      </w:r>
      <w:r>
        <w:rPr>
          <w:rFonts w:ascii="仿宋_GB2312" w:hAnsi="仿宋_GB2312" w:eastAsia="仿宋_GB2312" w:cs="仿宋_GB2312"/>
          <w:sz w:val="32"/>
        </w:rPr>
        <w:t>月</w:t>
      </w:r>
      <w:r>
        <w:rPr>
          <w:rFonts w:hint="eastAsia" w:ascii="仿宋_GB2312" w:hAnsi="仿宋_GB2312" w:eastAsia="仿宋_GB2312" w:cs="仿宋_GB2312"/>
          <w:sz w:val="32"/>
        </w:rPr>
        <w:t>1</w:t>
      </w:r>
      <w:r>
        <w:rPr>
          <w:rFonts w:ascii="仿宋_GB2312" w:hAnsi="仿宋_GB2312" w:eastAsia="仿宋_GB2312" w:cs="仿宋_GB2312"/>
          <w:sz w:val="32"/>
        </w:rPr>
        <w:t>5</w:t>
      </w:r>
      <w:r>
        <w:rPr>
          <w:rFonts w:ascii="仿宋_GB2312" w:hAnsi="仿宋_GB2312" w:eastAsia="仿宋_GB2312" w:cs="仿宋_GB2312"/>
          <w:color w:val="000000"/>
          <w:sz w:val="32"/>
        </w:rPr>
        <w:t>日，每日上午9:00-12:00，下午2:00-5:45（节假日除外）。逾期未投标将不再受理</w:t>
      </w:r>
      <w:r>
        <w:rPr>
          <w:rFonts w:hint="eastAsia" w:ascii="Times New Roman" w:hAnsi="Times New Roman" w:eastAsia="仿宋_GB2312"/>
          <w:color w:val="000000"/>
          <w:sz w:val="32"/>
        </w:rPr>
        <w:t>。</w:t>
      </w:r>
    </w:p>
    <w:p w14:paraId="17FE9467">
      <w:pPr>
        <w:spacing w:line="560" w:lineRule="exact"/>
        <w:ind w:firstLine="640" w:firstLineChars="200"/>
        <w:rPr>
          <w:rFonts w:ascii="仿宋_GB2312" w:hAnsi="仿宋_GB2312" w:eastAsia="仿宋_GB2312" w:cs="仿宋_GB2312"/>
          <w:color w:val="000000"/>
          <w:sz w:val="32"/>
        </w:rPr>
      </w:pPr>
      <w:r>
        <w:rPr>
          <w:rFonts w:hint="eastAsia" w:ascii="Times New Roman" w:hAnsi="Times New Roman" w:eastAsia="仿宋_GB2312"/>
          <w:color w:val="000000"/>
          <w:sz w:val="32"/>
        </w:rPr>
        <w:t>（二）投</w:t>
      </w:r>
      <w:r>
        <w:rPr>
          <w:rFonts w:ascii="仿宋_GB2312" w:hAnsi="仿宋_GB2312" w:eastAsia="仿宋_GB2312" w:cs="仿宋_GB2312"/>
          <w:color w:val="000000"/>
          <w:sz w:val="32"/>
        </w:rPr>
        <w:t>标地点：深圳市福田区福中三路市民中心B区行政服务大厅2号市发展和改革委卡座（</w:t>
      </w:r>
      <w:bookmarkStart w:id="0" w:name="_GoBack"/>
      <w:bookmarkEnd w:id="0"/>
      <w:r>
        <w:rPr>
          <w:rFonts w:ascii="仿宋_GB2312" w:hAnsi="仿宋_GB2312" w:eastAsia="仿宋_GB2312" w:cs="仿宋_GB2312"/>
          <w:color w:val="000000"/>
          <w:sz w:val="32"/>
        </w:rPr>
        <w:t>可邮寄，以送达日期为投标日期）。</w:t>
      </w:r>
    </w:p>
    <w:p w14:paraId="66F657F7">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（三）联系人：朱弘霖，0755-88127351。</w:t>
      </w:r>
    </w:p>
    <w:p w14:paraId="089C848F">
      <w:pPr>
        <w:adjustRightInd w:val="0"/>
        <w:snapToGrid w:val="0"/>
        <w:spacing w:line="560" w:lineRule="exact"/>
        <w:ind w:firstLine="640" w:firstLineChars="200"/>
        <w:outlineLvl w:val="0"/>
        <w:rPr>
          <w:rFonts w:ascii="黑体" w:hAnsi="黑体" w:eastAsia="黑体"/>
          <w:sz w:val="32"/>
          <w:szCs w:val="32"/>
        </w:rPr>
      </w:pPr>
      <w:r>
        <w:rPr>
          <w:rFonts w:ascii="黑体" w:hAnsi="黑体" w:eastAsia="黑体"/>
          <w:sz w:val="32"/>
          <w:szCs w:val="32"/>
        </w:rPr>
        <w:t>七</w:t>
      </w:r>
      <w:r>
        <w:rPr>
          <w:rFonts w:hint="eastAsia" w:ascii="黑体" w:hAnsi="黑体" w:eastAsia="黑体"/>
          <w:sz w:val="32"/>
          <w:szCs w:val="32"/>
        </w:rPr>
        <w:t>、投标文件递交内容</w:t>
      </w:r>
    </w:p>
    <w:p w14:paraId="00F48B6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（一）投标单位简介、投标人营业执照及相关证照（提供加盖公章的复印件，原件备查）。</w:t>
      </w:r>
    </w:p>
    <w:p w14:paraId="3AE5B501">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（二）法定代表人证明书及授权委托书（原件加盖公章）。</w:t>
      </w:r>
    </w:p>
    <w:p w14:paraId="5884EC95">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（三）法定代表人及受委托人身份证复印件（复印件加盖公章）。</w:t>
      </w:r>
    </w:p>
    <w:p w14:paraId="75DAD9A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（四）项目方案及报价单（原件加盖公章）。</w:t>
      </w:r>
    </w:p>
    <w:p w14:paraId="31BA739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（五）投标人相关领域/项目经验证明材料（复印件加盖公章）。</w:t>
      </w:r>
    </w:p>
    <w:p w14:paraId="273726C9">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（六）投标人无重大违法记录声明函（原件加盖公章，格式自拟）。</w:t>
      </w:r>
    </w:p>
    <w:p w14:paraId="2B5D9682">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（七）投标及履约承诺函原件（格式见附件）。</w:t>
      </w:r>
    </w:p>
    <w:p w14:paraId="1CBB394B">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（八）住所地不在深圳的投标人应提供营业场所证明原件。</w:t>
      </w:r>
    </w:p>
    <w:p w14:paraId="050A963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（九）投标人认为有必要提供的其他材料。</w:t>
      </w:r>
    </w:p>
    <w:p w14:paraId="09B1331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投标文件纸质版一式六份（另附光盘拷贝电子版），整套材料密封并加盖骑缝章，封面注明投标人的名称、地址、联系人及手机号码。</w:t>
      </w:r>
    </w:p>
    <w:p w14:paraId="48CD3F0E">
      <w:pPr>
        <w:adjustRightInd w:val="0"/>
        <w:snapToGrid w:val="0"/>
        <w:spacing w:line="560" w:lineRule="exact"/>
        <w:ind w:firstLine="640" w:firstLineChars="200"/>
        <w:outlineLvl w:val="0"/>
        <w:rPr>
          <w:rFonts w:ascii="黑体" w:hAnsi="黑体" w:eastAsia="黑体"/>
          <w:sz w:val="32"/>
          <w:szCs w:val="32"/>
        </w:rPr>
      </w:pPr>
      <w:r>
        <w:rPr>
          <w:rFonts w:ascii="黑体" w:hAnsi="黑体" w:eastAsia="黑体"/>
          <w:sz w:val="32"/>
          <w:szCs w:val="32"/>
        </w:rPr>
        <w:t>八</w:t>
      </w:r>
      <w:r>
        <w:rPr>
          <w:rFonts w:hint="eastAsia" w:ascii="黑体" w:hAnsi="黑体" w:eastAsia="黑体"/>
          <w:sz w:val="32"/>
          <w:szCs w:val="32"/>
        </w:rPr>
        <w:t>、重要提示</w:t>
      </w:r>
    </w:p>
    <w:p w14:paraId="4FCE4DB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投标单位有下列情况之一的，其投标将被拒绝或作无效投标处理：</w:t>
      </w:r>
    </w:p>
    <w:p w14:paraId="5E30165E">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（一）未在规定时间内将投标文件送达规定地点的。</w:t>
      </w:r>
    </w:p>
    <w:p w14:paraId="582313DD">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（二）投标人不具备投标资格要求，或未提交相应资格证明材料。</w:t>
      </w:r>
    </w:p>
    <w:p w14:paraId="115EEDD8">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（三）投标文件未按规定密封、签字、盖章。</w:t>
      </w:r>
    </w:p>
    <w:p w14:paraId="54C5C706">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（四）投标文件无法定代表人签字或无法定代表人有效授权委托的。</w:t>
      </w:r>
    </w:p>
    <w:p w14:paraId="3442563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（五）分项报价或投标总价高于预算金额（最高投标限价）的。</w:t>
      </w:r>
    </w:p>
    <w:p w14:paraId="6585497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（六）同一项目出现两个及以上报价，且按规定无法确定哪个是有效报价。</w:t>
      </w:r>
    </w:p>
    <w:p w14:paraId="4F01E787">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27D639CA">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（八）所投服务在质量、技术、方案等方面没有实质性满足招标文件要求。</w:t>
      </w:r>
    </w:p>
    <w:p w14:paraId="1AAC71F3">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（九）法律法规规定的其他情形。</w:t>
      </w:r>
    </w:p>
    <w:p w14:paraId="6269D83C">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九、评标方法</w:t>
      </w:r>
    </w:p>
    <w:p w14:paraId="47612E3F">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（一）评标方法为综合评分法，具体评分标准和规则为：投标文件从技术、商务和价格等三个评审因素进行评分，出现总分相同的，则总分相等投标人中最低价者中标。</w:t>
      </w:r>
    </w:p>
    <w:p w14:paraId="06630CCC">
      <w:pPr>
        <w:adjustRightInd w:val="0"/>
        <w:snapToGrid w:val="0"/>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（二）综合评分表</w:t>
      </w:r>
    </w:p>
    <w:tbl>
      <w:tblPr>
        <w:tblStyle w:val="4"/>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69B21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4D737F4A">
            <w:pPr>
              <w:spacing w:line="300" w:lineRule="exact"/>
              <w:ind w:left="-78" w:leftChars="-37" w:right="-73" w:rightChars="-35"/>
              <w:jc w:val="center"/>
              <w:rPr>
                <w:rFonts w:ascii="宋体" w:hAnsi="宋体"/>
                <w:b/>
                <w:sz w:val="22"/>
              </w:rPr>
            </w:pPr>
            <w:r>
              <w:rPr>
                <w:rFonts w:hint="eastAsia" w:ascii="宋体" w:hAnsi="宋体"/>
                <w:b/>
                <w:sz w:val="22"/>
              </w:rPr>
              <w:t>评审部分</w:t>
            </w:r>
          </w:p>
        </w:tc>
        <w:tc>
          <w:tcPr>
            <w:tcW w:w="1202" w:type="dxa"/>
            <w:vAlign w:val="center"/>
          </w:tcPr>
          <w:p w14:paraId="41DA566F">
            <w:pPr>
              <w:spacing w:line="300" w:lineRule="exact"/>
              <w:ind w:left="-78" w:leftChars="-37" w:right="-73" w:rightChars="-35"/>
              <w:jc w:val="center"/>
              <w:rPr>
                <w:rFonts w:ascii="宋体" w:hAnsi="宋体"/>
                <w:b/>
                <w:sz w:val="22"/>
              </w:rPr>
            </w:pPr>
            <w:r>
              <w:rPr>
                <w:rFonts w:hint="eastAsia" w:ascii="宋体" w:hAnsi="宋体"/>
                <w:b/>
                <w:sz w:val="22"/>
              </w:rPr>
              <w:t>评审因素</w:t>
            </w:r>
          </w:p>
        </w:tc>
        <w:tc>
          <w:tcPr>
            <w:tcW w:w="4678" w:type="dxa"/>
            <w:vAlign w:val="center"/>
          </w:tcPr>
          <w:p w14:paraId="7039F692">
            <w:pPr>
              <w:spacing w:line="300" w:lineRule="exact"/>
              <w:ind w:left="-78" w:leftChars="-37" w:right="-73" w:rightChars="-35"/>
              <w:jc w:val="center"/>
              <w:rPr>
                <w:rFonts w:ascii="宋体" w:hAnsi="宋体"/>
                <w:b/>
                <w:sz w:val="22"/>
              </w:rPr>
            </w:pPr>
            <w:r>
              <w:rPr>
                <w:rFonts w:hint="eastAsia" w:ascii="宋体" w:hAnsi="宋体"/>
                <w:b/>
                <w:sz w:val="22"/>
              </w:rPr>
              <w:t>评分细则</w:t>
            </w:r>
          </w:p>
        </w:tc>
        <w:tc>
          <w:tcPr>
            <w:tcW w:w="850" w:type="dxa"/>
            <w:tcBorders>
              <w:right w:val="single" w:color="auto" w:sz="4" w:space="0"/>
            </w:tcBorders>
            <w:vAlign w:val="center"/>
          </w:tcPr>
          <w:p w14:paraId="693B2707">
            <w:pPr>
              <w:spacing w:line="300" w:lineRule="exact"/>
              <w:ind w:left="-78" w:leftChars="-37" w:right="-73" w:rightChars="-35"/>
              <w:jc w:val="center"/>
              <w:rPr>
                <w:rFonts w:ascii="宋体" w:hAnsi="宋体"/>
                <w:b/>
                <w:sz w:val="22"/>
              </w:rPr>
            </w:pPr>
            <w:r>
              <w:rPr>
                <w:rFonts w:hint="eastAsia" w:ascii="宋体" w:hAnsi="宋体"/>
                <w:b/>
                <w:sz w:val="22"/>
              </w:rPr>
              <w:t>权重（%）</w:t>
            </w:r>
          </w:p>
        </w:tc>
        <w:tc>
          <w:tcPr>
            <w:tcW w:w="851" w:type="dxa"/>
            <w:tcBorders>
              <w:left w:val="single" w:color="auto" w:sz="4" w:space="0"/>
            </w:tcBorders>
            <w:vAlign w:val="center"/>
          </w:tcPr>
          <w:p w14:paraId="7E45D14D">
            <w:pPr>
              <w:spacing w:line="300" w:lineRule="exact"/>
              <w:ind w:left="-78" w:leftChars="-37" w:right="-73" w:rightChars="-35"/>
              <w:jc w:val="center"/>
              <w:rPr>
                <w:rFonts w:ascii="宋体" w:hAnsi="宋体"/>
                <w:b/>
                <w:sz w:val="22"/>
              </w:rPr>
            </w:pPr>
            <w:r>
              <w:rPr>
                <w:rFonts w:hint="eastAsia" w:ascii="宋体" w:hAnsi="宋体"/>
                <w:b/>
                <w:sz w:val="22"/>
              </w:rPr>
              <w:t>分值（分）</w:t>
            </w:r>
          </w:p>
        </w:tc>
      </w:tr>
      <w:tr w14:paraId="4C8500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7780D611">
            <w:pPr>
              <w:spacing w:line="300" w:lineRule="exact"/>
              <w:ind w:left="-78" w:leftChars="-37" w:right="-73" w:rightChars="-35"/>
              <w:jc w:val="center"/>
              <w:rPr>
                <w:rFonts w:ascii="宋体" w:hAnsi="宋体"/>
                <w:b/>
                <w:sz w:val="22"/>
              </w:rPr>
            </w:pPr>
            <w:r>
              <w:rPr>
                <w:rFonts w:hint="eastAsia" w:ascii="宋体" w:hAnsi="宋体"/>
                <w:b/>
                <w:sz w:val="22"/>
              </w:rPr>
              <w:t>一</w:t>
            </w:r>
          </w:p>
        </w:tc>
        <w:tc>
          <w:tcPr>
            <w:tcW w:w="7581" w:type="dxa"/>
            <w:gridSpan w:val="4"/>
            <w:vAlign w:val="center"/>
          </w:tcPr>
          <w:p w14:paraId="775872CD">
            <w:pPr>
              <w:spacing w:line="300" w:lineRule="exact"/>
              <w:ind w:left="-78" w:leftChars="-37" w:right="-73" w:rightChars="-35"/>
              <w:jc w:val="center"/>
              <w:rPr>
                <w:rFonts w:ascii="宋体" w:hAnsi="宋体"/>
                <w:b/>
                <w:sz w:val="22"/>
              </w:rPr>
            </w:pPr>
            <w:r>
              <w:rPr>
                <w:rFonts w:hint="eastAsia" w:ascii="宋体" w:hAnsi="宋体"/>
                <w:b/>
                <w:sz w:val="22"/>
              </w:rPr>
              <w:t>技术部分（合计</w:t>
            </w:r>
            <w:r>
              <w:rPr>
                <w:rFonts w:ascii="宋体" w:hAnsi="宋体"/>
                <w:b/>
                <w:sz w:val="22"/>
              </w:rPr>
              <w:t>40</w:t>
            </w:r>
            <w:r>
              <w:rPr>
                <w:rFonts w:hint="eastAsia" w:ascii="宋体" w:hAnsi="宋体"/>
                <w:b/>
                <w:sz w:val="22"/>
              </w:rPr>
              <w:t>分）</w:t>
            </w:r>
          </w:p>
        </w:tc>
      </w:tr>
      <w:tr w14:paraId="3A7691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1B59CFE4">
            <w:pPr>
              <w:numPr>
                <w:ilvl w:val="0"/>
                <w:numId w:val="1"/>
              </w:numPr>
              <w:spacing w:line="300" w:lineRule="exact"/>
              <w:jc w:val="right"/>
              <w:rPr>
                <w:rFonts w:ascii="宋体" w:hAnsi="宋体"/>
                <w:sz w:val="22"/>
              </w:rPr>
            </w:pPr>
          </w:p>
        </w:tc>
        <w:tc>
          <w:tcPr>
            <w:tcW w:w="1202" w:type="dxa"/>
            <w:vAlign w:val="center"/>
          </w:tcPr>
          <w:p w14:paraId="07C4EE92">
            <w:pPr>
              <w:spacing w:line="300" w:lineRule="exact"/>
              <w:jc w:val="center"/>
              <w:rPr>
                <w:rFonts w:ascii="宋体" w:hAnsi="宋体"/>
                <w:sz w:val="22"/>
              </w:rPr>
            </w:pPr>
            <w:r>
              <w:rPr>
                <w:rFonts w:hint="eastAsia" w:ascii="宋体" w:hAnsi="宋体"/>
                <w:sz w:val="22"/>
              </w:rPr>
              <w:t>实施方案</w:t>
            </w:r>
          </w:p>
        </w:tc>
        <w:tc>
          <w:tcPr>
            <w:tcW w:w="4678" w:type="dxa"/>
          </w:tcPr>
          <w:p w14:paraId="2BC79A1E">
            <w:pPr>
              <w:spacing w:line="300" w:lineRule="exact"/>
              <w:ind w:left="-78" w:leftChars="-37" w:right="-73" w:rightChars="-35"/>
              <w:jc w:val="left"/>
              <w:rPr>
                <w:rFonts w:ascii="宋体" w:hAnsi="宋体"/>
                <w:kern w:val="0"/>
                <w:sz w:val="22"/>
              </w:rPr>
            </w:pPr>
            <w:r>
              <w:rPr>
                <w:rFonts w:hint="eastAsia" w:ascii="宋体" w:hAnsi="宋体"/>
                <w:kern w:val="0"/>
                <w:sz w:val="22"/>
              </w:rPr>
              <w:t>根据投标人提供的项目实施方案的全面性、针对性、可操作性等进行分档评审：</w:t>
            </w:r>
          </w:p>
          <w:p w14:paraId="722E7A10">
            <w:pPr>
              <w:spacing w:line="300" w:lineRule="exact"/>
              <w:ind w:left="-78" w:leftChars="-37" w:right="-73" w:rightChars="-35"/>
              <w:jc w:val="left"/>
              <w:rPr>
                <w:rFonts w:ascii="宋体" w:hAnsi="宋体"/>
                <w:kern w:val="0"/>
                <w:sz w:val="22"/>
              </w:rPr>
            </w:pPr>
            <w:r>
              <w:rPr>
                <w:rFonts w:hint="eastAsia" w:ascii="宋体" w:hAnsi="宋体"/>
                <w:kern w:val="0"/>
                <w:sz w:val="22"/>
              </w:rPr>
              <w:t>1.评价为优，得100%；</w:t>
            </w:r>
          </w:p>
          <w:p w14:paraId="1FF124BE">
            <w:pPr>
              <w:spacing w:line="300" w:lineRule="exact"/>
              <w:ind w:left="-78" w:leftChars="-37" w:right="-73" w:rightChars="-35"/>
              <w:jc w:val="left"/>
              <w:rPr>
                <w:rFonts w:ascii="宋体" w:hAnsi="宋体"/>
                <w:kern w:val="0"/>
                <w:sz w:val="22"/>
              </w:rPr>
            </w:pPr>
            <w:r>
              <w:rPr>
                <w:rFonts w:hint="eastAsia" w:ascii="宋体" w:hAnsi="宋体"/>
                <w:kern w:val="0"/>
                <w:sz w:val="22"/>
              </w:rPr>
              <w:t>2</w:t>
            </w:r>
            <w:r>
              <w:rPr>
                <w:rFonts w:ascii="宋体" w:hAnsi="宋体"/>
                <w:kern w:val="0"/>
                <w:sz w:val="22"/>
              </w:rPr>
              <w:t>.</w:t>
            </w:r>
            <w:r>
              <w:rPr>
                <w:rFonts w:hint="eastAsia" w:ascii="宋体" w:hAnsi="宋体"/>
                <w:kern w:val="0"/>
                <w:sz w:val="22"/>
              </w:rPr>
              <w:t>评价为良，得</w:t>
            </w:r>
            <w:r>
              <w:rPr>
                <w:rFonts w:ascii="宋体" w:hAnsi="宋体"/>
                <w:kern w:val="0"/>
                <w:sz w:val="22"/>
              </w:rPr>
              <w:t>7</w:t>
            </w:r>
            <w:r>
              <w:rPr>
                <w:rFonts w:hint="eastAsia" w:ascii="宋体" w:hAnsi="宋体"/>
                <w:kern w:val="0"/>
                <w:sz w:val="22"/>
              </w:rPr>
              <w:t>0%；</w:t>
            </w:r>
          </w:p>
          <w:p w14:paraId="18564A9D">
            <w:pPr>
              <w:spacing w:line="300" w:lineRule="exact"/>
              <w:ind w:left="-78" w:leftChars="-37" w:right="-73" w:rightChars="-35"/>
              <w:jc w:val="left"/>
              <w:rPr>
                <w:rFonts w:ascii="宋体" w:hAnsi="宋体"/>
                <w:kern w:val="0"/>
                <w:sz w:val="22"/>
              </w:rPr>
            </w:pPr>
            <w:r>
              <w:rPr>
                <w:rFonts w:hint="eastAsia" w:ascii="宋体" w:hAnsi="宋体"/>
                <w:kern w:val="0"/>
                <w:sz w:val="22"/>
              </w:rPr>
              <w:t>3</w:t>
            </w:r>
            <w:r>
              <w:rPr>
                <w:rFonts w:ascii="宋体" w:hAnsi="宋体"/>
                <w:kern w:val="0"/>
                <w:sz w:val="22"/>
              </w:rPr>
              <w:t>.</w:t>
            </w:r>
            <w:r>
              <w:rPr>
                <w:rFonts w:hint="eastAsia" w:ascii="宋体" w:hAnsi="宋体"/>
                <w:kern w:val="0"/>
                <w:sz w:val="22"/>
              </w:rPr>
              <w:t>评价为中，得</w:t>
            </w:r>
            <w:r>
              <w:rPr>
                <w:rFonts w:ascii="宋体" w:hAnsi="宋体"/>
                <w:kern w:val="0"/>
                <w:sz w:val="22"/>
              </w:rPr>
              <w:t>4</w:t>
            </w:r>
            <w:r>
              <w:rPr>
                <w:rFonts w:hint="eastAsia" w:ascii="宋体" w:hAnsi="宋体"/>
                <w:kern w:val="0"/>
                <w:sz w:val="22"/>
              </w:rPr>
              <w:t>0%；</w:t>
            </w:r>
          </w:p>
          <w:p w14:paraId="6DF40D94">
            <w:pPr>
              <w:spacing w:line="300" w:lineRule="exact"/>
              <w:ind w:left="-78" w:leftChars="-37" w:right="-73" w:rightChars="-35"/>
              <w:jc w:val="left"/>
              <w:rPr>
                <w:rFonts w:ascii="宋体" w:hAnsi="宋体"/>
                <w:kern w:val="0"/>
                <w:sz w:val="22"/>
              </w:rPr>
            </w:pPr>
            <w:r>
              <w:rPr>
                <w:rFonts w:hint="eastAsia" w:ascii="宋体" w:hAnsi="宋体"/>
                <w:kern w:val="0"/>
                <w:sz w:val="22"/>
              </w:rPr>
              <w:t>4</w:t>
            </w:r>
            <w:r>
              <w:rPr>
                <w:rFonts w:ascii="宋体" w:hAnsi="宋体"/>
                <w:kern w:val="0"/>
                <w:sz w:val="22"/>
              </w:rPr>
              <w:t>.</w:t>
            </w:r>
            <w:r>
              <w:rPr>
                <w:rFonts w:hint="eastAsia" w:ascii="宋体" w:hAnsi="宋体"/>
                <w:kern w:val="0"/>
                <w:sz w:val="22"/>
              </w:rPr>
              <w:t>评价为差，得10%。</w:t>
            </w:r>
          </w:p>
        </w:tc>
        <w:tc>
          <w:tcPr>
            <w:tcW w:w="850" w:type="dxa"/>
            <w:tcBorders>
              <w:right w:val="single" w:color="auto" w:sz="4" w:space="0"/>
            </w:tcBorders>
            <w:vAlign w:val="center"/>
          </w:tcPr>
          <w:p w14:paraId="6F1D4D74">
            <w:pPr>
              <w:spacing w:line="300" w:lineRule="exact"/>
              <w:jc w:val="center"/>
              <w:rPr>
                <w:rFonts w:ascii="宋体" w:hAnsi="宋体"/>
                <w:sz w:val="22"/>
              </w:rPr>
            </w:pPr>
            <w:r>
              <w:rPr>
                <w:rFonts w:ascii="宋体" w:hAnsi="宋体"/>
                <w:sz w:val="22"/>
              </w:rPr>
              <w:t>2</w:t>
            </w:r>
            <w:r>
              <w:rPr>
                <w:rFonts w:hint="eastAsia" w:ascii="宋体" w:hAnsi="宋体"/>
                <w:sz w:val="22"/>
              </w:rPr>
              <w:t>5</w:t>
            </w:r>
          </w:p>
        </w:tc>
        <w:tc>
          <w:tcPr>
            <w:tcW w:w="851" w:type="dxa"/>
            <w:tcBorders>
              <w:left w:val="single" w:color="auto" w:sz="4" w:space="0"/>
            </w:tcBorders>
            <w:vAlign w:val="center"/>
          </w:tcPr>
          <w:p w14:paraId="0BA5D99D">
            <w:pPr>
              <w:spacing w:line="300" w:lineRule="exact"/>
              <w:jc w:val="center"/>
              <w:rPr>
                <w:rFonts w:ascii="宋体" w:hAnsi="宋体"/>
                <w:sz w:val="22"/>
              </w:rPr>
            </w:pPr>
            <w:r>
              <w:rPr>
                <w:rFonts w:hint="eastAsia" w:ascii="宋体" w:hAnsi="宋体"/>
                <w:sz w:val="22"/>
              </w:rPr>
              <w:t>25</w:t>
            </w:r>
          </w:p>
        </w:tc>
      </w:tr>
      <w:tr w14:paraId="3548A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2B1200F3">
            <w:pPr>
              <w:numPr>
                <w:ilvl w:val="0"/>
                <w:numId w:val="1"/>
              </w:numPr>
              <w:spacing w:line="300" w:lineRule="exact"/>
              <w:jc w:val="right"/>
              <w:rPr>
                <w:rFonts w:ascii="宋体" w:hAnsi="宋体"/>
                <w:sz w:val="22"/>
              </w:rPr>
            </w:pPr>
          </w:p>
        </w:tc>
        <w:tc>
          <w:tcPr>
            <w:tcW w:w="1202" w:type="dxa"/>
            <w:vAlign w:val="center"/>
          </w:tcPr>
          <w:p w14:paraId="5B77BF04">
            <w:pPr>
              <w:spacing w:line="300" w:lineRule="exact"/>
              <w:jc w:val="center"/>
              <w:rPr>
                <w:rFonts w:ascii="宋体" w:hAnsi="宋体"/>
                <w:sz w:val="22"/>
              </w:rPr>
            </w:pPr>
            <w:r>
              <w:rPr>
                <w:rFonts w:hint="eastAsia" w:ascii="宋体" w:hAnsi="宋体"/>
                <w:sz w:val="22"/>
              </w:rPr>
              <w:t>质量保障措施及方案</w:t>
            </w:r>
          </w:p>
        </w:tc>
        <w:tc>
          <w:tcPr>
            <w:tcW w:w="4678" w:type="dxa"/>
          </w:tcPr>
          <w:p w14:paraId="377BE7C7">
            <w:pPr>
              <w:spacing w:line="300" w:lineRule="exact"/>
              <w:jc w:val="left"/>
              <w:rPr>
                <w:rFonts w:ascii="宋体" w:hAnsi="宋体"/>
                <w:kern w:val="0"/>
                <w:sz w:val="22"/>
              </w:rPr>
            </w:pPr>
            <w:r>
              <w:rPr>
                <w:rFonts w:hint="eastAsia" w:ascii="宋体" w:hAnsi="宋体"/>
                <w:kern w:val="0"/>
                <w:sz w:val="22"/>
              </w:rPr>
              <w:t>根据投标人对项目进度计划和人员安排、质量和进度保障措施是否合理、可行等进行分档评审：</w:t>
            </w:r>
          </w:p>
          <w:p w14:paraId="7198C0BD">
            <w:pPr>
              <w:spacing w:line="300" w:lineRule="exact"/>
              <w:ind w:left="-78" w:leftChars="-37" w:right="-73" w:rightChars="-35"/>
              <w:jc w:val="left"/>
              <w:rPr>
                <w:rFonts w:ascii="宋体" w:hAnsi="宋体"/>
                <w:kern w:val="0"/>
                <w:sz w:val="22"/>
              </w:rPr>
            </w:pPr>
            <w:r>
              <w:rPr>
                <w:rFonts w:hint="eastAsia" w:ascii="宋体" w:hAnsi="宋体"/>
                <w:kern w:val="0"/>
                <w:sz w:val="22"/>
              </w:rPr>
              <w:t>1</w:t>
            </w:r>
            <w:r>
              <w:rPr>
                <w:rFonts w:ascii="宋体" w:hAnsi="宋体"/>
                <w:kern w:val="0"/>
                <w:sz w:val="22"/>
              </w:rPr>
              <w:t>.</w:t>
            </w:r>
            <w:r>
              <w:rPr>
                <w:rFonts w:hint="eastAsia" w:ascii="宋体" w:hAnsi="宋体"/>
                <w:kern w:val="0"/>
                <w:sz w:val="22"/>
              </w:rPr>
              <w:t>评价为优，得100%；</w:t>
            </w:r>
          </w:p>
          <w:p w14:paraId="1A9E25F3">
            <w:pPr>
              <w:spacing w:line="300" w:lineRule="exact"/>
              <w:ind w:left="-78" w:leftChars="-37" w:right="-73" w:rightChars="-35"/>
              <w:jc w:val="left"/>
              <w:rPr>
                <w:rFonts w:ascii="宋体" w:hAnsi="宋体"/>
                <w:kern w:val="0"/>
                <w:sz w:val="22"/>
              </w:rPr>
            </w:pPr>
            <w:r>
              <w:rPr>
                <w:rFonts w:hint="eastAsia" w:ascii="宋体" w:hAnsi="宋体"/>
                <w:kern w:val="0"/>
                <w:sz w:val="22"/>
              </w:rPr>
              <w:t>2</w:t>
            </w:r>
            <w:r>
              <w:rPr>
                <w:rFonts w:ascii="宋体" w:hAnsi="宋体"/>
                <w:kern w:val="0"/>
                <w:sz w:val="22"/>
              </w:rPr>
              <w:t>.</w:t>
            </w:r>
            <w:r>
              <w:rPr>
                <w:rFonts w:hint="eastAsia" w:ascii="宋体" w:hAnsi="宋体"/>
                <w:kern w:val="0"/>
                <w:sz w:val="22"/>
              </w:rPr>
              <w:t>评价为良，得70%；</w:t>
            </w:r>
          </w:p>
          <w:p w14:paraId="6335AB71">
            <w:pPr>
              <w:spacing w:line="300" w:lineRule="exact"/>
              <w:ind w:left="-78" w:leftChars="-37" w:right="-73" w:rightChars="-35"/>
              <w:jc w:val="left"/>
              <w:rPr>
                <w:rFonts w:ascii="宋体" w:hAnsi="宋体"/>
                <w:kern w:val="0"/>
                <w:sz w:val="22"/>
              </w:rPr>
            </w:pPr>
            <w:r>
              <w:rPr>
                <w:rFonts w:hint="eastAsia" w:ascii="宋体" w:hAnsi="宋体"/>
                <w:kern w:val="0"/>
                <w:sz w:val="22"/>
              </w:rPr>
              <w:t>3</w:t>
            </w:r>
            <w:r>
              <w:rPr>
                <w:rFonts w:ascii="宋体" w:hAnsi="宋体"/>
                <w:kern w:val="0"/>
                <w:sz w:val="22"/>
              </w:rPr>
              <w:t>.</w:t>
            </w:r>
            <w:r>
              <w:rPr>
                <w:rFonts w:hint="eastAsia" w:ascii="宋体" w:hAnsi="宋体"/>
                <w:kern w:val="0"/>
                <w:sz w:val="22"/>
              </w:rPr>
              <w:t>评价为中，得40%；</w:t>
            </w:r>
          </w:p>
          <w:p w14:paraId="0BF827B4">
            <w:pPr>
              <w:spacing w:line="300" w:lineRule="exact"/>
              <w:ind w:left="-78" w:leftChars="-37" w:right="-73" w:rightChars="-35"/>
              <w:jc w:val="left"/>
              <w:rPr>
                <w:rFonts w:ascii="宋体" w:hAnsi="宋体"/>
                <w:kern w:val="0"/>
                <w:sz w:val="22"/>
              </w:rPr>
            </w:pPr>
            <w:r>
              <w:rPr>
                <w:rFonts w:hint="eastAsia" w:ascii="宋体" w:hAnsi="宋体"/>
                <w:kern w:val="0"/>
                <w:sz w:val="22"/>
              </w:rPr>
              <w:t>4</w:t>
            </w:r>
            <w:r>
              <w:rPr>
                <w:rFonts w:ascii="宋体" w:hAnsi="宋体"/>
                <w:kern w:val="0"/>
                <w:sz w:val="22"/>
              </w:rPr>
              <w:t>.</w:t>
            </w:r>
            <w:r>
              <w:rPr>
                <w:rFonts w:hint="eastAsia" w:ascii="宋体" w:hAnsi="宋体"/>
                <w:kern w:val="0"/>
                <w:sz w:val="22"/>
              </w:rPr>
              <w:t>评价为差，得10%。</w:t>
            </w:r>
          </w:p>
        </w:tc>
        <w:tc>
          <w:tcPr>
            <w:tcW w:w="850" w:type="dxa"/>
            <w:tcBorders>
              <w:right w:val="single" w:color="auto" w:sz="4" w:space="0"/>
            </w:tcBorders>
            <w:vAlign w:val="center"/>
          </w:tcPr>
          <w:p w14:paraId="05C59DA1">
            <w:pPr>
              <w:spacing w:line="300" w:lineRule="exact"/>
              <w:jc w:val="center"/>
              <w:rPr>
                <w:rFonts w:ascii="宋体" w:hAnsi="宋体"/>
                <w:sz w:val="22"/>
              </w:rPr>
            </w:pPr>
            <w:r>
              <w:rPr>
                <w:rFonts w:ascii="宋体" w:hAnsi="宋体"/>
                <w:sz w:val="22"/>
              </w:rPr>
              <w:t>10</w:t>
            </w:r>
          </w:p>
        </w:tc>
        <w:tc>
          <w:tcPr>
            <w:tcW w:w="851" w:type="dxa"/>
            <w:tcBorders>
              <w:left w:val="single" w:color="auto" w:sz="4" w:space="0"/>
            </w:tcBorders>
            <w:vAlign w:val="center"/>
          </w:tcPr>
          <w:p w14:paraId="37064399">
            <w:pPr>
              <w:spacing w:line="300" w:lineRule="exact"/>
              <w:jc w:val="center"/>
              <w:rPr>
                <w:rFonts w:ascii="宋体" w:hAnsi="宋体"/>
                <w:sz w:val="22"/>
              </w:rPr>
            </w:pPr>
            <w:r>
              <w:rPr>
                <w:rFonts w:ascii="宋体" w:hAnsi="宋体"/>
                <w:sz w:val="22"/>
              </w:rPr>
              <w:t>10</w:t>
            </w:r>
          </w:p>
        </w:tc>
      </w:tr>
      <w:tr w14:paraId="1F333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28A3A7A9">
            <w:pPr>
              <w:numPr>
                <w:ilvl w:val="0"/>
                <w:numId w:val="1"/>
              </w:numPr>
              <w:spacing w:line="300" w:lineRule="exact"/>
              <w:jc w:val="right"/>
              <w:rPr>
                <w:rFonts w:ascii="宋体" w:hAnsi="宋体"/>
                <w:sz w:val="22"/>
              </w:rPr>
            </w:pPr>
          </w:p>
        </w:tc>
        <w:tc>
          <w:tcPr>
            <w:tcW w:w="1202" w:type="dxa"/>
            <w:vAlign w:val="center"/>
          </w:tcPr>
          <w:p w14:paraId="2D44CEFF">
            <w:pPr>
              <w:spacing w:line="300" w:lineRule="exact"/>
              <w:jc w:val="center"/>
              <w:rPr>
                <w:rFonts w:ascii="宋体" w:hAnsi="宋体"/>
                <w:sz w:val="22"/>
              </w:rPr>
            </w:pPr>
            <w:r>
              <w:rPr>
                <w:rFonts w:hint="eastAsia" w:ascii="宋体" w:hAnsi="宋体"/>
                <w:sz w:val="22"/>
              </w:rPr>
              <w:t>违约承诺</w:t>
            </w:r>
          </w:p>
        </w:tc>
        <w:tc>
          <w:tcPr>
            <w:tcW w:w="4678" w:type="dxa"/>
          </w:tcPr>
          <w:p w14:paraId="6554612B">
            <w:pPr>
              <w:spacing w:line="300" w:lineRule="exact"/>
              <w:jc w:val="left"/>
              <w:rPr>
                <w:rFonts w:ascii="宋体" w:hAnsi="宋体"/>
                <w:kern w:val="0"/>
                <w:sz w:val="22"/>
              </w:rPr>
            </w:pPr>
            <w:r>
              <w:rPr>
                <w:rFonts w:hint="eastAsia" w:ascii="宋体" w:hAnsi="宋体"/>
                <w:kern w:val="0"/>
                <w:sz w:val="22"/>
              </w:rPr>
              <w:t>提供违约承诺，承诺满足招标文件要求，保证措施合理且有针对性，有具体的违约责任承诺。</w:t>
            </w:r>
          </w:p>
          <w:p w14:paraId="43C49CDF">
            <w:pPr>
              <w:spacing w:line="300" w:lineRule="exact"/>
              <w:jc w:val="left"/>
              <w:rPr>
                <w:rFonts w:ascii="宋体" w:hAnsi="宋体"/>
                <w:kern w:val="0"/>
                <w:sz w:val="22"/>
              </w:rPr>
            </w:pPr>
            <w:r>
              <w:rPr>
                <w:rFonts w:hint="eastAsia" w:ascii="宋体" w:hAnsi="宋体"/>
                <w:kern w:val="0"/>
                <w:sz w:val="22"/>
              </w:rPr>
              <w:t>投标人提供违约承诺得100%。要求提供承诺（格式自定）作为得分依据，未提供承诺或承诺内容不满足要求不得分。</w:t>
            </w:r>
          </w:p>
        </w:tc>
        <w:tc>
          <w:tcPr>
            <w:tcW w:w="850" w:type="dxa"/>
            <w:tcBorders>
              <w:right w:val="single" w:color="auto" w:sz="4" w:space="0"/>
            </w:tcBorders>
            <w:vAlign w:val="center"/>
          </w:tcPr>
          <w:p w14:paraId="0FF66923">
            <w:pPr>
              <w:spacing w:line="300" w:lineRule="exact"/>
              <w:jc w:val="center"/>
              <w:rPr>
                <w:rFonts w:ascii="宋体" w:hAnsi="宋体"/>
                <w:sz w:val="22"/>
              </w:rPr>
            </w:pPr>
            <w:r>
              <w:rPr>
                <w:rFonts w:ascii="宋体" w:hAnsi="宋体"/>
                <w:sz w:val="22"/>
              </w:rPr>
              <w:t>5</w:t>
            </w:r>
          </w:p>
        </w:tc>
        <w:tc>
          <w:tcPr>
            <w:tcW w:w="851" w:type="dxa"/>
            <w:tcBorders>
              <w:left w:val="single" w:color="auto" w:sz="4" w:space="0"/>
            </w:tcBorders>
            <w:vAlign w:val="center"/>
          </w:tcPr>
          <w:p w14:paraId="5A91192B">
            <w:pPr>
              <w:spacing w:line="300" w:lineRule="exact"/>
              <w:jc w:val="center"/>
              <w:rPr>
                <w:rFonts w:ascii="宋体" w:hAnsi="宋体"/>
                <w:sz w:val="22"/>
              </w:rPr>
            </w:pPr>
            <w:r>
              <w:rPr>
                <w:rFonts w:ascii="宋体" w:hAnsi="宋体"/>
                <w:sz w:val="22"/>
              </w:rPr>
              <w:t>5</w:t>
            </w:r>
          </w:p>
        </w:tc>
      </w:tr>
      <w:tr w14:paraId="160B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55FF48AB">
            <w:pPr>
              <w:spacing w:line="300" w:lineRule="exact"/>
              <w:ind w:left="-78" w:leftChars="-37" w:right="-73" w:rightChars="-35"/>
              <w:jc w:val="center"/>
              <w:rPr>
                <w:rFonts w:ascii="宋体" w:hAnsi="宋体"/>
                <w:b/>
                <w:sz w:val="22"/>
              </w:rPr>
            </w:pPr>
            <w:r>
              <w:rPr>
                <w:rFonts w:hint="eastAsia" w:ascii="宋体" w:hAnsi="宋体"/>
                <w:b/>
                <w:sz w:val="22"/>
              </w:rPr>
              <w:t>二</w:t>
            </w:r>
          </w:p>
        </w:tc>
        <w:tc>
          <w:tcPr>
            <w:tcW w:w="7581" w:type="dxa"/>
            <w:gridSpan w:val="4"/>
            <w:vAlign w:val="center"/>
          </w:tcPr>
          <w:p w14:paraId="5EAAEF71">
            <w:pPr>
              <w:spacing w:line="300" w:lineRule="exact"/>
              <w:ind w:left="-78" w:leftChars="-37" w:right="-73" w:rightChars="-35"/>
              <w:jc w:val="center"/>
              <w:rPr>
                <w:rFonts w:ascii="宋体" w:hAnsi="宋体"/>
                <w:b/>
                <w:sz w:val="22"/>
              </w:rPr>
            </w:pPr>
            <w:r>
              <w:rPr>
                <w:rFonts w:hint="eastAsia" w:ascii="宋体" w:hAnsi="宋体"/>
                <w:b/>
                <w:sz w:val="22"/>
              </w:rPr>
              <w:t>商务部分（合计</w:t>
            </w:r>
            <w:r>
              <w:rPr>
                <w:rFonts w:ascii="宋体" w:hAnsi="宋体"/>
                <w:b/>
                <w:sz w:val="22"/>
              </w:rPr>
              <w:t>5</w:t>
            </w:r>
            <w:r>
              <w:rPr>
                <w:rFonts w:hint="eastAsia" w:ascii="宋体" w:hAnsi="宋体"/>
                <w:b/>
                <w:sz w:val="22"/>
              </w:rPr>
              <w:t>0分）</w:t>
            </w:r>
          </w:p>
        </w:tc>
      </w:tr>
      <w:tr w14:paraId="74457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04E77CAF">
            <w:pPr>
              <w:numPr>
                <w:ilvl w:val="0"/>
                <w:numId w:val="2"/>
              </w:numPr>
              <w:spacing w:line="300" w:lineRule="exact"/>
              <w:jc w:val="center"/>
              <w:rPr>
                <w:rFonts w:ascii="宋体" w:hAnsi="宋体"/>
                <w:sz w:val="22"/>
              </w:rPr>
            </w:pPr>
          </w:p>
        </w:tc>
        <w:tc>
          <w:tcPr>
            <w:tcW w:w="1202" w:type="dxa"/>
            <w:vAlign w:val="center"/>
          </w:tcPr>
          <w:p w14:paraId="01002A3E">
            <w:pPr>
              <w:spacing w:line="300" w:lineRule="exact"/>
              <w:jc w:val="center"/>
              <w:rPr>
                <w:rFonts w:ascii="Arial" w:hAnsi="Arial" w:eastAsia="黑体"/>
                <w:b/>
                <w:bCs/>
                <w:sz w:val="22"/>
                <w:szCs w:val="32"/>
              </w:rPr>
            </w:pPr>
            <w:r>
              <w:rPr>
                <w:rFonts w:hint="eastAsia" w:ascii="宋体" w:hAnsi="宋体"/>
                <w:sz w:val="22"/>
              </w:rPr>
              <w:t>投标人经验</w:t>
            </w:r>
          </w:p>
        </w:tc>
        <w:tc>
          <w:tcPr>
            <w:tcW w:w="4678" w:type="dxa"/>
            <w:vAlign w:val="center"/>
          </w:tcPr>
          <w:p w14:paraId="2BBB1700">
            <w:pPr>
              <w:spacing w:line="300" w:lineRule="exact"/>
              <w:jc w:val="left"/>
              <w:rPr>
                <w:rFonts w:ascii="宋体" w:hAnsi="宋体"/>
                <w:b/>
                <w:kern w:val="0"/>
                <w:sz w:val="22"/>
              </w:rPr>
            </w:pPr>
            <w:r>
              <w:rPr>
                <w:rFonts w:hint="eastAsia" w:ascii="宋体" w:hAnsi="宋体"/>
                <w:b/>
                <w:kern w:val="0"/>
                <w:sz w:val="22"/>
              </w:rPr>
              <w:t>1</w:t>
            </w:r>
            <w:r>
              <w:rPr>
                <w:rFonts w:ascii="宋体" w:hAnsi="宋体"/>
                <w:b/>
                <w:kern w:val="0"/>
                <w:sz w:val="22"/>
              </w:rPr>
              <w:t>.</w:t>
            </w:r>
            <w:r>
              <w:rPr>
                <w:rFonts w:hint="eastAsia" w:ascii="宋体" w:hAnsi="宋体"/>
                <w:b/>
                <w:kern w:val="0"/>
                <w:sz w:val="22"/>
              </w:rPr>
              <w:t>评分内容：</w:t>
            </w:r>
          </w:p>
          <w:p w14:paraId="5F10CC01">
            <w:pPr>
              <w:spacing w:line="300" w:lineRule="exact"/>
              <w:jc w:val="left"/>
              <w:rPr>
                <w:rFonts w:ascii="宋体" w:hAnsi="宋体"/>
                <w:kern w:val="0"/>
                <w:sz w:val="22"/>
              </w:rPr>
            </w:pPr>
            <w:r>
              <w:rPr>
                <w:rFonts w:hint="eastAsia" w:ascii="宋体" w:hAnsi="宋体"/>
                <w:kern w:val="0"/>
                <w:sz w:val="22"/>
              </w:rPr>
              <w:t>自2022年1月1日起至本项目投标截止之日，牵头承担过国家、省或市级规划编制、政策研究类政府课题，按国家级每项20%、省级每项15%、市级每项10%进行计分，最高得分不超过100%。</w:t>
            </w:r>
          </w:p>
          <w:p w14:paraId="5B443594">
            <w:pPr>
              <w:spacing w:line="300" w:lineRule="exact"/>
              <w:jc w:val="left"/>
              <w:rPr>
                <w:rFonts w:ascii="宋体" w:hAnsi="宋体"/>
                <w:b/>
                <w:kern w:val="0"/>
                <w:sz w:val="22"/>
              </w:rPr>
            </w:pPr>
            <w:r>
              <w:rPr>
                <w:rFonts w:hint="eastAsia" w:ascii="宋体" w:hAnsi="宋体"/>
                <w:b/>
                <w:kern w:val="0"/>
                <w:sz w:val="22"/>
              </w:rPr>
              <w:t>2</w:t>
            </w:r>
            <w:r>
              <w:rPr>
                <w:rFonts w:ascii="宋体" w:hAnsi="宋体"/>
                <w:b/>
                <w:kern w:val="0"/>
                <w:sz w:val="22"/>
              </w:rPr>
              <w:t>.</w:t>
            </w:r>
            <w:r>
              <w:rPr>
                <w:rFonts w:hint="eastAsia" w:ascii="宋体" w:hAnsi="宋体"/>
                <w:b/>
                <w:kern w:val="0"/>
                <w:sz w:val="22"/>
              </w:rPr>
              <w:t>评分依据：</w:t>
            </w:r>
          </w:p>
          <w:p w14:paraId="4F9A235A">
            <w:pPr>
              <w:spacing w:line="300" w:lineRule="exact"/>
              <w:ind w:left="-63" w:leftChars="-30" w:right="-88" w:rightChars="-42"/>
              <w:jc w:val="left"/>
              <w:rPr>
                <w:rFonts w:ascii="宋体" w:hAnsi="宋体"/>
                <w:kern w:val="0"/>
                <w:sz w:val="22"/>
              </w:rPr>
            </w:pPr>
            <w:r>
              <w:rPr>
                <w:rFonts w:hint="eastAsia" w:ascii="宋体" w:hAnsi="宋体"/>
                <w:kern w:val="0"/>
                <w:sz w:val="22"/>
              </w:rPr>
              <w:t>（1）要求提供中标通知书、合同关键页或其他证明文件。</w:t>
            </w:r>
          </w:p>
          <w:p w14:paraId="5CE892F1">
            <w:pPr>
              <w:spacing w:line="300" w:lineRule="exact"/>
              <w:ind w:left="-63" w:leftChars="-30" w:right="-88" w:rightChars="-42"/>
              <w:jc w:val="left"/>
              <w:rPr>
                <w:rFonts w:ascii="宋体" w:hAnsi="宋体"/>
                <w:kern w:val="0"/>
                <w:sz w:val="22"/>
              </w:rPr>
            </w:pPr>
            <w:r>
              <w:rPr>
                <w:rFonts w:hint="eastAsia" w:ascii="宋体" w:hAnsi="宋体"/>
                <w:kern w:val="0"/>
                <w:sz w:val="22"/>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098B14E2">
            <w:pPr>
              <w:spacing w:line="300" w:lineRule="exact"/>
              <w:jc w:val="center"/>
              <w:rPr>
                <w:rFonts w:ascii="宋体" w:hAnsi="宋体"/>
                <w:sz w:val="22"/>
              </w:rPr>
            </w:pPr>
            <w:r>
              <w:rPr>
                <w:rFonts w:ascii="宋体" w:hAnsi="宋体"/>
                <w:sz w:val="22"/>
              </w:rPr>
              <w:t>15</w:t>
            </w:r>
          </w:p>
        </w:tc>
        <w:tc>
          <w:tcPr>
            <w:tcW w:w="851" w:type="dxa"/>
            <w:tcBorders>
              <w:left w:val="single" w:color="auto" w:sz="4" w:space="0"/>
            </w:tcBorders>
            <w:vAlign w:val="center"/>
          </w:tcPr>
          <w:p w14:paraId="057C8084">
            <w:pPr>
              <w:spacing w:line="300" w:lineRule="exact"/>
              <w:jc w:val="center"/>
              <w:rPr>
                <w:rFonts w:ascii="宋体" w:hAnsi="宋体"/>
                <w:sz w:val="22"/>
              </w:rPr>
            </w:pPr>
            <w:r>
              <w:rPr>
                <w:rFonts w:ascii="宋体" w:hAnsi="宋体"/>
                <w:sz w:val="22"/>
              </w:rPr>
              <w:t>15</w:t>
            </w:r>
          </w:p>
        </w:tc>
      </w:tr>
      <w:tr w14:paraId="59C3E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502F15A8">
            <w:pPr>
              <w:numPr>
                <w:ilvl w:val="0"/>
                <w:numId w:val="2"/>
              </w:numPr>
              <w:spacing w:line="300" w:lineRule="exact"/>
              <w:jc w:val="center"/>
              <w:rPr>
                <w:rFonts w:ascii="宋体" w:hAnsi="宋体"/>
                <w:sz w:val="22"/>
              </w:rPr>
            </w:pPr>
          </w:p>
        </w:tc>
        <w:tc>
          <w:tcPr>
            <w:tcW w:w="1202" w:type="dxa"/>
            <w:vAlign w:val="center"/>
          </w:tcPr>
          <w:p w14:paraId="55081449">
            <w:pPr>
              <w:spacing w:line="300" w:lineRule="exact"/>
              <w:jc w:val="center"/>
              <w:rPr>
                <w:rFonts w:ascii="宋体" w:hAnsi="宋体"/>
                <w:sz w:val="22"/>
              </w:rPr>
            </w:pPr>
            <w:r>
              <w:rPr>
                <w:rFonts w:hint="eastAsia" w:ascii="宋体" w:hAnsi="宋体"/>
                <w:sz w:val="22"/>
              </w:rPr>
              <w:t>投标人获奖情况</w:t>
            </w:r>
          </w:p>
        </w:tc>
        <w:tc>
          <w:tcPr>
            <w:tcW w:w="4678" w:type="dxa"/>
          </w:tcPr>
          <w:p w14:paraId="5078516C">
            <w:pPr>
              <w:spacing w:line="300" w:lineRule="exact"/>
              <w:jc w:val="left"/>
              <w:rPr>
                <w:rFonts w:ascii="宋体" w:hAnsi="宋体"/>
                <w:b/>
                <w:kern w:val="0"/>
                <w:sz w:val="22"/>
              </w:rPr>
            </w:pPr>
            <w:r>
              <w:rPr>
                <w:rFonts w:hint="eastAsia" w:ascii="宋体" w:hAnsi="宋体"/>
                <w:b/>
                <w:kern w:val="0"/>
                <w:sz w:val="22"/>
              </w:rPr>
              <w:t>1</w:t>
            </w:r>
            <w:r>
              <w:rPr>
                <w:rFonts w:ascii="宋体" w:hAnsi="宋体"/>
                <w:b/>
                <w:kern w:val="0"/>
                <w:sz w:val="22"/>
              </w:rPr>
              <w:t>.</w:t>
            </w:r>
            <w:r>
              <w:rPr>
                <w:rFonts w:hint="eastAsia" w:ascii="宋体" w:hAnsi="宋体"/>
                <w:b/>
                <w:kern w:val="0"/>
                <w:sz w:val="22"/>
              </w:rPr>
              <w:t>评分内容：</w:t>
            </w:r>
          </w:p>
          <w:p w14:paraId="5871BF78">
            <w:pPr>
              <w:spacing w:line="300" w:lineRule="exact"/>
              <w:jc w:val="left"/>
              <w:rPr>
                <w:rFonts w:ascii="宋体" w:hAnsi="宋体"/>
                <w:kern w:val="0"/>
                <w:sz w:val="22"/>
              </w:rPr>
            </w:pPr>
            <w:r>
              <w:rPr>
                <w:rFonts w:hint="eastAsia" w:ascii="宋体" w:hAnsi="宋体"/>
                <w:kern w:val="0"/>
                <w:sz w:val="22"/>
              </w:rPr>
              <w:t>自2022年1月1日起至本项目投标截止之日，投标人承担的研究项目获得政府颁发的奖项（以获奖证书颁发时间为准），按国家级每项30%，省级每项20%进行计分，最高得分不超过100%。</w:t>
            </w:r>
          </w:p>
          <w:p w14:paraId="6776A168">
            <w:pPr>
              <w:spacing w:line="300" w:lineRule="exact"/>
              <w:jc w:val="left"/>
              <w:rPr>
                <w:rFonts w:ascii="宋体" w:hAnsi="宋体"/>
                <w:b/>
                <w:kern w:val="0"/>
                <w:sz w:val="22"/>
              </w:rPr>
            </w:pPr>
            <w:r>
              <w:rPr>
                <w:rFonts w:hint="eastAsia" w:ascii="宋体" w:hAnsi="宋体"/>
                <w:b/>
                <w:kern w:val="0"/>
                <w:sz w:val="22"/>
              </w:rPr>
              <w:t>2</w:t>
            </w:r>
            <w:r>
              <w:rPr>
                <w:rFonts w:ascii="宋体" w:hAnsi="宋体"/>
                <w:b/>
                <w:kern w:val="0"/>
                <w:sz w:val="22"/>
              </w:rPr>
              <w:t>.</w:t>
            </w:r>
            <w:r>
              <w:rPr>
                <w:rFonts w:hint="eastAsia" w:ascii="宋体" w:hAnsi="宋体"/>
                <w:b/>
                <w:kern w:val="0"/>
                <w:sz w:val="22"/>
              </w:rPr>
              <w:t>评分依据：</w:t>
            </w:r>
          </w:p>
          <w:p w14:paraId="53459900">
            <w:pPr>
              <w:spacing w:line="300" w:lineRule="exact"/>
              <w:ind w:left="-63" w:leftChars="-30" w:right="-88" w:rightChars="-42"/>
              <w:jc w:val="left"/>
              <w:rPr>
                <w:rFonts w:ascii="宋体" w:hAnsi="宋体"/>
                <w:kern w:val="0"/>
                <w:sz w:val="22"/>
              </w:rPr>
            </w:pPr>
            <w:r>
              <w:rPr>
                <w:rFonts w:hint="eastAsia" w:ascii="宋体" w:hAnsi="宋体"/>
                <w:kern w:val="0"/>
                <w:sz w:val="22"/>
              </w:rPr>
              <w:t>（1）要求提供相关证明文件。</w:t>
            </w:r>
          </w:p>
          <w:p w14:paraId="0DCC68CA">
            <w:pPr>
              <w:spacing w:line="300" w:lineRule="exact"/>
              <w:ind w:left="-63" w:leftChars="-30" w:right="-88" w:rightChars="-42"/>
              <w:jc w:val="left"/>
              <w:rPr>
                <w:rFonts w:ascii="宋体" w:hAnsi="宋体"/>
                <w:kern w:val="0"/>
                <w:sz w:val="22"/>
              </w:rPr>
            </w:pPr>
            <w:r>
              <w:rPr>
                <w:rFonts w:hint="eastAsia" w:ascii="宋体" w:hAnsi="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39A44C95">
            <w:pPr>
              <w:spacing w:line="300" w:lineRule="exact"/>
              <w:jc w:val="center"/>
              <w:rPr>
                <w:rFonts w:ascii="宋体" w:hAnsi="宋体"/>
                <w:sz w:val="22"/>
              </w:rPr>
            </w:pPr>
            <w:r>
              <w:rPr>
                <w:rFonts w:ascii="宋体" w:hAnsi="宋体"/>
                <w:sz w:val="22"/>
              </w:rPr>
              <w:t>10</w:t>
            </w:r>
          </w:p>
        </w:tc>
        <w:tc>
          <w:tcPr>
            <w:tcW w:w="851" w:type="dxa"/>
            <w:tcBorders>
              <w:left w:val="single" w:color="auto" w:sz="4" w:space="0"/>
            </w:tcBorders>
            <w:vAlign w:val="center"/>
          </w:tcPr>
          <w:p w14:paraId="58ABFA5F">
            <w:pPr>
              <w:spacing w:line="300" w:lineRule="exact"/>
              <w:jc w:val="center"/>
              <w:rPr>
                <w:rFonts w:ascii="宋体" w:hAnsi="宋体"/>
                <w:sz w:val="22"/>
              </w:rPr>
            </w:pPr>
            <w:r>
              <w:rPr>
                <w:rFonts w:ascii="宋体" w:hAnsi="宋体"/>
                <w:sz w:val="22"/>
              </w:rPr>
              <w:t>10</w:t>
            </w:r>
          </w:p>
        </w:tc>
      </w:tr>
      <w:tr w14:paraId="773AD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5EA1681">
            <w:pPr>
              <w:numPr>
                <w:ilvl w:val="0"/>
                <w:numId w:val="2"/>
              </w:numPr>
              <w:spacing w:line="300" w:lineRule="exact"/>
              <w:jc w:val="center"/>
              <w:rPr>
                <w:rFonts w:ascii="宋体" w:hAnsi="宋体"/>
                <w:sz w:val="22"/>
              </w:rPr>
            </w:pPr>
          </w:p>
        </w:tc>
        <w:tc>
          <w:tcPr>
            <w:tcW w:w="1202" w:type="dxa"/>
            <w:vAlign w:val="center"/>
          </w:tcPr>
          <w:p w14:paraId="0775D67A">
            <w:pPr>
              <w:spacing w:line="300" w:lineRule="exact"/>
              <w:jc w:val="center"/>
              <w:rPr>
                <w:rFonts w:ascii="宋体" w:hAnsi="宋体"/>
                <w:sz w:val="22"/>
                <w:highlight w:val="yellow"/>
              </w:rPr>
            </w:pPr>
            <w:r>
              <w:rPr>
                <w:rFonts w:hint="eastAsia" w:ascii="宋体" w:hAnsi="宋体"/>
                <w:sz w:val="22"/>
              </w:rPr>
              <w:t>拟安排的项目负责人情况（仅限一人）</w:t>
            </w:r>
          </w:p>
        </w:tc>
        <w:tc>
          <w:tcPr>
            <w:tcW w:w="4678" w:type="dxa"/>
          </w:tcPr>
          <w:p w14:paraId="574D28CC">
            <w:pPr>
              <w:spacing w:line="300" w:lineRule="exact"/>
              <w:jc w:val="left"/>
              <w:rPr>
                <w:rFonts w:ascii="宋体" w:hAnsi="宋体"/>
                <w:b/>
                <w:kern w:val="0"/>
                <w:sz w:val="22"/>
              </w:rPr>
            </w:pPr>
            <w:r>
              <w:rPr>
                <w:rFonts w:hint="eastAsia" w:ascii="宋体" w:hAnsi="宋体"/>
                <w:b/>
                <w:kern w:val="0"/>
                <w:sz w:val="22"/>
              </w:rPr>
              <w:t>1</w:t>
            </w:r>
            <w:r>
              <w:rPr>
                <w:rFonts w:ascii="宋体" w:hAnsi="宋体"/>
                <w:b/>
                <w:kern w:val="0"/>
                <w:sz w:val="22"/>
              </w:rPr>
              <w:t>.</w:t>
            </w:r>
            <w:r>
              <w:rPr>
                <w:rFonts w:hint="eastAsia" w:ascii="宋体" w:hAnsi="宋体"/>
                <w:b/>
                <w:kern w:val="0"/>
                <w:sz w:val="22"/>
              </w:rPr>
              <w:t>评分内容：</w:t>
            </w:r>
          </w:p>
          <w:p w14:paraId="39649DE3">
            <w:pPr>
              <w:spacing w:line="300" w:lineRule="exact"/>
              <w:ind w:left="-63" w:leftChars="-30" w:right="-88" w:rightChars="-42"/>
              <w:jc w:val="left"/>
              <w:rPr>
                <w:rFonts w:ascii="宋体" w:hAnsi="宋体"/>
                <w:kern w:val="0"/>
                <w:sz w:val="22"/>
              </w:rPr>
            </w:pPr>
            <w:r>
              <w:rPr>
                <w:rFonts w:hint="eastAsia" w:ascii="宋体" w:hAnsi="宋体"/>
                <w:kern w:val="0"/>
                <w:sz w:val="22"/>
              </w:rPr>
              <w:t>项目负责人必须具有博士学位，否则不得分，在此基础上对其资质（资格）情况进行以下评分：（1）项目负责人具有副高级及以上职称得40%，否则不得分。</w:t>
            </w:r>
          </w:p>
          <w:p w14:paraId="4F17765A">
            <w:pPr>
              <w:spacing w:line="300" w:lineRule="exact"/>
              <w:ind w:left="-63" w:leftChars="-30" w:right="-88" w:rightChars="-42"/>
              <w:jc w:val="left"/>
              <w:rPr>
                <w:rFonts w:ascii="宋体" w:hAnsi="宋体"/>
                <w:kern w:val="0"/>
                <w:sz w:val="22"/>
              </w:rPr>
            </w:pPr>
            <w:r>
              <w:rPr>
                <w:rFonts w:hint="eastAsia" w:ascii="宋体" w:hAnsi="宋体"/>
                <w:kern w:val="0"/>
                <w:sz w:val="22"/>
              </w:rPr>
              <w:t>（2）项目负责人主持或参与过国家、省或市级规划编制、政策研究类政府课题，每提供1个得15%，最高得分不超过60%。</w:t>
            </w:r>
          </w:p>
          <w:p w14:paraId="6088B31E">
            <w:pPr>
              <w:spacing w:line="300" w:lineRule="exact"/>
              <w:jc w:val="left"/>
              <w:rPr>
                <w:rFonts w:ascii="宋体" w:hAnsi="宋体"/>
                <w:b/>
                <w:kern w:val="0"/>
                <w:sz w:val="22"/>
              </w:rPr>
            </w:pPr>
            <w:r>
              <w:rPr>
                <w:rFonts w:hint="eastAsia" w:ascii="宋体" w:hAnsi="宋体"/>
                <w:b/>
                <w:kern w:val="0"/>
                <w:sz w:val="22"/>
              </w:rPr>
              <w:t>2</w:t>
            </w:r>
            <w:r>
              <w:rPr>
                <w:rFonts w:ascii="宋体" w:hAnsi="宋体"/>
                <w:b/>
                <w:kern w:val="0"/>
                <w:sz w:val="22"/>
              </w:rPr>
              <w:t>.</w:t>
            </w:r>
            <w:r>
              <w:rPr>
                <w:rFonts w:hint="eastAsia" w:ascii="宋体" w:hAnsi="宋体"/>
                <w:b/>
                <w:kern w:val="0"/>
                <w:sz w:val="22"/>
              </w:rPr>
              <w:t>评分依据：</w:t>
            </w:r>
          </w:p>
          <w:p w14:paraId="4537F99B">
            <w:pPr>
              <w:spacing w:line="300" w:lineRule="exact"/>
              <w:ind w:left="-63" w:leftChars="-30" w:right="-88" w:rightChars="-42"/>
              <w:jc w:val="left"/>
              <w:rPr>
                <w:rFonts w:ascii="宋体" w:hAnsi="宋体"/>
                <w:kern w:val="0"/>
                <w:sz w:val="22"/>
              </w:rPr>
            </w:pPr>
            <w:r>
              <w:rPr>
                <w:rFonts w:hint="eastAsia" w:ascii="宋体" w:hAnsi="宋体"/>
                <w:kern w:val="0"/>
                <w:sz w:val="22"/>
              </w:rPr>
              <w:t>（1）要求提供通过投标人购买的项目负责人近三个月社保，学位或职称文件，业绩合同关键页或其他证明文件（需要体现人员信息，若无人员信息，须提供工作单位出具的证明材料）。</w:t>
            </w:r>
          </w:p>
          <w:p w14:paraId="5487A5C8">
            <w:pPr>
              <w:spacing w:line="300" w:lineRule="exact"/>
              <w:ind w:left="-63" w:leftChars="-30" w:right="-88" w:rightChars="-42"/>
              <w:jc w:val="left"/>
              <w:rPr>
                <w:rFonts w:ascii="宋体" w:hAnsi="宋体"/>
                <w:kern w:val="0"/>
                <w:sz w:val="22"/>
                <w:highlight w:val="yellow"/>
              </w:rPr>
            </w:pPr>
            <w:r>
              <w:rPr>
                <w:rFonts w:hint="eastAsia" w:ascii="宋体" w:hAnsi="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6D69203">
            <w:pPr>
              <w:spacing w:line="300" w:lineRule="exact"/>
              <w:jc w:val="center"/>
              <w:rPr>
                <w:rFonts w:ascii="宋体" w:hAnsi="宋体"/>
                <w:sz w:val="22"/>
              </w:rPr>
            </w:pPr>
            <w:r>
              <w:rPr>
                <w:rFonts w:ascii="宋体" w:hAnsi="宋体"/>
                <w:sz w:val="22"/>
              </w:rPr>
              <w:t>10</w:t>
            </w:r>
          </w:p>
        </w:tc>
        <w:tc>
          <w:tcPr>
            <w:tcW w:w="851" w:type="dxa"/>
            <w:tcBorders>
              <w:left w:val="single" w:color="auto" w:sz="4" w:space="0"/>
            </w:tcBorders>
            <w:vAlign w:val="center"/>
          </w:tcPr>
          <w:p w14:paraId="60B9548D">
            <w:pPr>
              <w:spacing w:line="300" w:lineRule="exact"/>
              <w:jc w:val="center"/>
              <w:rPr>
                <w:rFonts w:ascii="宋体" w:hAnsi="宋体"/>
                <w:sz w:val="22"/>
              </w:rPr>
            </w:pPr>
            <w:r>
              <w:rPr>
                <w:rFonts w:ascii="宋体" w:hAnsi="宋体"/>
                <w:sz w:val="22"/>
              </w:rPr>
              <w:t>10</w:t>
            </w:r>
          </w:p>
        </w:tc>
      </w:tr>
      <w:tr w14:paraId="7584D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2EDDC76">
            <w:pPr>
              <w:numPr>
                <w:ilvl w:val="0"/>
                <w:numId w:val="2"/>
              </w:numPr>
              <w:spacing w:line="300" w:lineRule="exact"/>
              <w:jc w:val="center"/>
              <w:rPr>
                <w:rFonts w:ascii="宋体" w:hAnsi="宋体"/>
                <w:sz w:val="22"/>
              </w:rPr>
            </w:pPr>
          </w:p>
        </w:tc>
        <w:tc>
          <w:tcPr>
            <w:tcW w:w="1202" w:type="dxa"/>
            <w:vAlign w:val="center"/>
          </w:tcPr>
          <w:p w14:paraId="7ACEA664">
            <w:pPr>
              <w:spacing w:line="300" w:lineRule="exact"/>
              <w:jc w:val="center"/>
              <w:rPr>
                <w:rFonts w:ascii="宋体" w:hAnsi="宋体"/>
                <w:sz w:val="22"/>
              </w:rPr>
            </w:pPr>
            <w:r>
              <w:rPr>
                <w:rFonts w:hint="eastAsia" w:ascii="宋体" w:hAnsi="宋体"/>
                <w:sz w:val="22"/>
              </w:rPr>
              <w:t>拟安排的项目主要团队成员（主要技术人员）情况（项目负责人除外）</w:t>
            </w:r>
          </w:p>
        </w:tc>
        <w:tc>
          <w:tcPr>
            <w:tcW w:w="4678" w:type="dxa"/>
          </w:tcPr>
          <w:p w14:paraId="35A8EFEA">
            <w:pPr>
              <w:spacing w:line="300" w:lineRule="exact"/>
              <w:jc w:val="left"/>
              <w:rPr>
                <w:rFonts w:ascii="宋体" w:hAnsi="宋体"/>
                <w:b/>
                <w:kern w:val="0"/>
                <w:sz w:val="22"/>
              </w:rPr>
            </w:pPr>
            <w:r>
              <w:rPr>
                <w:rFonts w:hint="eastAsia" w:ascii="宋体" w:hAnsi="宋体"/>
                <w:b/>
                <w:kern w:val="0"/>
                <w:sz w:val="22"/>
              </w:rPr>
              <w:t>1</w:t>
            </w:r>
            <w:r>
              <w:rPr>
                <w:rFonts w:ascii="宋体" w:hAnsi="宋体"/>
                <w:b/>
                <w:kern w:val="0"/>
                <w:sz w:val="22"/>
              </w:rPr>
              <w:t>.</w:t>
            </w:r>
            <w:r>
              <w:rPr>
                <w:rFonts w:hint="eastAsia" w:ascii="宋体" w:hAnsi="宋体"/>
                <w:b/>
                <w:kern w:val="0"/>
                <w:sz w:val="22"/>
              </w:rPr>
              <w:t>评分内容：</w:t>
            </w:r>
          </w:p>
          <w:p w14:paraId="487E3154">
            <w:pPr>
              <w:spacing w:line="300" w:lineRule="exact"/>
              <w:jc w:val="left"/>
              <w:rPr>
                <w:rFonts w:ascii="宋体" w:hAnsi="宋体"/>
                <w:kern w:val="0"/>
                <w:sz w:val="22"/>
              </w:rPr>
            </w:pPr>
            <w:r>
              <w:rPr>
                <w:rFonts w:hint="eastAsia" w:ascii="宋体" w:hAnsi="宋体"/>
                <w:kern w:val="0"/>
                <w:sz w:val="22"/>
              </w:rPr>
              <w:t>项目团队中每提供1位有高级职称且具备博士学位人员得30%，每提供1位有中级职称且具备硕士学位人员得15%，最高得分不超过100%。</w:t>
            </w:r>
          </w:p>
          <w:p w14:paraId="1D933F05">
            <w:pPr>
              <w:spacing w:line="300" w:lineRule="exact"/>
              <w:jc w:val="left"/>
              <w:rPr>
                <w:rFonts w:ascii="宋体" w:hAnsi="宋体"/>
                <w:b/>
                <w:kern w:val="0"/>
                <w:sz w:val="22"/>
              </w:rPr>
            </w:pPr>
            <w:r>
              <w:rPr>
                <w:rFonts w:hint="eastAsia" w:ascii="宋体" w:hAnsi="宋体"/>
                <w:b/>
                <w:kern w:val="0"/>
                <w:sz w:val="22"/>
              </w:rPr>
              <w:t>2</w:t>
            </w:r>
            <w:r>
              <w:rPr>
                <w:rFonts w:ascii="宋体" w:hAnsi="宋体"/>
                <w:b/>
                <w:kern w:val="0"/>
                <w:sz w:val="22"/>
              </w:rPr>
              <w:t>.</w:t>
            </w:r>
            <w:r>
              <w:rPr>
                <w:rFonts w:hint="eastAsia" w:ascii="宋体" w:hAnsi="宋体"/>
                <w:b/>
                <w:kern w:val="0"/>
                <w:sz w:val="22"/>
              </w:rPr>
              <w:t>评分依据：</w:t>
            </w:r>
          </w:p>
          <w:p w14:paraId="3F3B985C">
            <w:pPr>
              <w:spacing w:line="300" w:lineRule="exact"/>
              <w:ind w:left="-63" w:leftChars="-30" w:right="-88" w:rightChars="-42"/>
              <w:jc w:val="left"/>
              <w:rPr>
                <w:rFonts w:ascii="宋体" w:hAnsi="宋体"/>
                <w:kern w:val="0"/>
                <w:sz w:val="22"/>
              </w:rPr>
            </w:pPr>
            <w:r>
              <w:rPr>
                <w:rFonts w:hint="eastAsia" w:ascii="宋体" w:hAnsi="宋体"/>
                <w:kern w:val="0"/>
                <w:sz w:val="22"/>
              </w:rPr>
              <w:t>（1）要求提供通过投标人购买的团队成员近三个月社保，学位或职称文件等。</w:t>
            </w:r>
          </w:p>
          <w:p w14:paraId="424E75AD">
            <w:pPr>
              <w:spacing w:line="300" w:lineRule="exact"/>
              <w:ind w:left="-63" w:leftChars="-30" w:right="-88" w:rightChars="-42"/>
              <w:jc w:val="left"/>
              <w:rPr>
                <w:rFonts w:ascii="宋体" w:hAnsi="宋体"/>
                <w:kern w:val="0"/>
                <w:sz w:val="22"/>
                <w:highlight w:val="yellow"/>
              </w:rPr>
            </w:pPr>
            <w:r>
              <w:rPr>
                <w:rFonts w:hint="eastAsia" w:ascii="宋体" w:hAnsi="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7B6F2AD2">
            <w:pPr>
              <w:spacing w:line="300" w:lineRule="exact"/>
              <w:jc w:val="center"/>
              <w:rPr>
                <w:rFonts w:ascii="宋体" w:hAnsi="宋体"/>
                <w:sz w:val="22"/>
              </w:rPr>
            </w:pPr>
            <w:r>
              <w:rPr>
                <w:rFonts w:ascii="宋体" w:hAnsi="宋体"/>
                <w:sz w:val="22"/>
              </w:rPr>
              <w:t>15</w:t>
            </w:r>
          </w:p>
        </w:tc>
        <w:tc>
          <w:tcPr>
            <w:tcW w:w="851" w:type="dxa"/>
            <w:tcBorders>
              <w:left w:val="single" w:color="auto" w:sz="4" w:space="0"/>
            </w:tcBorders>
            <w:vAlign w:val="center"/>
          </w:tcPr>
          <w:p w14:paraId="5A32964C">
            <w:pPr>
              <w:spacing w:line="300" w:lineRule="exact"/>
              <w:jc w:val="center"/>
              <w:rPr>
                <w:rFonts w:ascii="宋体" w:hAnsi="宋体"/>
                <w:sz w:val="22"/>
              </w:rPr>
            </w:pPr>
            <w:r>
              <w:rPr>
                <w:rFonts w:hint="eastAsia" w:ascii="宋体" w:hAnsi="宋体"/>
                <w:sz w:val="22"/>
              </w:rPr>
              <w:t>1</w:t>
            </w:r>
            <w:r>
              <w:rPr>
                <w:rFonts w:ascii="宋体" w:hAnsi="宋体"/>
                <w:sz w:val="22"/>
              </w:rPr>
              <w:t>5</w:t>
            </w:r>
          </w:p>
        </w:tc>
      </w:tr>
      <w:tr w14:paraId="4AF46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002662C4">
            <w:pPr>
              <w:spacing w:line="300" w:lineRule="exact"/>
              <w:jc w:val="center"/>
              <w:rPr>
                <w:rFonts w:ascii="宋体" w:hAnsi="宋体"/>
                <w:b/>
                <w:sz w:val="22"/>
              </w:rPr>
            </w:pPr>
            <w:r>
              <w:rPr>
                <w:rFonts w:hint="eastAsia" w:ascii="宋体" w:hAnsi="宋体"/>
                <w:b/>
                <w:sz w:val="22"/>
              </w:rPr>
              <w:t>三</w:t>
            </w:r>
          </w:p>
        </w:tc>
        <w:tc>
          <w:tcPr>
            <w:tcW w:w="7581" w:type="dxa"/>
            <w:gridSpan w:val="4"/>
            <w:vAlign w:val="center"/>
          </w:tcPr>
          <w:p w14:paraId="59916CED">
            <w:pPr>
              <w:spacing w:line="300" w:lineRule="exact"/>
              <w:ind w:left="-78" w:leftChars="-37" w:right="-73" w:rightChars="-35"/>
              <w:jc w:val="center"/>
              <w:rPr>
                <w:rFonts w:ascii="宋体" w:hAnsi="宋体"/>
                <w:b/>
                <w:sz w:val="22"/>
              </w:rPr>
            </w:pPr>
            <w:r>
              <w:rPr>
                <w:rFonts w:hint="eastAsia" w:ascii="宋体" w:hAnsi="宋体"/>
                <w:b/>
                <w:sz w:val="22"/>
              </w:rPr>
              <w:t>价格部分（合计10分）</w:t>
            </w:r>
          </w:p>
        </w:tc>
      </w:tr>
      <w:tr w14:paraId="61A17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58600597">
            <w:pPr>
              <w:numPr>
                <w:ilvl w:val="0"/>
                <w:numId w:val="3"/>
              </w:numPr>
              <w:spacing w:line="300" w:lineRule="exact"/>
              <w:jc w:val="center"/>
              <w:rPr>
                <w:rFonts w:ascii="宋体" w:hAnsi="宋体"/>
                <w:sz w:val="22"/>
              </w:rPr>
            </w:pPr>
          </w:p>
        </w:tc>
        <w:tc>
          <w:tcPr>
            <w:tcW w:w="1202" w:type="dxa"/>
            <w:vAlign w:val="center"/>
          </w:tcPr>
          <w:p w14:paraId="168825E4">
            <w:pPr>
              <w:spacing w:line="300" w:lineRule="exact"/>
              <w:jc w:val="center"/>
              <w:rPr>
                <w:rFonts w:ascii="宋体" w:hAnsi="宋体"/>
                <w:sz w:val="22"/>
              </w:rPr>
            </w:pPr>
            <w:r>
              <w:rPr>
                <w:rFonts w:hint="eastAsia" w:ascii="宋体" w:hAnsi="宋体"/>
                <w:sz w:val="22"/>
              </w:rPr>
              <w:t>投标报价</w:t>
            </w:r>
          </w:p>
        </w:tc>
        <w:tc>
          <w:tcPr>
            <w:tcW w:w="4678" w:type="dxa"/>
            <w:vAlign w:val="center"/>
          </w:tcPr>
          <w:p w14:paraId="61A3DB73">
            <w:pPr>
              <w:spacing w:line="300" w:lineRule="exact"/>
              <w:rPr>
                <w:rFonts w:ascii="宋体" w:hAnsi="宋体"/>
                <w:kern w:val="0"/>
                <w:sz w:val="22"/>
              </w:rPr>
            </w:pPr>
            <w:r>
              <w:rPr>
                <w:rFonts w:ascii="宋体" w:hAnsi="宋体"/>
                <w:kern w:val="0"/>
                <w:sz w:val="22"/>
              </w:rPr>
              <w:t>价格分</w:t>
            </w:r>
            <w:r>
              <w:rPr>
                <w:rFonts w:hint="eastAsia" w:ascii="宋体" w:hAnsi="宋体"/>
                <w:kern w:val="0"/>
                <w:sz w:val="22"/>
              </w:rPr>
              <w:t>应当采用低价优先法计算，即满足招标文件要求且投标价格最低的投标报价为评标基准价，其价格分为满分。其他投标人的价格分统一按照下列公式计算：</w:t>
            </w:r>
          </w:p>
          <w:p w14:paraId="07CFF7FC">
            <w:pPr>
              <w:spacing w:line="300" w:lineRule="exact"/>
              <w:jc w:val="left"/>
              <w:rPr>
                <w:rFonts w:ascii="宋体" w:hAnsi="宋体"/>
                <w:kern w:val="0"/>
                <w:sz w:val="22"/>
              </w:rPr>
            </w:pPr>
            <w:r>
              <w:rPr>
                <w:rFonts w:hint="eastAsia" w:ascii="宋体" w:hAnsi="宋体"/>
                <w:kern w:val="0"/>
                <w:sz w:val="22"/>
              </w:rPr>
              <w:t>投标报价得分=(评标基准价／投标报价)×100×权重</w:t>
            </w:r>
          </w:p>
          <w:p w14:paraId="2C2F875D">
            <w:pPr>
              <w:spacing w:line="300" w:lineRule="exact"/>
              <w:jc w:val="left"/>
              <w:rPr>
                <w:rFonts w:ascii="宋体" w:hAnsi="宋体"/>
                <w:bCs/>
                <w:sz w:val="22"/>
              </w:rPr>
            </w:pPr>
            <w:r>
              <w:rPr>
                <w:rFonts w:hint="eastAsia" w:ascii="宋体" w:hAnsi="宋体"/>
                <w:bCs/>
                <w:sz w:val="22"/>
              </w:rPr>
              <w:t>备注：</w:t>
            </w:r>
          </w:p>
          <w:p w14:paraId="13D69599">
            <w:pPr>
              <w:spacing w:line="300" w:lineRule="exact"/>
              <w:jc w:val="left"/>
              <w:rPr>
                <w:rFonts w:ascii="宋体" w:hAnsi="宋体"/>
                <w:sz w:val="22"/>
              </w:rPr>
            </w:pPr>
            <w:r>
              <w:rPr>
                <w:rFonts w:hint="eastAsia" w:ascii="宋体" w:hAnsi="宋体"/>
                <w:bCs/>
                <w:sz w:val="22"/>
              </w:rPr>
              <w:t>1、因落实政府采购政策进行价格调整的，以调整后的价格计算评标基准价和投标报价，</w:t>
            </w:r>
            <w:r>
              <w:rPr>
                <w:rFonts w:hint="eastAsia" w:ascii="宋体" w:hAnsi="宋体"/>
                <w:sz w:val="22"/>
              </w:rPr>
              <w:t>详见“价格扣除”。</w:t>
            </w:r>
          </w:p>
          <w:p w14:paraId="7E0966CA">
            <w:pPr>
              <w:spacing w:line="300" w:lineRule="exact"/>
              <w:rPr>
                <w:rFonts w:ascii="宋体" w:hAnsi="宋体"/>
                <w:b/>
                <w:bCs/>
                <w:sz w:val="22"/>
                <w:u w:val="double"/>
              </w:rPr>
            </w:pPr>
            <w:r>
              <w:rPr>
                <w:rFonts w:hint="eastAsia" w:ascii="宋体" w:hAnsi="宋体"/>
                <w:bCs/>
                <w:sz w:val="22"/>
              </w:rPr>
              <w:t>2、投标报价得分四舍五入后，</w:t>
            </w:r>
            <w:r>
              <w:rPr>
                <w:rFonts w:hint="eastAsia" w:ascii="宋体" w:hAnsi="宋体" w:cs="Arial"/>
                <w:sz w:val="22"/>
              </w:rPr>
              <w:t>小数点后保留两位有效数</w:t>
            </w:r>
            <w:r>
              <w:rPr>
                <w:rFonts w:hint="eastAsia" w:ascii="宋体" w:hAnsi="宋体"/>
                <w:bCs/>
                <w:sz w:val="22"/>
              </w:rPr>
              <w:t>。</w:t>
            </w:r>
          </w:p>
        </w:tc>
        <w:tc>
          <w:tcPr>
            <w:tcW w:w="850" w:type="dxa"/>
            <w:tcBorders>
              <w:right w:val="single" w:color="auto" w:sz="4" w:space="0"/>
            </w:tcBorders>
            <w:vAlign w:val="center"/>
          </w:tcPr>
          <w:p w14:paraId="7F2BF269">
            <w:pPr>
              <w:spacing w:line="300" w:lineRule="exact"/>
              <w:jc w:val="center"/>
              <w:rPr>
                <w:rFonts w:ascii="宋体" w:hAnsi="宋体"/>
                <w:sz w:val="22"/>
              </w:rPr>
            </w:pPr>
            <w:r>
              <w:rPr>
                <w:rFonts w:hint="eastAsia" w:ascii="宋体" w:hAnsi="宋体"/>
                <w:sz w:val="22"/>
              </w:rPr>
              <w:t>10</w:t>
            </w:r>
          </w:p>
        </w:tc>
        <w:tc>
          <w:tcPr>
            <w:tcW w:w="851" w:type="dxa"/>
            <w:tcBorders>
              <w:left w:val="single" w:color="auto" w:sz="4" w:space="0"/>
            </w:tcBorders>
            <w:vAlign w:val="center"/>
          </w:tcPr>
          <w:p w14:paraId="1347A747">
            <w:pPr>
              <w:spacing w:line="300" w:lineRule="exact"/>
              <w:jc w:val="center"/>
              <w:rPr>
                <w:rFonts w:ascii="宋体" w:hAnsi="宋体"/>
                <w:sz w:val="22"/>
              </w:rPr>
            </w:pPr>
            <w:r>
              <w:rPr>
                <w:rFonts w:hint="eastAsia" w:ascii="宋体" w:hAnsi="宋体"/>
                <w:sz w:val="22"/>
              </w:rPr>
              <w:t>10</w:t>
            </w:r>
          </w:p>
        </w:tc>
      </w:tr>
      <w:tr w14:paraId="77C2E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490A490E">
            <w:pPr>
              <w:spacing w:line="300" w:lineRule="exact"/>
              <w:ind w:left="-78" w:leftChars="-37" w:right="-73" w:rightChars="-35"/>
              <w:jc w:val="center"/>
              <w:rPr>
                <w:rFonts w:ascii="宋体" w:hAnsi="宋体"/>
                <w:sz w:val="22"/>
              </w:rPr>
            </w:pPr>
            <w:r>
              <w:rPr>
                <w:rFonts w:hint="eastAsia" w:ascii="宋体" w:hAnsi="宋体"/>
                <w:sz w:val="22"/>
              </w:rPr>
              <w:t>合计</w:t>
            </w:r>
          </w:p>
        </w:tc>
        <w:tc>
          <w:tcPr>
            <w:tcW w:w="850" w:type="dxa"/>
            <w:tcBorders>
              <w:right w:val="single" w:color="auto" w:sz="4" w:space="0"/>
            </w:tcBorders>
            <w:vAlign w:val="center"/>
          </w:tcPr>
          <w:p w14:paraId="55BA765D">
            <w:pPr>
              <w:spacing w:line="300" w:lineRule="exact"/>
              <w:ind w:left="-78" w:leftChars="-37" w:right="-73" w:rightChars="-35"/>
              <w:jc w:val="center"/>
              <w:rPr>
                <w:rFonts w:ascii="宋体" w:hAnsi="宋体"/>
                <w:sz w:val="22"/>
              </w:rPr>
            </w:pPr>
            <w:r>
              <w:rPr>
                <w:rFonts w:hint="eastAsia" w:ascii="宋体" w:hAnsi="宋体"/>
                <w:sz w:val="22"/>
              </w:rPr>
              <w:t>100</w:t>
            </w:r>
          </w:p>
        </w:tc>
        <w:tc>
          <w:tcPr>
            <w:tcW w:w="851" w:type="dxa"/>
            <w:tcBorders>
              <w:left w:val="single" w:color="auto" w:sz="4" w:space="0"/>
            </w:tcBorders>
            <w:vAlign w:val="center"/>
          </w:tcPr>
          <w:p w14:paraId="5BA47020">
            <w:pPr>
              <w:spacing w:line="300" w:lineRule="exact"/>
              <w:ind w:left="-78" w:leftChars="-37" w:right="-73" w:rightChars="-35"/>
              <w:jc w:val="center"/>
              <w:rPr>
                <w:rFonts w:ascii="宋体" w:hAnsi="宋体"/>
                <w:sz w:val="22"/>
              </w:rPr>
            </w:pPr>
            <w:r>
              <w:rPr>
                <w:rFonts w:hint="eastAsia" w:ascii="宋体" w:hAnsi="宋体"/>
                <w:sz w:val="22"/>
              </w:rPr>
              <w:t>100</w:t>
            </w:r>
          </w:p>
        </w:tc>
      </w:tr>
    </w:tbl>
    <w:p w14:paraId="11A84C37">
      <w:pPr>
        <w:spacing w:line="300" w:lineRule="exact"/>
        <w:rPr>
          <w:rFonts w:ascii="宋体" w:hAnsi="宋体"/>
          <w:b/>
          <w:sz w:val="24"/>
        </w:rPr>
      </w:pPr>
    </w:p>
    <w:p w14:paraId="3CD23C93">
      <w:pPr>
        <w:spacing w:line="300" w:lineRule="exact"/>
        <w:rPr>
          <w:rFonts w:ascii="宋体" w:hAnsi="宋体"/>
          <w:b/>
          <w:sz w:val="24"/>
        </w:rPr>
      </w:pPr>
      <w:r>
        <w:rPr>
          <w:rFonts w:hint="eastAsia" w:ascii="宋体" w:hAnsi="宋体"/>
          <w:b/>
          <w:sz w:val="24"/>
        </w:rPr>
        <w:t>备注：</w:t>
      </w:r>
    </w:p>
    <w:p w14:paraId="6063AEDE">
      <w:pPr>
        <w:spacing w:line="300" w:lineRule="exact"/>
        <w:ind w:firstLine="720" w:firstLineChars="300"/>
        <w:rPr>
          <w:rFonts w:ascii="宋体" w:hAnsi="宋体"/>
          <w:kern w:val="0"/>
          <w:sz w:val="24"/>
        </w:rPr>
      </w:pPr>
      <w:r>
        <w:rPr>
          <w:rFonts w:hint="eastAsia" w:ascii="宋体" w:hAnsi="宋体"/>
          <w:kern w:val="0"/>
          <w:sz w:val="24"/>
        </w:rPr>
        <w:t>1.评标信息内评分方法的说明：</w:t>
      </w:r>
    </w:p>
    <w:p w14:paraId="4B8823A4">
      <w:pPr>
        <w:spacing w:line="300" w:lineRule="exact"/>
        <w:ind w:firstLine="600" w:firstLineChars="250"/>
        <w:rPr>
          <w:rFonts w:ascii="宋体" w:hAnsi="宋体"/>
          <w:kern w:val="0"/>
          <w:sz w:val="24"/>
        </w:rPr>
      </w:pPr>
      <w:r>
        <w:rPr>
          <w:rFonts w:hint="eastAsia" w:ascii="宋体" w:hAnsi="宋体"/>
          <w:kern w:val="0"/>
          <w:sz w:val="24"/>
        </w:rPr>
        <w:t>（1）权重：按百分比进行设置。</w:t>
      </w:r>
    </w:p>
    <w:p w14:paraId="40F58EF0">
      <w:pPr>
        <w:spacing w:line="300" w:lineRule="exact"/>
        <w:ind w:firstLine="600" w:firstLineChars="250"/>
        <w:rPr>
          <w:rFonts w:ascii="宋体" w:hAnsi="宋体"/>
          <w:kern w:val="0"/>
          <w:sz w:val="24"/>
        </w:rPr>
      </w:pPr>
      <w:r>
        <w:rPr>
          <w:rFonts w:hint="eastAsia" w:ascii="宋体" w:hAnsi="宋体"/>
          <w:kern w:val="0"/>
          <w:sz w:val="24"/>
        </w:rPr>
        <w:t>（2）评分准则：按照评标系统设置要求，每项“评分准则”皆按百分制打分。</w:t>
      </w:r>
    </w:p>
    <w:p w14:paraId="0A559492">
      <w:pPr>
        <w:spacing w:line="300" w:lineRule="exact"/>
        <w:ind w:firstLine="600" w:firstLineChars="250"/>
        <w:rPr>
          <w:rFonts w:ascii="宋体" w:hAnsi="宋体"/>
          <w:kern w:val="0"/>
          <w:sz w:val="24"/>
        </w:rPr>
      </w:pPr>
      <w:r>
        <w:rPr>
          <w:rFonts w:hint="eastAsia" w:ascii="宋体" w:hAnsi="宋体"/>
          <w:kern w:val="0"/>
          <w:sz w:val="24"/>
        </w:rPr>
        <w:t>（3）每项“评分因素”的得分=对应“评分准则”的分值×对应权重%。</w:t>
      </w:r>
    </w:p>
    <w:p w14:paraId="3CE177BE">
      <w:pPr>
        <w:spacing w:line="300" w:lineRule="exact"/>
        <w:ind w:firstLine="600" w:firstLineChars="250"/>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价格扣除</w:t>
      </w:r>
    </w:p>
    <w:p w14:paraId="1B5C65CF">
      <w:pPr>
        <w:spacing w:line="300" w:lineRule="exact"/>
        <w:ind w:firstLine="600" w:firstLineChars="250"/>
        <w:rPr>
          <w:rFonts w:ascii="宋体" w:hAnsi="宋体"/>
          <w:kern w:val="0"/>
          <w:sz w:val="24"/>
        </w:rPr>
      </w:pPr>
      <w:r>
        <w:rPr>
          <w:rFonts w:hint="eastAsia" w:ascii="宋体" w:hAnsi="宋体"/>
          <w:kern w:val="0"/>
          <w:sz w:val="24"/>
        </w:rPr>
        <w:t>（1）根据财政部、工业和信息化部印发的《政府采购促进中小企业发展管理办法》（财库〔2020〕46号）的规定，对小型和微型企业产品的价格给予</w:t>
      </w:r>
      <w:r>
        <w:rPr>
          <w:rFonts w:ascii="宋体" w:hAnsi="宋体"/>
          <w:kern w:val="0"/>
          <w:sz w:val="24"/>
        </w:rPr>
        <w:t>6%</w:t>
      </w:r>
      <w:r>
        <w:rPr>
          <w:rFonts w:hint="eastAsia" w:ascii="宋体" w:hAnsi="宋体"/>
          <w:kern w:val="0"/>
          <w:sz w:val="24"/>
        </w:rPr>
        <w:t>的扣除，用扣除后的价格参与评审。</w:t>
      </w:r>
    </w:p>
    <w:p w14:paraId="6C69BBBE">
      <w:pPr>
        <w:spacing w:line="300" w:lineRule="exact"/>
        <w:ind w:firstLine="600" w:firstLineChars="250"/>
        <w:rPr>
          <w:rFonts w:ascii="宋体" w:hAnsi="宋体"/>
          <w:kern w:val="0"/>
          <w:sz w:val="24"/>
        </w:rPr>
      </w:pPr>
      <w:r>
        <w:rPr>
          <w:rFonts w:hint="eastAsia" w:ascii="宋体" w:hAnsi="宋体"/>
          <w:kern w:val="0"/>
          <w:sz w:val="24"/>
        </w:rPr>
        <w:t>（2）组成联合体（如允许）或者接受分包的小微企业与联合体内其他企业、分包企业之间存在直接控股、管理关系的，不享受价格扣除优惠政策。</w:t>
      </w:r>
    </w:p>
    <w:p w14:paraId="177AF35A">
      <w:pPr>
        <w:spacing w:line="300" w:lineRule="exact"/>
        <w:ind w:firstLine="600" w:firstLineChars="250"/>
        <w:rPr>
          <w:rFonts w:ascii="宋体" w:hAnsi="宋体"/>
          <w:kern w:val="0"/>
          <w:sz w:val="24"/>
        </w:rPr>
      </w:pPr>
      <w:r>
        <w:rPr>
          <w:rFonts w:hint="eastAsia" w:ascii="宋体" w:hAnsi="宋体"/>
          <w:kern w:val="0"/>
          <w:sz w:val="24"/>
        </w:rPr>
        <w:t>（3）监狱企业产品价格扣除：监狱企业视同小微企业，按上述第（1）、（2）条款享受评审中价格扣除。</w:t>
      </w:r>
    </w:p>
    <w:p w14:paraId="4729CA9A">
      <w:pPr>
        <w:spacing w:line="300" w:lineRule="exact"/>
        <w:ind w:firstLine="600" w:firstLineChars="250"/>
        <w:rPr>
          <w:rFonts w:ascii="宋体" w:hAnsi="宋体"/>
          <w:kern w:val="0"/>
          <w:sz w:val="24"/>
        </w:rPr>
      </w:pPr>
      <w:r>
        <w:rPr>
          <w:rFonts w:hint="eastAsia" w:ascii="宋体" w:hAnsi="宋体"/>
          <w:kern w:val="0"/>
          <w:sz w:val="24"/>
        </w:rPr>
        <w:t>（4）残疾人福利性单位产品价格扣除：残疾人福利性单位视同小微企业，按上述第（1）、（2）条款享受评审中价格扣除。</w:t>
      </w:r>
    </w:p>
    <w:p w14:paraId="502F00C4">
      <w:pPr>
        <w:spacing w:line="540" w:lineRule="exact"/>
        <w:ind w:firstLine="600" w:firstLineChars="250"/>
        <w:rPr>
          <w:rFonts w:ascii="宋体" w:hAnsi="宋体"/>
          <w:kern w:val="0"/>
          <w:sz w:val="24"/>
        </w:rPr>
      </w:pPr>
    </w:p>
    <w:p w14:paraId="2727004C">
      <w:pPr>
        <w:adjustRightInd w:val="0"/>
        <w:snapToGrid w:val="0"/>
        <w:spacing w:line="480" w:lineRule="exact"/>
        <w:ind w:firstLine="640" w:firstLineChars="200"/>
        <w:rPr>
          <w:rFonts w:ascii="仿宋_GB2312" w:hAnsi="宋体" w:eastAsia="仿宋_GB2312" w:cs="仿宋_GB2312"/>
          <w:sz w:val="32"/>
          <w:szCs w:val="22"/>
        </w:rPr>
      </w:pPr>
      <w:r>
        <w:rPr>
          <w:rFonts w:hint="eastAsia" w:ascii="仿宋_GB2312" w:hAnsi="宋体" w:eastAsia="仿宋_GB2312" w:cs="仿宋_GB2312"/>
          <w:sz w:val="32"/>
          <w:szCs w:val="22"/>
        </w:rPr>
        <w:t>附件：投标及履约承诺函</w:t>
      </w:r>
    </w:p>
    <w:p w14:paraId="476B7E8F">
      <w:pPr>
        <w:jc w:val="left"/>
        <w:rPr>
          <w:rFonts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14:paraId="10E64CFC">
      <w:pPr>
        <w:adjustRightInd w:val="0"/>
        <w:snapToGrid w:val="0"/>
        <w:spacing w:line="600" w:lineRule="exact"/>
        <w:jc w:val="center"/>
        <w:rPr>
          <w:rFonts w:ascii="宋体" w:hAnsi="宋体"/>
          <w:b/>
          <w:bCs/>
          <w:sz w:val="44"/>
          <w:szCs w:val="44"/>
        </w:rPr>
      </w:pPr>
    </w:p>
    <w:p w14:paraId="6C35BD79">
      <w:pPr>
        <w:adjustRightInd w:val="0"/>
        <w:snapToGrid w:val="0"/>
        <w:spacing w:line="600" w:lineRule="exact"/>
        <w:jc w:val="center"/>
        <w:rPr>
          <w:rFonts w:ascii="宋体" w:hAnsi="宋体"/>
          <w:b/>
          <w:bCs/>
          <w:sz w:val="44"/>
          <w:szCs w:val="44"/>
        </w:rPr>
      </w:pPr>
      <w:r>
        <w:rPr>
          <w:rFonts w:hint="eastAsia" w:ascii="宋体" w:hAnsi="宋体"/>
          <w:b/>
          <w:bCs/>
          <w:sz w:val="44"/>
          <w:szCs w:val="44"/>
        </w:rPr>
        <w:t>投标及履约承诺函</w:t>
      </w:r>
    </w:p>
    <w:p w14:paraId="2B238FFD">
      <w:pPr>
        <w:adjustRightInd w:val="0"/>
        <w:snapToGrid w:val="0"/>
        <w:spacing w:line="600" w:lineRule="exact"/>
        <w:jc w:val="center"/>
        <w:rPr>
          <w:rFonts w:ascii="宋体" w:hAnsi="宋体"/>
          <w:b/>
          <w:bCs/>
          <w:sz w:val="32"/>
          <w:szCs w:val="32"/>
        </w:rPr>
      </w:pPr>
    </w:p>
    <w:p w14:paraId="160A5310">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14:paraId="174F2C12">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49A29CAD">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74E1383F">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540590CE">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.如果中标，做到守信，不偷工减料，依照本项目招标文件需求内容、签署的采购合同及在投标中所做的一切承诺履约。项目验收达到全部指标合格，力争优良。</w:t>
      </w:r>
    </w:p>
    <w:p w14:paraId="4C73789E">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14:paraId="7B016E76">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24396384">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75C5F6F1">
      <w:pPr>
        <w:adjustRightInd w:val="0"/>
        <w:snapToGrid w:val="0"/>
        <w:spacing w:line="480" w:lineRule="exact"/>
        <w:ind w:firstLine="640" w:firstLineChars="200"/>
        <w:rPr>
          <w:rFonts w:ascii="仿宋_GB2312" w:hAnsi="宋体" w:eastAsia="仿宋_GB2312"/>
          <w:sz w:val="32"/>
          <w:szCs w:val="22"/>
        </w:rPr>
      </w:pPr>
    </w:p>
    <w:p w14:paraId="5CFEA9C2">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14:paraId="2CCC8EC3">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14:paraId="27E53E5B">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467C2A31">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14:paraId="76F92E7A">
      <w:pPr>
        <w:adjustRightInd w:val="0"/>
        <w:snapToGrid w:val="0"/>
        <w:spacing w:line="480" w:lineRule="exact"/>
        <w:ind w:firstLine="640" w:firstLineChars="200"/>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p w14:paraId="4BF3283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22B5">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D9D951"/>
    <w:rsid w:val="007974E8"/>
    <w:rsid w:val="00CF6F16"/>
    <w:rsid w:val="00FF577D"/>
    <w:rsid w:val="28CB3452"/>
    <w:rsid w:val="65460FA9"/>
    <w:rsid w:val="8FD9D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3803</Words>
  <Characters>3955</Characters>
  <Lines>29</Lines>
  <Paragraphs>8</Paragraphs>
  <TotalTime>3</TotalTime>
  <ScaleCrop>false</ScaleCrop>
  <LinksUpToDate>false</LinksUpToDate>
  <CharactersWithSpaces>3968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2025-11-28T15:11:00Z</dcterms:created>
  <dc:creator>陈俊</dc:creator>
  <cp:lastModifiedBy>丘晓坡</cp:lastModifiedBy>
  <dcterms:modified xsi:type="dcterms:W3CDTF">2025-12-04T01:23:00Z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F56966A4E5C943208679C70615C9D11D_13</vt:lpwstr>
  </property>
</Properties>
</file>