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24716">
      <w:pPr>
        <w:jc w:val="center"/>
        <w:rPr>
          <w:rFonts w:hint="eastAsia" w:asciiTheme="majorEastAsia" w:hAnsiTheme="majorEastAsia" w:eastAsiaTheme="majorEastAsia"/>
          <w:b/>
          <w:sz w:val="36"/>
          <w:szCs w:val="32"/>
        </w:rPr>
      </w:pPr>
    </w:p>
    <w:p w14:paraId="0384721A">
      <w:pPr>
        <w:jc w:val="center"/>
        <w:rPr>
          <w:rFonts w:asciiTheme="majorEastAsia" w:hAnsiTheme="majorEastAsia" w:eastAsiaTheme="majorEastAsia"/>
          <w:b/>
          <w:sz w:val="36"/>
          <w:szCs w:val="32"/>
        </w:rPr>
      </w:pPr>
      <w:r>
        <w:rPr>
          <w:rFonts w:hint="eastAsia" w:asciiTheme="majorEastAsia" w:hAnsiTheme="majorEastAsia" w:eastAsiaTheme="majorEastAsia"/>
          <w:b/>
          <w:sz w:val="36"/>
          <w:szCs w:val="32"/>
        </w:rPr>
        <w:t>深圳市普惠托育领域重大项目谋划预研</w:t>
      </w:r>
    </w:p>
    <w:p w14:paraId="48809015">
      <w:pPr>
        <w:jc w:val="center"/>
        <w:rPr>
          <w:rFonts w:hint="eastAsia" w:ascii="黑体" w:hAnsi="黑体" w:eastAsia="黑体"/>
          <w:sz w:val="96"/>
          <w:szCs w:val="32"/>
        </w:rPr>
      </w:pPr>
    </w:p>
    <w:p w14:paraId="2908DC21">
      <w:pPr>
        <w:jc w:val="center"/>
        <w:rPr>
          <w:rFonts w:hint="eastAsia" w:ascii="黑体" w:hAnsi="黑体" w:eastAsia="黑体"/>
          <w:sz w:val="96"/>
          <w:szCs w:val="32"/>
          <w:lang w:val="en-US" w:eastAsia="zh-CN"/>
        </w:rPr>
      </w:pPr>
      <w:r>
        <w:rPr>
          <w:rFonts w:hint="eastAsia" w:ascii="黑体" w:hAnsi="黑体" w:eastAsia="黑体"/>
          <w:sz w:val="96"/>
          <w:szCs w:val="32"/>
        </w:rPr>
        <w:t>招</w:t>
      </w:r>
    </w:p>
    <w:p w14:paraId="53F1AB17">
      <w:pPr>
        <w:jc w:val="center"/>
        <w:rPr>
          <w:rFonts w:hint="eastAsia" w:ascii="黑体" w:hAnsi="黑体" w:eastAsia="黑体"/>
          <w:sz w:val="96"/>
          <w:szCs w:val="32"/>
        </w:rPr>
      </w:pPr>
    </w:p>
    <w:p w14:paraId="793D67AB">
      <w:pPr>
        <w:jc w:val="center"/>
        <w:rPr>
          <w:rFonts w:hint="eastAsia" w:ascii="黑体" w:hAnsi="黑体" w:eastAsia="黑体"/>
          <w:sz w:val="96"/>
          <w:szCs w:val="32"/>
        </w:rPr>
      </w:pPr>
      <w:r>
        <w:rPr>
          <w:rFonts w:hint="eastAsia" w:ascii="黑体" w:hAnsi="黑体" w:eastAsia="黑体"/>
          <w:sz w:val="96"/>
          <w:szCs w:val="32"/>
        </w:rPr>
        <w:t>标</w:t>
      </w:r>
    </w:p>
    <w:p w14:paraId="43BF14EA">
      <w:pPr>
        <w:jc w:val="center"/>
        <w:rPr>
          <w:rFonts w:hint="eastAsia" w:ascii="黑体" w:hAnsi="黑体" w:eastAsia="黑体"/>
          <w:sz w:val="96"/>
          <w:szCs w:val="32"/>
        </w:rPr>
      </w:pPr>
    </w:p>
    <w:p w14:paraId="14923059">
      <w:pPr>
        <w:jc w:val="center"/>
        <w:rPr>
          <w:rFonts w:hint="eastAsia" w:ascii="黑体" w:hAnsi="黑体" w:eastAsia="黑体"/>
          <w:sz w:val="96"/>
          <w:szCs w:val="32"/>
        </w:rPr>
      </w:pPr>
      <w:r>
        <w:rPr>
          <w:rFonts w:hint="eastAsia" w:ascii="黑体" w:hAnsi="黑体" w:eastAsia="黑体"/>
          <w:sz w:val="96"/>
          <w:szCs w:val="32"/>
        </w:rPr>
        <w:t>书</w:t>
      </w:r>
    </w:p>
    <w:p w14:paraId="475589EB">
      <w:pPr>
        <w:jc w:val="center"/>
        <w:rPr>
          <w:rFonts w:hint="eastAsia" w:asciiTheme="minorEastAsia" w:hAnsiTheme="minorEastAsia"/>
          <w:sz w:val="32"/>
          <w:szCs w:val="32"/>
        </w:rPr>
      </w:pPr>
    </w:p>
    <w:p w14:paraId="3798D011">
      <w:pPr>
        <w:jc w:val="center"/>
        <w:rPr>
          <w:rFonts w:hint="eastAsia" w:asciiTheme="minorEastAsia" w:hAnsiTheme="minorEastAsia"/>
          <w:sz w:val="32"/>
          <w:szCs w:val="32"/>
        </w:rPr>
      </w:pPr>
    </w:p>
    <w:p w14:paraId="7C72F1E4">
      <w:pPr>
        <w:jc w:val="center"/>
        <w:rPr>
          <w:rFonts w:hint="eastAsia" w:asciiTheme="minorEastAsia" w:hAnsiTheme="minorEastAsia"/>
          <w:sz w:val="32"/>
          <w:szCs w:val="32"/>
        </w:rPr>
      </w:pPr>
      <w:r>
        <w:rPr>
          <w:rFonts w:hint="eastAsia" w:asciiTheme="minorEastAsia" w:hAnsiTheme="minorEastAsia"/>
          <w:sz w:val="32"/>
          <w:szCs w:val="32"/>
        </w:rPr>
        <w:t>深圳市发展和改革委员会</w:t>
      </w:r>
    </w:p>
    <w:p w14:paraId="60B6B03C">
      <w:pPr>
        <w:jc w:val="center"/>
        <w:rPr>
          <w:rFonts w:hint="eastAsia" w:asciiTheme="minorEastAsia" w:hAnsiTheme="minorEastAsia"/>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32"/>
          <w:szCs w:val="32"/>
        </w:rPr>
        <w:t>2025年</w:t>
      </w:r>
      <w:r>
        <w:rPr>
          <w:rFonts w:hint="eastAsia" w:asciiTheme="minorEastAsia" w:hAnsiTheme="minorEastAsia"/>
          <w:sz w:val="32"/>
          <w:szCs w:val="32"/>
          <w:lang w:val="en"/>
        </w:rPr>
        <w:t>1</w:t>
      </w:r>
      <w:r>
        <w:rPr>
          <w:rFonts w:hint="eastAsia" w:asciiTheme="minorEastAsia" w:hAnsiTheme="minorEastAsia"/>
          <w:sz w:val="32"/>
          <w:szCs w:val="32"/>
          <w:lang w:val="en-US" w:eastAsia="zh-CN"/>
        </w:rPr>
        <w:t>2</w:t>
      </w:r>
      <w:r>
        <w:rPr>
          <w:rFonts w:hint="eastAsia" w:asciiTheme="minorEastAsia" w:hAnsiTheme="minorEastAsia"/>
          <w:sz w:val="32"/>
          <w:szCs w:val="32"/>
        </w:rPr>
        <w:t>月</w:t>
      </w:r>
    </w:p>
    <w:p w14:paraId="5B93EA1A">
      <w:pPr>
        <w:jc w:val="center"/>
      </w:pPr>
    </w:p>
    <w:p w14:paraId="2A728452">
      <w:pPr>
        <w:adjustRightInd w:val="0"/>
        <w:snapToGrid w:val="0"/>
        <w:jc w:val="center"/>
        <w:rPr>
          <w:rFonts w:ascii="宋体" w:hAnsi="宋体" w:cs="Arial"/>
          <w:b/>
          <w:bCs/>
          <w:sz w:val="44"/>
          <w:szCs w:val="44"/>
        </w:rPr>
      </w:pPr>
      <w:r>
        <w:rPr>
          <w:rFonts w:hint="eastAsia" w:ascii="宋体" w:hAnsi="宋体" w:cs="Arial"/>
          <w:b/>
          <w:bCs/>
          <w:sz w:val="44"/>
          <w:szCs w:val="44"/>
        </w:rPr>
        <w:t>深圳市普惠托育领域重大项目谋划预研</w:t>
      </w:r>
    </w:p>
    <w:p w14:paraId="1F62E890">
      <w:pPr>
        <w:adjustRightInd w:val="0"/>
        <w:snapToGrid w:val="0"/>
        <w:jc w:val="center"/>
        <w:rPr>
          <w:rFonts w:hint="eastAsia" w:ascii="宋体" w:hAnsi="宋体" w:cs="Arial"/>
          <w:b/>
          <w:bCs/>
          <w:sz w:val="44"/>
          <w:szCs w:val="44"/>
        </w:rPr>
      </w:pPr>
      <w:r>
        <w:rPr>
          <w:rFonts w:hint="eastAsia" w:ascii="宋体" w:hAnsi="宋体" w:cs="Arial"/>
          <w:b/>
          <w:bCs/>
          <w:sz w:val="44"/>
          <w:szCs w:val="44"/>
        </w:rPr>
        <w:t>招标书</w:t>
      </w:r>
    </w:p>
    <w:p w14:paraId="3080970F">
      <w:pPr>
        <w:spacing w:line="560" w:lineRule="exact"/>
        <w:ind w:firstLine="643" w:firstLineChars="200"/>
        <w:outlineLvl w:val="0"/>
        <w:rPr>
          <w:rFonts w:hint="eastAsia" w:ascii="黑体" w:hAnsi="黑体" w:eastAsia="黑体"/>
          <w:b/>
          <w:bCs/>
          <w:sz w:val="32"/>
          <w:szCs w:val="32"/>
        </w:rPr>
      </w:pPr>
    </w:p>
    <w:p w14:paraId="502FDD82">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一、项目概况</w:t>
      </w:r>
    </w:p>
    <w:p w14:paraId="5751B3DE">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（一）项目名称：深圳市普惠托育领域重大项目谋划预研。</w:t>
      </w:r>
    </w:p>
    <w:p w14:paraId="746E3E36">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14:paraId="44559368">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w:t>
      </w:r>
      <w:r>
        <w:rPr>
          <w:rFonts w:hint="eastAsia" w:ascii="仿宋_GB2312" w:hAnsi="仿宋" w:eastAsia="仿宋_GB2312" w:cs="仿宋_GB2312"/>
          <w:sz w:val="32"/>
          <w:szCs w:val="32"/>
          <w:lang w:val="en-US" w:eastAsia="zh-CN"/>
        </w:rPr>
        <w:t>上限</w:t>
      </w:r>
      <w:r>
        <w:rPr>
          <w:rFonts w:hint="eastAsia" w:ascii="仿宋_GB2312" w:hAnsi="仿宋" w:eastAsia="仿宋_GB2312" w:cs="仿宋_GB2312"/>
          <w:sz w:val="32"/>
          <w:szCs w:val="32"/>
        </w:rPr>
        <w:t>48万元。</w:t>
      </w:r>
    </w:p>
    <w:p w14:paraId="2204C4F0">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二、项目内容</w:t>
      </w:r>
    </w:p>
    <w:p w14:paraId="2C0401F5">
      <w:pPr>
        <w:spacing w:line="560" w:lineRule="exact"/>
        <w:ind w:firstLine="640" w:firstLineChars="200"/>
        <w:rPr>
          <w:rFonts w:hint="eastAsia" w:ascii="仿宋_GB2312" w:hAnsi="仿宋_GB2312" w:eastAsia="仿宋_GB2312"/>
          <w:sz w:val="32"/>
          <w:szCs w:val="32"/>
          <w:highlight w:val="yellow"/>
        </w:rPr>
      </w:pPr>
      <w:r>
        <w:rPr>
          <w:rFonts w:hint="eastAsia" w:ascii="仿宋_GB2312" w:hAnsi="仿宋_GB2312" w:eastAsia="仿宋_GB2312"/>
          <w:sz w:val="32"/>
          <w:szCs w:val="32"/>
        </w:rPr>
        <w:t>围绕深圳市普惠托育体系高质量发展目标，持续优化公建公营普惠托育服务体系，探索以公建民营、民建民营、商办改建等方式提供价格可负担、质量有保障、运行可持续的普惠托育服务，推动托育服务机构品牌化、连锁化发展的可行路径，谋划包括托育综合服务中心在内的一批高质量托育领域重大项目。</w:t>
      </w:r>
    </w:p>
    <w:p w14:paraId="5B3AC02D">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一是普惠服务为核心的</w:t>
      </w:r>
      <w:r>
        <w:rPr>
          <w:rFonts w:hint="eastAsia" w:ascii="仿宋_GB2312" w:hAnsi="仿宋_GB2312" w:eastAsia="仿宋_GB2312"/>
          <w:sz w:val="32"/>
          <w:szCs w:val="32"/>
          <w:lang w:val="en-US" w:eastAsia="zh-CN"/>
        </w:rPr>
        <w:t>多元化</w:t>
      </w:r>
      <w:r>
        <w:rPr>
          <w:rFonts w:hint="eastAsia" w:ascii="仿宋_GB2312" w:hAnsi="仿宋_GB2312" w:eastAsia="仿宋_GB2312"/>
          <w:sz w:val="32"/>
          <w:szCs w:val="32"/>
        </w:rPr>
        <w:t>托育服务体系建设研究。按照专业化、市场化、集群化发展导向，深化托育服务体制机制改革，</w:t>
      </w:r>
      <w:r>
        <w:rPr>
          <w:rFonts w:hint="eastAsia" w:ascii="仿宋_GB2312" w:hAnsi="仿宋_GB2312" w:eastAsia="仿宋_GB2312" w:cs="仿宋_GB2312"/>
          <w:sz w:val="32"/>
          <w:szCs w:val="32"/>
          <w:lang w:val="en-US" w:eastAsia="zh-CN"/>
        </w:rPr>
        <w:t>坚持普惠为核心</w:t>
      </w:r>
      <w:r>
        <w:rPr>
          <w:rFonts w:hint="eastAsia" w:ascii="仿宋_GB2312" w:hAnsi="仿宋_GB2312" w:eastAsia="仿宋_GB2312" w:cs="仿宋_GB2312"/>
          <w:sz w:val="32"/>
          <w:szCs w:val="32"/>
        </w:rPr>
        <w:t>，</w:t>
      </w:r>
      <w:r>
        <w:rPr>
          <w:rFonts w:hint="eastAsia" w:ascii="仿宋_GB2312" w:hAnsi="仿宋_GB2312" w:eastAsia="仿宋_GB2312"/>
          <w:sz w:val="32"/>
          <w:szCs w:val="32"/>
        </w:rPr>
        <w:t>研提构建以托育综合服务中心为枢纽，托育机构、社区嵌入式托育、托幼一体化、用人单位办托等为网络的“1+N”托育服务体系的实施路径。</w:t>
      </w:r>
    </w:p>
    <w:p w14:paraId="4FEEA7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32"/>
        </w:rPr>
        <w:t>二是提升普惠托育服务供给质量。</w:t>
      </w:r>
      <w:r>
        <w:rPr>
          <w:rFonts w:hint="eastAsia" w:ascii="仿宋_GB2312" w:hAnsi="仿宋_GB2312" w:eastAsia="仿宋_GB2312"/>
          <w:sz w:val="32"/>
          <w:szCs w:val="32"/>
          <w:lang w:val="en-US" w:eastAsia="zh-CN"/>
        </w:rPr>
        <w:t>以提升托育机构公建比例为总目标，</w:t>
      </w:r>
      <w:r>
        <w:rPr>
          <w:rFonts w:hint="eastAsia" w:ascii="仿宋_GB2312" w:hAnsi="仿宋_GB2312" w:eastAsia="仿宋_GB2312"/>
          <w:sz w:val="32"/>
          <w:szCs w:val="32"/>
        </w:rPr>
        <w:t>完善托育机构备案与评估</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安全监管、专业人才培养、医育协同网络等政策制度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为实现普惠托育服务供给质量提升，研提</w:t>
      </w:r>
      <w:r>
        <w:rPr>
          <w:rFonts w:hint="eastAsia" w:ascii="仿宋_GB2312" w:hAnsi="仿宋_GB2312" w:eastAsia="仿宋_GB2312" w:cs="仿宋_GB2312"/>
          <w:sz w:val="32"/>
          <w:szCs w:val="32"/>
        </w:rPr>
        <w:t>制定托育机构质量评估指标体系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产教融合人才培养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深化托育人才职业技能等级认定、</w:t>
      </w:r>
      <w:r>
        <w:rPr>
          <w:rFonts w:hint="eastAsia" w:ascii="仿宋_GB2312" w:hAnsi="仿宋_GB2312" w:eastAsia="仿宋_GB2312" w:cs="仿宋_GB2312"/>
          <w:sz w:val="32"/>
          <w:szCs w:val="32"/>
        </w:rPr>
        <w:t>构建“市级引领—区级支撑—基层覆盖”三级</w:t>
      </w:r>
      <w:r>
        <w:rPr>
          <w:rFonts w:hint="eastAsia" w:ascii="仿宋_GB2312" w:hAnsi="仿宋_GB2312" w:eastAsia="仿宋_GB2312" w:cs="仿宋_GB2312"/>
          <w:sz w:val="32"/>
          <w:szCs w:val="32"/>
          <w:lang w:val="en-US" w:eastAsia="zh-CN"/>
        </w:rPr>
        <w:t>医育</w:t>
      </w:r>
      <w:r>
        <w:rPr>
          <w:rFonts w:hint="eastAsia" w:ascii="仿宋_GB2312" w:hAnsi="仿宋_GB2312" w:eastAsia="仿宋_GB2312" w:cs="仿宋_GB2312"/>
          <w:sz w:val="32"/>
          <w:szCs w:val="32"/>
        </w:rPr>
        <w:t>协同网络等创新举措。</w:t>
      </w:r>
    </w:p>
    <w:p w14:paraId="6A3FBC48">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cs="仿宋_GB2312"/>
          <w:sz w:val="32"/>
          <w:szCs w:val="32"/>
        </w:rPr>
        <w:t>三是托育领域重大项目谋划。研究如何立足各区发展基础与居民实际需求，</w:t>
      </w:r>
      <w:r>
        <w:rPr>
          <w:rFonts w:hint="eastAsia" w:ascii="仿宋_GB2312" w:hAnsi="仿宋_GB2312" w:eastAsia="仿宋_GB2312"/>
          <w:sz w:val="32"/>
          <w:szCs w:val="32"/>
        </w:rPr>
        <w:t>统筹托育服务设施数量、规模和布局，</w:t>
      </w:r>
      <w:r>
        <w:rPr>
          <w:rFonts w:hint="eastAsia" w:ascii="仿宋_GB2312" w:hAnsi="仿宋_GB2312" w:eastAsia="仿宋_GB2312" w:cs="仿宋_GB2312"/>
          <w:sz w:val="32"/>
          <w:szCs w:val="32"/>
        </w:rPr>
        <w:t>谋</w:t>
      </w:r>
      <w:r>
        <w:rPr>
          <w:rFonts w:hint="eastAsia" w:ascii="仿宋_GB2312" w:hAnsi="仿宋_GB2312" w:eastAsia="仿宋_GB2312" w:cs="仿宋_GB2312"/>
          <w:sz w:val="32"/>
          <w:szCs w:val="32"/>
          <w:highlight w:val="none"/>
        </w:rPr>
        <w:t>划</w:t>
      </w:r>
      <w:r>
        <w:rPr>
          <w:rFonts w:hint="eastAsia" w:ascii="仿宋_GB2312" w:hAnsi="仿宋_GB2312" w:eastAsia="仿宋_GB2312" w:cs="仿宋_GB2312"/>
          <w:sz w:val="32"/>
          <w:szCs w:val="32"/>
          <w:highlight w:val="none"/>
        </w:rPr>
        <w:t>托育综合服务中心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托幼一体机构</w:t>
      </w:r>
      <w:r>
        <w:rPr>
          <w:rFonts w:hint="eastAsia" w:ascii="仿宋_GB2312" w:hAnsi="仿宋_GB2312" w:eastAsia="仿宋_GB2312" w:cs="仿宋_GB2312"/>
          <w:sz w:val="32"/>
          <w:szCs w:val="32"/>
          <w:highlight w:val="none"/>
          <w:lang w:val="en-US" w:eastAsia="zh-CN"/>
        </w:rPr>
        <w:t>、社区托育服务设施、医院等用人单位办托</w:t>
      </w:r>
      <w:r>
        <w:rPr>
          <w:rFonts w:hint="eastAsia" w:ascii="仿宋_GB2312" w:hAnsi="仿宋_GB2312" w:eastAsia="仿宋_GB2312" w:cs="仿宋_GB2312"/>
          <w:sz w:val="32"/>
          <w:szCs w:val="32"/>
          <w:highlight w:val="none"/>
        </w:rPr>
        <w:t>等契合深圳市发展趋势、满足高质量托育服务供给需要的托育领域重大项目，形</w:t>
      </w:r>
      <w:r>
        <w:rPr>
          <w:rFonts w:hint="eastAsia" w:ascii="仿宋_GB2312" w:hAnsi="仿宋_GB2312" w:eastAsia="仿宋_GB2312"/>
          <w:sz w:val="32"/>
          <w:szCs w:val="32"/>
          <w:highlight w:val="none"/>
        </w:rPr>
        <w:t>成一批分区域、分类型、分时序的深圳市“十五五”时期托育服务储备项目。</w:t>
      </w:r>
    </w:p>
    <w:p w14:paraId="2A270953">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三、项目实施要求</w:t>
      </w:r>
    </w:p>
    <w:p w14:paraId="369D6F99">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14:paraId="50CF0E22">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（二）研究过程中应当进行深入调查研究，充分把握深圳托育服务体系现有基础、先进地区托育服务情况等相关信息和资料。</w:t>
      </w:r>
    </w:p>
    <w:p w14:paraId="325E081E">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（三）研究成果要有前瞻性，视野开阔；具有系统性，研究成果要体系完整、内容全面、材料丰富；具有实用性，研究成果符合深圳实际，针对性和可操作性强。</w:t>
      </w:r>
    </w:p>
    <w:p w14:paraId="5C6A319A">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四、项目成果交付要求</w:t>
      </w:r>
    </w:p>
    <w:p w14:paraId="09D353A5">
      <w:pPr>
        <w:pStyle w:val="2"/>
        <w:keepNext w:val="0"/>
        <w:keepLines w:val="0"/>
        <w:spacing w:before="0" w:after="0" w:line="560" w:lineRule="exact"/>
        <w:ind w:firstLine="640" w:firstLineChars="200"/>
        <w:rPr>
          <w:rFonts w:hint="eastAsia" w:ascii="仿宋_GB2312" w:hAnsi="Times New Roman" w:eastAsia="仿宋_GB2312"/>
          <w:b w:val="0"/>
        </w:rPr>
      </w:pPr>
      <w:r>
        <w:rPr>
          <w:rFonts w:hint="eastAsia" w:ascii="仿宋_GB2312" w:hAnsi="Times New Roman" w:eastAsia="仿宋_GB2312"/>
          <w:b w:val="0"/>
          <w:lang w:val="en-US" w:eastAsia="zh-CN"/>
        </w:rPr>
        <w:t>形成《</w:t>
      </w:r>
      <w:r>
        <w:rPr>
          <w:rFonts w:hint="eastAsia" w:ascii="仿宋_GB2312" w:hAnsi="Times New Roman" w:eastAsia="仿宋_GB2312"/>
          <w:b w:val="0"/>
        </w:rPr>
        <w:t>深圳市普惠托育领域重大项目谋划预研</w:t>
      </w:r>
      <w:r>
        <w:rPr>
          <w:rFonts w:hint="eastAsia" w:ascii="仿宋_GB2312" w:hAnsi="Times New Roman" w:eastAsia="仿宋_GB2312"/>
          <w:b w:val="0"/>
          <w:lang w:val="en-US" w:eastAsia="zh-CN"/>
        </w:rPr>
        <w:t>报告》及《</w:t>
      </w:r>
      <w:r>
        <w:rPr>
          <w:rFonts w:hint="eastAsia" w:ascii="仿宋_GB2312" w:hAnsi="Times New Roman" w:eastAsia="仿宋_GB2312"/>
          <w:b w:val="0"/>
        </w:rPr>
        <w:t>深圳市普惠托育领域重大项目谋划</w:t>
      </w:r>
      <w:r>
        <w:rPr>
          <w:rFonts w:hint="eastAsia" w:ascii="仿宋_GB2312" w:hAnsi="Times New Roman" w:eastAsia="仿宋_GB2312"/>
          <w:b w:val="0"/>
          <w:lang w:val="en-US" w:eastAsia="zh-CN"/>
        </w:rPr>
        <w:t>清单》，</w:t>
      </w:r>
      <w:r>
        <w:rPr>
          <w:rFonts w:hint="eastAsia" w:ascii="仿宋_GB2312" w:hAnsi="Times New Roman" w:eastAsia="仿宋_GB2312"/>
          <w:b w:val="0"/>
        </w:rPr>
        <w:t>提交研究成果纸质版10份和电子版，文件能够简明扼要介绍成果核心内容与主要结论，明确项目谋划情况。</w:t>
      </w:r>
    </w:p>
    <w:p w14:paraId="51805C5B">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五、投标资格要求</w:t>
      </w:r>
    </w:p>
    <w:p w14:paraId="4463DE68">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（一）在中华人民共和国境内注册、具有独立承担民事责任能力的法人。</w:t>
      </w:r>
    </w:p>
    <w:p w14:paraId="46582355">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14:paraId="3E504EC4">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14:paraId="29EA9BB5">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六、投标时间、方式及联系人</w:t>
      </w:r>
    </w:p>
    <w:p w14:paraId="286434D0">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highlight w:val="none"/>
        </w:rPr>
        <w:t>（一）投标时间：</w:t>
      </w:r>
      <w:r>
        <w:rPr>
          <w:rFonts w:ascii="仿宋_GB2312" w:hAnsi="Times New Roman" w:eastAsia="仿宋_GB2312"/>
          <w:b w:val="0"/>
          <w:highlight w:val="none"/>
        </w:rPr>
        <w:t>202</w:t>
      </w:r>
      <w:r>
        <w:rPr>
          <w:rFonts w:hint="eastAsia" w:ascii="仿宋_GB2312" w:hAnsi="Times New Roman" w:eastAsia="仿宋_GB2312"/>
          <w:b w:val="0"/>
          <w:highlight w:val="none"/>
          <w:lang w:val="en-US" w:eastAsia="zh-CN"/>
        </w:rPr>
        <w:t>5</w:t>
      </w:r>
      <w:r>
        <w:rPr>
          <w:rFonts w:ascii="仿宋_GB2312" w:hAnsi="Times New Roman" w:eastAsia="仿宋_GB2312"/>
          <w:b w:val="0"/>
          <w:highlight w:val="none"/>
        </w:rPr>
        <w:t>年</w:t>
      </w:r>
      <w:r>
        <w:rPr>
          <w:rFonts w:hint="eastAsia" w:ascii="仿宋_GB2312" w:hAnsi="Times New Roman" w:eastAsia="仿宋_GB2312"/>
          <w:b w:val="0"/>
          <w:highlight w:val="none"/>
          <w:lang w:val="en-US" w:eastAsia="zh-CN"/>
        </w:rPr>
        <w:t>12</w:t>
      </w:r>
      <w:r>
        <w:rPr>
          <w:rFonts w:hint="eastAsia" w:ascii="仿宋_GB2312" w:hAnsi="Times New Roman" w:eastAsia="仿宋_GB2312"/>
          <w:b w:val="0"/>
          <w:highlight w:val="none"/>
        </w:rPr>
        <w:t>月</w:t>
      </w:r>
      <w:r>
        <w:rPr>
          <w:rFonts w:hint="eastAsia" w:ascii="仿宋_GB2312" w:hAnsi="Times New Roman" w:eastAsia="仿宋_GB2312"/>
          <w:b w:val="0"/>
          <w:highlight w:val="none"/>
          <w:lang w:val="en-US" w:eastAsia="zh-CN"/>
        </w:rPr>
        <w:t>1</w:t>
      </w:r>
      <w:r>
        <w:rPr>
          <w:rFonts w:hint="eastAsia" w:ascii="仿宋_GB2312" w:hAnsi="Times New Roman" w:eastAsia="仿宋_GB2312"/>
          <w:b w:val="0"/>
          <w:highlight w:val="none"/>
        </w:rPr>
        <w:t>日至</w:t>
      </w:r>
      <w:r>
        <w:rPr>
          <w:rFonts w:hint="eastAsia" w:ascii="仿宋_GB2312" w:hAnsi="Times New Roman" w:eastAsia="仿宋_GB2312"/>
          <w:b w:val="0"/>
          <w:highlight w:val="none"/>
          <w:lang w:val="en-US" w:eastAsia="zh-CN"/>
        </w:rPr>
        <w:t>12</w:t>
      </w:r>
      <w:r>
        <w:rPr>
          <w:rFonts w:hint="eastAsia" w:ascii="仿宋_GB2312" w:hAnsi="Times New Roman" w:eastAsia="仿宋_GB2312"/>
          <w:b w:val="0"/>
          <w:highlight w:val="none"/>
        </w:rPr>
        <w:t>日，每日上午</w:t>
      </w:r>
      <w:r>
        <w:rPr>
          <w:rFonts w:ascii="仿宋_GB2312" w:hAnsi="Times New Roman" w:eastAsia="仿宋_GB2312"/>
          <w:b w:val="0"/>
          <w:highlight w:val="none"/>
        </w:rPr>
        <w:t>9:00-12:00，下午2:00-5:45（节假日除外）。</w:t>
      </w:r>
      <w:r>
        <w:rPr>
          <w:rFonts w:ascii="仿宋_GB2312" w:hAnsi="Times New Roman" w:eastAsia="仿宋_GB2312"/>
          <w:b w:val="0"/>
        </w:rPr>
        <w:t>逾期未投标将不再受理。</w:t>
      </w:r>
    </w:p>
    <w:p w14:paraId="274AE309">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（二）投标地点：深圳市福田区福中三路市民中心</w:t>
      </w:r>
      <w:r>
        <w:rPr>
          <w:rFonts w:ascii="仿宋_GB2312" w:hAnsi="Times New Roman" w:eastAsia="仿宋_GB2312"/>
          <w:b w:val="0"/>
        </w:rPr>
        <w:t>B区行政服务大厅2号市发展和改革委卡座（可邮寄，以送达日期为投标日期）。</w:t>
      </w:r>
    </w:p>
    <w:p w14:paraId="7EF49114">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（三）联系人</w:t>
      </w:r>
      <w:r>
        <w:rPr>
          <w:rFonts w:hint="eastAsia" w:ascii="仿宋_GB2312" w:hAnsi="Times New Roman" w:eastAsia="仿宋_GB2312"/>
          <w:b w:val="0"/>
          <w:highlight w:val="none"/>
        </w:rPr>
        <w:t>：</w:t>
      </w:r>
      <w:r>
        <w:rPr>
          <w:rFonts w:hint="eastAsia" w:ascii="仿宋_GB2312" w:hAnsi="微软雅黑" w:eastAsia="仿宋_GB2312"/>
          <w:b w:val="0"/>
          <w:bCs w:val="0"/>
          <w:color w:val="040404"/>
          <w:highlight w:val="none"/>
        </w:rPr>
        <w:t>8812</w:t>
      </w:r>
      <w:r>
        <w:rPr>
          <w:rFonts w:ascii="仿宋_GB2312" w:hAnsi="微软雅黑" w:eastAsia="仿宋_GB2312"/>
          <w:b w:val="0"/>
          <w:bCs w:val="0"/>
          <w:color w:val="040404"/>
          <w:highlight w:val="none"/>
          <w:lang w:val="en"/>
        </w:rPr>
        <w:t>5843</w:t>
      </w:r>
      <w:r>
        <w:rPr>
          <w:rFonts w:hint="eastAsia" w:ascii="仿宋_GB2312" w:hAnsi="微软雅黑" w:eastAsia="仿宋_GB2312"/>
          <w:b w:val="0"/>
          <w:bCs w:val="0"/>
          <w:color w:val="040404"/>
          <w:highlight w:val="none"/>
        </w:rPr>
        <w:t>（收件咨询）、8812</w:t>
      </w:r>
      <w:r>
        <w:rPr>
          <w:rFonts w:hint="eastAsia" w:ascii="仿宋_GB2312" w:hAnsi="微软雅黑" w:eastAsia="仿宋_GB2312"/>
          <w:b w:val="0"/>
          <w:bCs w:val="0"/>
          <w:color w:val="040404"/>
          <w:highlight w:val="none"/>
          <w:lang w:val="en-US" w:eastAsia="zh-CN"/>
        </w:rPr>
        <w:t>7072</w:t>
      </w:r>
      <w:r>
        <w:rPr>
          <w:rFonts w:hint="eastAsia" w:ascii="仿宋_GB2312" w:hAnsi="微软雅黑" w:eastAsia="仿宋_GB2312"/>
          <w:b w:val="0"/>
          <w:bCs w:val="0"/>
          <w:color w:val="040404"/>
          <w:highlight w:val="none"/>
        </w:rPr>
        <w:t>（业务咨询）</w:t>
      </w:r>
      <w:r>
        <w:rPr>
          <w:rFonts w:hint="eastAsia" w:ascii="仿宋_GB2312" w:hAnsi="Times New Roman" w:eastAsia="仿宋_GB2312"/>
          <w:b w:val="0"/>
        </w:rPr>
        <w:t>。</w:t>
      </w:r>
    </w:p>
    <w:p w14:paraId="076EB10B">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七、投标文件递交内容</w:t>
      </w:r>
    </w:p>
    <w:p w14:paraId="3C8AA161">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（一）投标单位简介、投标人营业执照及相关证照（提供加盖公章的复印件，原件备查）。</w:t>
      </w:r>
    </w:p>
    <w:p w14:paraId="2D5DCA6D">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（二）法定代表人证明书及授权委托书（原件加盖公章）。</w:t>
      </w:r>
    </w:p>
    <w:p w14:paraId="022B7651">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（三）法定代表人及受委托人身份证复印件（复印件加盖公章）。</w:t>
      </w:r>
    </w:p>
    <w:p w14:paraId="5866B62D">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（四）项目方案及报价单（原件加盖公章）。</w:t>
      </w:r>
    </w:p>
    <w:p w14:paraId="7767B164">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（五）投标人相关领域/项目经验证明材料（复印件加盖公章）。</w:t>
      </w:r>
    </w:p>
    <w:p w14:paraId="600D4063">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（六）投标人无重大违法记录声明函（原件加盖公章，格式自拟）。</w:t>
      </w:r>
    </w:p>
    <w:p w14:paraId="776C07ED">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（七）投标及履约承诺函原件（格式见附件）。</w:t>
      </w:r>
    </w:p>
    <w:p w14:paraId="067919DE">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（八）住所地不在深圳的投标人应提供营业场所证明原件。</w:t>
      </w:r>
    </w:p>
    <w:p w14:paraId="6EE21C68">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（九）投标人认为有必要提供的其它材料。</w:t>
      </w:r>
    </w:p>
    <w:p w14:paraId="7368BBE9">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投标文件一式三份，整套材料密封并加盖骑缝章，封面注明投标人的名称、地址、联系人及手机号码。</w:t>
      </w:r>
    </w:p>
    <w:p w14:paraId="13FDDCD9">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八、重要提示</w:t>
      </w:r>
    </w:p>
    <w:p w14:paraId="0D0E2669">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投标单位有下列情况之一的，其投标将被拒绝或作无效投标处理：</w:t>
      </w:r>
    </w:p>
    <w:p w14:paraId="72E438BF">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（一）未在规定时间内将投标文件送达规定地点的。</w:t>
      </w:r>
    </w:p>
    <w:p w14:paraId="3861F6D7">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（二）投标人不具备投标资格要求，或未提交相应资格证明材料。</w:t>
      </w:r>
    </w:p>
    <w:p w14:paraId="21476EE6">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（三）投标文件未按规定密封、签字、盖章。</w:t>
      </w:r>
    </w:p>
    <w:p w14:paraId="4C762A65">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（四）投标文件无法定代表人签字或无法定代表人有效授权委托的。</w:t>
      </w:r>
    </w:p>
    <w:p w14:paraId="6C455169">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（五）分项报价或投标总价高于预算金额（最高投标限价）的。</w:t>
      </w:r>
    </w:p>
    <w:p w14:paraId="3A51187D">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（六）同一项目出现两个及以上报价，且按规定无法确定哪个是有效报价。</w:t>
      </w:r>
    </w:p>
    <w:p w14:paraId="54254A40">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359E6719">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（八）所投服务在质量、技术、方案等方面没有实质性满足招标文件要求。</w:t>
      </w:r>
    </w:p>
    <w:p w14:paraId="18E5E880">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（九）法律、法规规定的其他情形。</w:t>
      </w:r>
    </w:p>
    <w:p w14:paraId="471535BD">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九、评标方法</w:t>
      </w:r>
    </w:p>
    <w:p w14:paraId="13BB7931">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（一）评标方法为综合评分法，具体评分标准和规则为：投标文件从技术、商务和价格等三个评审因素进行评分，出现总分相同的，则总分相等投标人中最低价者中标。</w:t>
      </w:r>
    </w:p>
    <w:p w14:paraId="1A250500">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（二）综合评分表</w:t>
      </w:r>
    </w:p>
    <w:tbl>
      <w:tblPr>
        <w:tblStyle w:val="6"/>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4CA80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193D8D52">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评审部分</w:t>
            </w:r>
          </w:p>
        </w:tc>
        <w:tc>
          <w:tcPr>
            <w:tcW w:w="1202" w:type="dxa"/>
            <w:vAlign w:val="center"/>
          </w:tcPr>
          <w:p w14:paraId="69633EBB">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评审因素</w:t>
            </w:r>
          </w:p>
        </w:tc>
        <w:tc>
          <w:tcPr>
            <w:tcW w:w="4678" w:type="dxa"/>
            <w:vAlign w:val="center"/>
          </w:tcPr>
          <w:p w14:paraId="1F6A71C3">
            <w:pPr>
              <w:spacing w:line="300" w:lineRule="exact"/>
              <w:ind w:left="-78" w:leftChars="-37" w:right="-73" w:rightChars="-35"/>
              <w:jc w:val="center"/>
              <w:rPr>
                <w:rFonts w:hint="eastAsia" w:ascii="宋体" w:hAnsi="宋体" w:cs="宋体"/>
                <w:b/>
                <w:sz w:val="22"/>
              </w:rPr>
            </w:pPr>
            <w:r>
              <w:rPr>
                <w:rFonts w:hint="eastAsia" w:ascii="宋体" w:hAnsi="宋体" w:cs="宋体"/>
                <w:b/>
                <w:sz w:val="22"/>
              </w:rPr>
              <w:t>评分细则</w:t>
            </w:r>
          </w:p>
        </w:tc>
        <w:tc>
          <w:tcPr>
            <w:tcW w:w="850" w:type="dxa"/>
            <w:tcBorders>
              <w:right w:val="single" w:color="auto" w:sz="4" w:space="0"/>
            </w:tcBorders>
            <w:vAlign w:val="center"/>
          </w:tcPr>
          <w:p w14:paraId="519B19E9">
            <w:pPr>
              <w:spacing w:line="300" w:lineRule="exact"/>
              <w:ind w:left="-78" w:leftChars="-37" w:right="-73" w:rightChars="-35"/>
              <w:jc w:val="center"/>
              <w:rPr>
                <w:rFonts w:hint="eastAsia" w:ascii="宋体" w:hAnsi="宋体" w:cs="宋体"/>
                <w:b/>
                <w:sz w:val="22"/>
              </w:rPr>
            </w:pPr>
            <w:r>
              <w:rPr>
                <w:rFonts w:hint="eastAsia" w:ascii="宋体" w:hAnsi="宋体" w:cs="宋体"/>
                <w:b/>
                <w:sz w:val="22"/>
              </w:rPr>
              <w:t>权重（%）</w:t>
            </w:r>
          </w:p>
        </w:tc>
        <w:tc>
          <w:tcPr>
            <w:tcW w:w="851" w:type="dxa"/>
            <w:tcBorders>
              <w:left w:val="single" w:color="auto" w:sz="4" w:space="0"/>
            </w:tcBorders>
            <w:vAlign w:val="center"/>
          </w:tcPr>
          <w:p w14:paraId="463DD1D7">
            <w:pPr>
              <w:spacing w:line="300" w:lineRule="exact"/>
              <w:ind w:left="-78" w:leftChars="-37" w:right="-73" w:rightChars="-35"/>
              <w:jc w:val="center"/>
              <w:rPr>
                <w:rFonts w:hint="eastAsia" w:ascii="宋体" w:hAnsi="宋体" w:cs="宋体"/>
                <w:b/>
                <w:sz w:val="22"/>
              </w:rPr>
            </w:pPr>
            <w:r>
              <w:rPr>
                <w:rFonts w:hint="eastAsia" w:ascii="宋体" w:hAnsi="宋体" w:cs="宋体"/>
                <w:b/>
                <w:sz w:val="22"/>
              </w:rPr>
              <w:t>分值（分）</w:t>
            </w:r>
          </w:p>
        </w:tc>
      </w:tr>
      <w:tr w14:paraId="44BDF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656AAA62">
            <w:pPr>
              <w:spacing w:line="300" w:lineRule="exact"/>
              <w:ind w:left="-78" w:leftChars="-37" w:right="-73" w:rightChars="-35"/>
              <w:jc w:val="center"/>
              <w:rPr>
                <w:rFonts w:hint="eastAsia" w:ascii="宋体" w:hAnsi="宋体" w:cs="宋体"/>
                <w:b/>
                <w:sz w:val="22"/>
              </w:rPr>
            </w:pPr>
            <w:r>
              <w:rPr>
                <w:rFonts w:hint="eastAsia" w:ascii="宋体" w:hAnsi="宋体" w:cs="宋体"/>
                <w:b/>
                <w:sz w:val="22"/>
              </w:rPr>
              <w:t>一</w:t>
            </w:r>
          </w:p>
        </w:tc>
        <w:tc>
          <w:tcPr>
            <w:tcW w:w="7581" w:type="dxa"/>
            <w:gridSpan w:val="4"/>
            <w:vAlign w:val="center"/>
          </w:tcPr>
          <w:p w14:paraId="48176657">
            <w:pPr>
              <w:spacing w:line="300" w:lineRule="exact"/>
              <w:ind w:left="-78" w:leftChars="-37" w:right="-73" w:rightChars="-35"/>
              <w:jc w:val="center"/>
              <w:rPr>
                <w:rFonts w:hint="eastAsia" w:ascii="宋体" w:hAnsi="宋体" w:cs="宋体"/>
                <w:b/>
                <w:sz w:val="22"/>
              </w:rPr>
            </w:pPr>
            <w:r>
              <w:rPr>
                <w:rFonts w:hint="eastAsia" w:ascii="宋体" w:hAnsi="宋体"/>
                <w:b/>
                <w:sz w:val="22"/>
              </w:rPr>
              <w:t>技术部分（合计</w:t>
            </w:r>
            <w:r>
              <w:rPr>
                <w:rFonts w:ascii="宋体" w:hAnsi="宋体"/>
                <w:b/>
                <w:sz w:val="22"/>
              </w:rPr>
              <w:t>35</w:t>
            </w:r>
            <w:r>
              <w:rPr>
                <w:rFonts w:hint="eastAsia" w:ascii="宋体" w:hAnsi="宋体"/>
                <w:b/>
                <w:sz w:val="22"/>
              </w:rPr>
              <w:t>分）</w:t>
            </w:r>
          </w:p>
        </w:tc>
      </w:tr>
      <w:tr w14:paraId="6955E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45DEB458">
            <w:pPr>
              <w:numPr>
                <w:ilvl w:val="0"/>
                <w:numId w:val="1"/>
              </w:numPr>
              <w:spacing w:line="300" w:lineRule="exact"/>
              <w:jc w:val="right"/>
              <w:rPr>
                <w:rFonts w:hint="eastAsia" w:ascii="宋体" w:hAnsi="宋体"/>
                <w:sz w:val="22"/>
              </w:rPr>
            </w:pPr>
          </w:p>
        </w:tc>
        <w:tc>
          <w:tcPr>
            <w:tcW w:w="1202" w:type="dxa"/>
            <w:vAlign w:val="center"/>
          </w:tcPr>
          <w:p w14:paraId="0BB9759B">
            <w:pPr>
              <w:spacing w:line="300" w:lineRule="exact"/>
              <w:jc w:val="center"/>
              <w:rPr>
                <w:rFonts w:hint="eastAsia" w:ascii="宋体" w:hAnsi="宋体"/>
                <w:sz w:val="22"/>
              </w:rPr>
            </w:pPr>
            <w:r>
              <w:rPr>
                <w:rFonts w:hint="eastAsia" w:ascii="宋体" w:hAnsi="宋体"/>
                <w:sz w:val="22"/>
              </w:rPr>
              <w:t>实施方案</w:t>
            </w:r>
          </w:p>
        </w:tc>
        <w:tc>
          <w:tcPr>
            <w:tcW w:w="4678" w:type="dxa"/>
          </w:tcPr>
          <w:p w14:paraId="64E1626B">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根据投标人提供的项目实施方案的全面性、针对性、可操作性等进行分档评审：</w:t>
            </w:r>
          </w:p>
          <w:p w14:paraId="35899C08">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1.评价为优，得100%；</w:t>
            </w:r>
          </w:p>
          <w:p w14:paraId="7B33ADBA">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w:t>
            </w:r>
            <w:r>
              <w:rPr>
                <w:rFonts w:ascii="宋体" w:hAnsi="宋体" w:cs="宋体"/>
                <w:kern w:val="0"/>
                <w:sz w:val="22"/>
              </w:rPr>
              <w:t>7</w:t>
            </w:r>
            <w:r>
              <w:rPr>
                <w:rFonts w:hint="eastAsia" w:ascii="宋体" w:hAnsi="宋体" w:cs="宋体"/>
                <w:kern w:val="0"/>
                <w:sz w:val="22"/>
              </w:rPr>
              <w:t>0%；</w:t>
            </w:r>
          </w:p>
          <w:p w14:paraId="089CBC13">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w:t>
            </w:r>
            <w:r>
              <w:rPr>
                <w:rFonts w:ascii="宋体" w:hAnsi="宋体" w:cs="宋体"/>
                <w:kern w:val="0"/>
                <w:sz w:val="22"/>
              </w:rPr>
              <w:t>4</w:t>
            </w:r>
            <w:r>
              <w:rPr>
                <w:rFonts w:hint="eastAsia" w:ascii="宋体" w:hAnsi="宋体" w:cs="宋体"/>
                <w:kern w:val="0"/>
                <w:sz w:val="22"/>
              </w:rPr>
              <w:t>0%；</w:t>
            </w:r>
          </w:p>
          <w:p w14:paraId="7FE7CFFC">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14:paraId="7B22E164">
            <w:pPr>
              <w:spacing w:line="300" w:lineRule="exact"/>
              <w:jc w:val="center"/>
              <w:rPr>
                <w:rFonts w:hint="eastAsia" w:ascii="宋体" w:hAnsi="宋体"/>
                <w:sz w:val="22"/>
              </w:rPr>
            </w:pPr>
            <w:r>
              <w:rPr>
                <w:rFonts w:ascii="宋体" w:hAnsi="宋体"/>
                <w:sz w:val="22"/>
              </w:rPr>
              <w:t>20</w:t>
            </w:r>
          </w:p>
        </w:tc>
        <w:tc>
          <w:tcPr>
            <w:tcW w:w="851" w:type="dxa"/>
            <w:tcBorders>
              <w:left w:val="single" w:color="auto" w:sz="4" w:space="0"/>
            </w:tcBorders>
            <w:vAlign w:val="center"/>
          </w:tcPr>
          <w:p w14:paraId="042DBA6F">
            <w:pPr>
              <w:spacing w:line="300" w:lineRule="exact"/>
              <w:jc w:val="center"/>
              <w:rPr>
                <w:rFonts w:hint="eastAsia" w:ascii="宋体" w:hAnsi="宋体"/>
                <w:sz w:val="22"/>
              </w:rPr>
            </w:pPr>
            <w:r>
              <w:rPr>
                <w:rFonts w:ascii="宋体" w:hAnsi="宋体"/>
                <w:sz w:val="22"/>
              </w:rPr>
              <w:t>20</w:t>
            </w:r>
          </w:p>
        </w:tc>
      </w:tr>
      <w:tr w14:paraId="1DCFA7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1F7C7737">
            <w:pPr>
              <w:numPr>
                <w:ilvl w:val="0"/>
                <w:numId w:val="1"/>
              </w:numPr>
              <w:spacing w:line="300" w:lineRule="exact"/>
              <w:jc w:val="right"/>
              <w:rPr>
                <w:rFonts w:hint="eastAsia" w:ascii="宋体" w:hAnsi="宋体"/>
                <w:sz w:val="22"/>
              </w:rPr>
            </w:pPr>
            <w:bookmarkStart w:id="0" w:name="_GoBack"/>
          </w:p>
        </w:tc>
        <w:tc>
          <w:tcPr>
            <w:tcW w:w="1202" w:type="dxa"/>
            <w:vAlign w:val="center"/>
          </w:tcPr>
          <w:p w14:paraId="04F64796">
            <w:pPr>
              <w:spacing w:line="300" w:lineRule="exact"/>
              <w:jc w:val="center"/>
              <w:rPr>
                <w:rFonts w:hint="eastAsia" w:ascii="宋体" w:hAnsi="宋体"/>
                <w:sz w:val="22"/>
              </w:rPr>
            </w:pPr>
            <w:r>
              <w:rPr>
                <w:rFonts w:hint="eastAsia" w:ascii="宋体" w:hAnsi="宋体"/>
                <w:sz w:val="22"/>
              </w:rPr>
              <w:t>质量保障措施及方案</w:t>
            </w:r>
          </w:p>
        </w:tc>
        <w:tc>
          <w:tcPr>
            <w:tcW w:w="4678" w:type="dxa"/>
          </w:tcPr>
          <w:p w14:paraId="7724E75B">
            <w:pPr>
              <w:spacing w:line="300" w:lineRule="exact"/>
              <w:jc w:val="left"/>
              <w:rPr>
                <w:rFonts w:hint="eastAsia" w:ascii="宋体" w:hAnsi="宋体" w:cs="宋体"/>
                <w:kern w:val="0"/>
                <w:sz w:val="22"/>
              </w:rPr>
            </w:pPr>
            <w:r>
              <w:rPr>
                <w:rFonts w:hint="eastAsia" w:ascii="宋体" w:hAnsi="宋体" w:cs="宋体"/>
                <w:kern w:val="0"/>
                <w:sz w:val="22"/>
              </w:rPr>
              <w:t>根据投标人对项目进度计划和人员安排、质量和进度保障措施是否合理、可行等进行分档评审：</w:t>
            </w:r>
          </w:p>
          <w:p w14:paraId="5DCC9228">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1</w:t>
            </w:r>
            <w:r>
              <w:rPr>
                <w:rFonts w:ascii="宋体" w:hAnsi="宋体" w:cs="宋体"/>
                <w:kern w:val="0"/>
                <w:sz w:val="22"/>
              </w:rPr>
              <w:t>.</w:t>
            </w:r>
            <w:r>
              <w:rPr>
                <w:rFonts w:hint="eastAsia" w:ascii="宋体" w:hAnsi="宋体" w:cs="宋体"/>
                <w:kern w:val="0"/>
                <w:sz w:val="22"/>
              </w:rPr>
              <w:t>评价为优，得100%；</w:t>
            </w:r>
          </w:p>
          <w:p w14:paraId="0C0FEB5D">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评价为良，得70%；</w:t>
            </w:r>
          </w:p>
          <w:p w14:paraId="59C518AA">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评价为中，得40%；</w:t>
            </w:r>
          </w:p>
          <w:p w14:paraId="79500F57">
            <w:pPr>
              <w:spacing w:line="300" w:lineRule="exact"/>
              <w:ind w:left="-78" w:leftChars="-37" w:right="-73" w:rightChars="-35"/>
              <w:jc w:val="left"/>
              <w:rPr>
                <w:rFonts w:hint="eastAsia"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14:paraId="0F6977CA">
            <w:pPr>
              <w:spacing w:line="300" w:lineRule="exact"/>
              <w:jc w:val="center"/>
              <w:rPr>
                <w:rFonts w:hint="eastAsia" w:ascii="宋体" w:hAnsi="宋体"/>
                <w:sz w:val="22"/>
              </w:rPr>
            </w:pPr>
            <w:r>
              <w:rPr>
                <w:rFonts w:ascii="宋体" w:hAnsi="宋体"/>
                <w:sz w:val="22"/>
              </w:rPr>
              <w:t>10</w:t>
            </w:r>
          </w:p>
        </w:tc>
        <w:tc>
          <w:tcPr>
            <w:tcW w:w="851" w:type="dxa"/>
            <w:tcBorders>
              <w:left w:val="single" w:color="auto" w:sz="4" w:space="0"/>
            </w:tcBorders>
            <w:vAlign w:val="center"/>
          </w:tcPr>
          <w:p w14:paraId="5C254B89">
            <w:pPr>
              <w:spacing w:line="300" w:lineRule="exact"/>
              <w:jc w:val="center"/>
              <w:rPr>
                <w:rFonts w:hint="eastAsia" w:ascii="宋体" w:hAnsi="宋体"/>
                <w:sz w:val="22"/>
              </w:rPr>
            </w:pPr>
            <w:r>
              <w:rPr>
                <w:rFonts w:ascii="宋体" w:hAnsi="宋体"/>
                <w:sz w:val="22"/>
              </w:rPr>
              <w:t>10</w:t>
            </w:r>
          </w:p>
        </w:tc>
      </w:tr>
      <w:bookmarkEnd w:id="0"/>
      <w:tr w14:paraId="035C8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4262660F">
            <w:pPr>
              <w:numPr>
                <w:ilvl w:val="0"/>
                <w:numId w:val="1"/>
              </w:numPr>
              <w:spacing w:line="300" w:lineRule="exact"/>
              <w:jc w:val="right"/>
              <w:rPr>
                <w:rFonts w:hint="eastAsia" w:ascii="宋体" w:hAnsi="宋体"/>
                <w:sz w:val="22"/>
              </w:rPr>
            </w:pPr>
          </w:p>
        </w:tc>
        <w:tc>
          <w:tcPr>
            <w:tcW w:w="1202" w:type="dxa"/>
            <w:vAlign w:val="center"/>
          </w:tcPr>
          <w:p w14:paraId="53F21EF8">
            <w:pPr>
              <w:spacing w:line="300" w:lineRule="exact"/>
              <w:jc w:val="center"/>
              <w:rPr>
                <w:rFonts w:hint="eastAsia" w:ascii="宋体" w:hAnsi="宋体"/>
                <w:sz w:val="22"/>
              </w:rPr>
            </w:pPr>
            <w:r>
              <w:rPr>
                <w:rFonts w:hint="eastAsia" w:ascii="宋体" w:hAnsi="宋体"/>
                <w:sz w:val="22"/>
              </w:rPr>
              <w:t>违约承诺</w:t>
            </w:r>
          </w:p>
        </w:tc>
        <w:tc>
          <w:tcPr>
            <w:tcW w:w="4678" w:type="dxa"/>
          </w:tcPr>
          <w:p w14:paraId="0A9B01EA">
            <w:pPr>
              <w:spacing w:line="300" w:lineRule="exact"/>
              <w:jc w:val="left"/>
              <w:rPr>
                <w:rFonts w:hint="eastAsia" w:ascii="宋体" w:hAnsi="宋体" w:cs="宋体"/>
                <w:kern w:val="0"/>
                <w:sz w:val="22"/>
              </w:rPr>
            </w:pPr>
            <w:r>
              <w:rPr>
                <w:rFonts w:hint="eastAsia" w:ascii="宋体" w:hAnsi="宋体" w:cs="宋体"/>
                <w:kern w:val="0"/>
                <w:sz w:val="22"/>
              </w:rPr>
              <w:t>提供违约承诺，承诺满足招标文件要求，保证措施合理且有针对性，有具体的违约责任承诺。</w:t>
            </w:r>
          </w:p>
          <w:p w14:paraId="77A51E1C">
            <w:pPr>
              <w:spacing w:line="300" w:lineRule="exact"/>
              <w:jc w:val="left"/>
              <w:rPr>
                <w:rFonts w:hint="eastAsia" w:ascii="宋体" w:hAnsi="宋体" w:cs="宋体"/>
                <w:kern w:val="0"/>
                <w:sz w:val="22"/>
              </w:rPr>
            </w:pPr>
            <w:r>
              <w:rPr>
                <w:rFonts w:hint="eastAsia" w:ascii="宋体" w:hAnsi="宋体" w:cs="宋体"/>
                <w:kern w:val="0"/>
                <w:sz w:val="22"/>
              </w:rPr>
              <w:t>投标人提供违约承诺得100%。要求提供承诺（格式自定）作为得分依据，未提供承诺或承诺内容不满足要求不得分。</w:t>
            </w:r>
          </w:p>
        </w:tc>
        <w:tc>
          <w:tcPr>
            <w:tcW w:w="850" w:type="dxa"/>
            <w:tcBorders>
              <w:right w:val="single" w:color="auto" w:sz="4" w:space="0"/>
            </w:tcBorders>
            <w:vAlign w:val="center"/>
          </w:tcPr>
          <w:p w14:paraId="1481098B">
            <w:pPr>
              <w:spacing w:line="300" w:lineRule="exact"/>
              <w:jc w:val="center"/>
              <w:rPr>
                <w:rFonts w:hint="eastAsia" w:ascii="宋体" w:hAnsi="宋体"/>
                <w:sz w:val="22"/>
              </w:rPr>
            </w:pPr>
            <w:r>
              <w:rPr>
                <w:rFonts w:ascii="宋体" w:hAnsi="宋体"/>
                <w:sz w:val="22"/>
              </w:rPr>
              <w:t>5</w:t>
            </w:r>
          </w:p>
        </w:tc>
        <w:tc>
          <w:tcPr>
            <w:tcW w:w="851" w:type="dxa"/>
            <w:tcBorders>
              <w:left w:val="single" w:color="auto" w:sz="4" w:space="0"/>
            </w:tcBorders>
            <w:vAlign w:val="center"/>
          </w:tcPr>
          <w:p w14:paraId="3557C63B">
            <w:pPr>
              <w:spacing w:line="300" w:lineRule="exact"/>
              <w:jc w:val="center"/>
              <w:rPr>
                <w:rFonts w:hint="eastAsia" w:ascii="宋体" w:hAnsi="宋体"/>
                <w:sz w:val="22"/>
              </w:rPr>
            </w:pPr>
            <w:r>
              <w:rPr>
                <w:rFonts w:ascii="宋体" w:hAnsi="宋体"/>
                <w:sz w:val="22"/>
              </w:rPr>
              <w:t>5</w:t>
            </w:r>
          </w:p>
        </w:tc>
      </w:tr>
      <w:tr w14:paraId="1F8F1D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101E1739">
            <w:pPr>
              <w:spacing w:line="300" w:lineRule="exact"/>
              <w:ind w:left="-78" w:leftChars="-37" w:right="-73" w:rightChars="-35"/>
              <w:jc w:val="center"/>
              <w:rPr>
                <w:rFonts w:hint="eastAsia" w:ascii="宋体" w:hAnsi="宋体" w:cs="宋体"/>
                <w:b/>
                <w:sz w:val="22"/>
              </w:rPr>
            </w:pPr>
            <w:r>
              <w:rPr>
                <w:rFonts w:hint="eastAsia" w:ascii="宋体" w:hAnsi="宋体" w:cs="宋体"/>
                <w:b/>
                <w:sz w:val="22"/>
              </w:rPr>
              <w:t>二</w:t>
            </w:r>
          </w:p>
        </w:tc>
        <w:tc>
          <w:tcPr>
            <w:tcW w:w="7581" w:type="dxa"/>
            <w:gridSpan w:val="4"/>
            <w:vAlign w:val="center"/>
          </w:tcPr>
          <w:p w14:paraId="6D6D9236">
            <w:pPr>
              <w:spacing w:line="300" w:lineRule="exact"/>
              <w:ind w:left="-78" w:leftChars="-37" w:right="-73" w:rightChars="-35"/>
              <w:jc w:val="center"/>
              <w:rPr>
                <w:rFonts w:hint="eastAsia" w:ascii="宋体" w:hAnsi="宋体" w:cs="宋体"/>
                <w:b/>
                <w:sz w:val="22"/>
              </w:rPr>
            </w:pPr>
            <w:r>
              <w:rPr>
                <w:rFonts w:hint="eastAsia" w:ascii="宋体" w:hAnsi="宋体" w:cs="宋体"/>
                <w:b/>
                <w:sz w:val="22"/>
              </w:rPr>
              <w:t>商务部分</w:t>
            </w:r>
            <w:r>
              <w:rPr>
                <w:rFonts w:hint="eastAsia" w:ascii="宋体" w:hAnsi="宋体"/>
                <w:b/>
                <w:sz w:val="22"/>
              </w:rPr>
              <w:t>（合计45分）</w:t>
            </w:r>
          </w:p>
        </w:tc>
      </w:tr>
      <w:tr w14:paraId="43CA5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50760E05">
            <w:pPr>
              <w:numPr>
                <w:ilvl w:val="0"/>
                <w:numId w:val="2"/>
              </w:numPr>
              <w:spacing w:line="300" w:lineRule="exact"/>
              <w:jc w:val="center"/>
              <w:rPr>
                <w:rFonts w:hint="eastAsia" w:ascii="宋体" w:hAnsi="宋体"/>
                <w:sz w:val="22"/>
              </w:rPr>
            </w:pPr>
          </w:p>
        </w:tc>
        <w:tc>
          <w:tcPr>
            <w:tcW w:w="1202" w:type="dxa"/>
            <w:vAlign w:val="center"/>
          </w:tcPr>
          <w:p w14:paraId="5C04AE88">
            <w:pPr>
              <w:spacing w:line="300" w:lineRule="exact"/>
              <w:jc w:val="center"/>
              <w:rPr>
                <w:rFonts w:ascii="Arial" w:hAnsi="Arial" w:eastAsia="黑体"/>
                <w:b/>
                <w:bCs/>
                <w:sz w:val="22"/>
                <w:szCs w:val="32"/>
              </w:rPr>
            </w:pPr>
            <w:r>
              <w:rPr>
                <w:rFonts w:hint="eastAsia" w:ascii="宋体" w:hAnsi="宋体"/>
                <w:sz w:val="22"/>
              </w:rPr>
              <w:t>投标人经验</w:t>
            </w:r>
          </w:p>
        </w:tc>
        <w:tc>
          <w:tcPr>
            <w:tcW w:w="4678" w:type="dxa"/>
            <w:vAlign w:val="center"/>
          </w:tcPr>
          <w:p w14:paraId="3AA873A5">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14:paraId="6B694B6B">
            <w:pPr>
              <w:spacing w:line="300" w:lineRule="exact"/>
              <w:jc w:val="left"/>
              <w:rPr>
                <w:rFonts w:hint="eastAsia" w:ascii="宋体" w:hAnsi="宋体" w:cs="宋体"/>
                <w:kern w:val="0"/>
                <w:sz w:val="22"/>
              </w:rPr>
            </w:pPr>
            <w:r>
              <w:rPr>
                <w:rFonts w:hint="eastAsia" w:ascii="宋体" w:hAnsi="宋体" w:cs="宋体"/>
                <w:kern w:val="0"/>
                <w:sz w:val="22"/>
              </w:rPr>
              <w:t>牵头承担过国家、省或市级政策研究、规划编制、制度评估、产业指导目录等政府项目的，按国家级每项20%、省级每项15%、市级每项10%进行计分，最高得分不超过100%。</w:t>
            </w:r>
          </w:p>
          <w:p w14:paraId="417F36D7">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14:paraId="4867B065">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（1）要求提供中标通知书、合同关键页或其他证明文件。</w:t>
            </w:r>
          </w:p>
          <w:p w14:paraId="4CE6E7CF">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5157D73A">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14:paraId="31E89C8B">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14:paraId="7AEEB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571217B">
            <w:pPr>
              <w:numPr>
                <w:ilvl w:val="0"/>
                <w:numId w:val="2"/>
              </w:numPr>
              <w:spacing w:line="300" w:lineRule="exact"/>
              <w:jc w:val="center"/>
              <w:rPr>
                <w:rFonts w:hint="eastAsia" w:ascii="宋体" w:hAnsi="宋体"/>
                <w:sz w:val="22"/>
              </w:rPr>
            </w:pPr>
          </w:p>
        </w:tc>
        <w:tc>
          <w:tcPr>
            <w:tcW w:w="1202" w:type="dxa"/>
            <w:vAlign w:val="center"/>
          </w:tcPr>
          <w:p w14:paraId="201E57CF">
            <w:pPr>
              <w:spacing w:line="300" w:lineRule="exact"/>
              <w:jc w:val="center"/>
              <w:rPr>
                <w:rFonts w:hint="eastAsia" w:ascii="宋体" w:hAnsi="宋体"/>
                <w:sz w:val="22"/>
              </w:rPr>
            </w:pPr>
            <w:r>
              <w:rPr>
                <w:rFonts w:hint="eastAsia" w:ascii="宋体" w:hAnsi="宋体"/>
                <w:sz w:val="22"/>
              </w:rPr>
              <w:t>拟安排的项目负责人情况（仅限一人）</w:t>
            </w:r>
          </w:p>
        </w:tc>
        <w:tc>
          <w:tcPr>
            <w:tcW w:w="4678" w:type="dxa"/>
          </w:tcPr>
          <w:p w14:paraId="471B57CC">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14:paraId="7F03FE67">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（1）项目负责人具有高级职称或博士学位，得</w:t>
            </w:r>
            <w:r>
              <w:rPr>
                <w:rFonts w:ascii="宋体" w:hAnsi="宋体" w:cs="宋体"/>
                <w:kern w:val="0"/>
                <w:sz w:val="22"/>
              </w:rPr>
              <w:t>25</w:t>
            </w:r>
            <w:r>
              <w:rPr>
                <w:rFonts w:hint="eastAsia" w:ascii="宋体" w:hAnsi="宋体" w:cs="宋体"/>
                <w:kern w:val="0"/>
                <w:sz w:val="22"/>
              </w:rPr>
              <w:t>%，否则不得分。</w:t>
            </w:r>
          </w:p>
          <w:p w14:paraId="5743B8B1">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（2）项目负责人主持或参与过国家、省或市级政策研究、规划编制、制度评估等政府项目的，每提供1个得2</w:t>
            </w:r>
            <w:r>
              <w:rPr>
                <w:rFonts w:ascii="宋体" w:hAnsi="宋体" w:cs="宋体"/>
                <w:kern w:val="0"/>
                <w:sz w:val="22"/>
              </w:rPr>
              <w:t>5</w:t>
            </w:r>
            <w:r>
              <w:rPr>
                <w:rFonts w:hint="eastAsia" w:ascii="宋体" w:hAnsi="宋体" w:cs="宋体"/>
                <w:kern w:val="0"/>
                <w:sz w:val="22"/>
              </w:rPr>
              <w:t>%，最高得分不超过</w:t>
            </w:r>
            <w:r>
              <w:rPr>
                <w:rFonts w:ascii="宋体" w:hAnsi="宋体" w:cs="宋体"/>
                <w:kern w:val="0"/>
                <w:sz w:val="22"/>
              </w:rPr>
              <w:t>75</w:t>
            </w:r>
            <w:r>
              <w:rPr>
                <w:rFonts w:hint="eastAsia" w:ascii="宋体" w:hAnsi="宋体" w:cs="宋体"/>
                <w:kern w:val="0"/>
                <w:sz w:val="22"/>
              </w:rPr>
              <w:t>%。</w:t>
            </w:r>
          </w:p>
          <w:p w14:paraId="5C114121">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14:paraId="1CFC7F3C">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（1）要求提供通过投标人购买的项目负责人近三个月社保，学位或职称文件，业绩合同关键页或其他证明文件（需要体现人员信息，若无人员信息，须提供工作单位出具的证明材料）。</w:t>
            </w:r>
          </w:p>
          <w:p w14:paraId="1DA9D805">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17D10CA3">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14:paraId="49DE945E">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14:paraId="2C99E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38CD64C">
            <w:pPr>
              <w:numPr>
                <w:ilvl w:val="0"/>
                <w:numId w:val="2"/>
              </w:numPr>
              <w:spacing w:line="300" w:lineRule="exact"/>
              <w:jc w:val="center"/>
              <w:rPr>
                <w:rFonts w:hint="eastAsia" w:ascii="宋体" w:hAnsi="宋体"/>
                <w:sz w:val="22"/>
              </w:rPr>
            </w:pPr>
          </w:p>
        </w:tc>
        <w:tc>
          <w:tcPr>
            <w:tcW w:w="1202" w:type="dxa"/>
            <w:vAlign w:val="center"/>
          </w:tcPr>
          <w:p w14:paraId="3D05F335">
            <w:pPr>
              <w:spacing w:line="300" w:lineRule="exact"/>
              <w:jc w:val="center"/>
              <w:rPr>
                <w:rFonts w:hint="eastAsia" w:ascii="宋体" w:hAnsi="宋体"/>
                <w:sz w:val="22"/>
              </w:rPr>
            </w:pPr>
            <w:r>
              <w:rPr>
                <w:rFonts w:hint="eastAsia" w:ascii="宋体" w:hAnsi="宋体"/>
                <w:sz w:val="22"/>
              </w:rPr>
              <w:t>拟安排的项目主要团队成员（主要技术人员）情况（项目负责人除外）</w:t>
            </w:r>
          </w:p>
        </w:tc>
        <w:tc>
          <w:tcPr>
            <w:tcW w:w="4678" w:type="dxa"/>
          </w:tcPr>
          <w:p w14:paraId="28500AAD">
            <w:pPr>
              <w:spacing w:line="300" w:lineRule="exact"/>
              <w:jc w:val="left"/>
              <w:rPr>
                <w:rFonts w:hint="eastAsia"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14:paraId="21B66132">
            <w:pPr>
              <w:spacing w:line="300" w:lineRule="exact"/>
              <w:jc w:val="left"/>
              <w:rPr>
                <w:rFonts w:hint="eastAsia" w:ascii="宋体" w:hAnsi="宋体" w:cs="宋体"/>
                <w:kern w:val="0"/>
                <w:sz w:val="22"/>
              </w:rPr>
            </w:pPr>
            <w:r>
              <w:rPr>
                <w:rFonts w:hint="eastAsia" w:ascii="宋体" w:hAnsi="宋体" w:cs="宋体"/>
                <w:kern w:val="0"/>
                <w:sz w:val="22"/>
              </w:rPr>
              <w:t>项目团队中每提供1位有高级职称或博士学位人员得</w:t>
            </w:r>
            <w:r>
              <w:rPr>
                <w:rFonts w:ascii="宋体" w:hAnsi="宋体" w:cs="宋体"/>
                <w:kern w:val="0"/>
                <w:sz w:val="22"/>
              </w:rPr>
              <w:t>5</w:t>
            </w:r>
            <w:r>
              <w:rPr>
                <w:rFonts w:hint="eastAsia" w:ascii="宋体" w:hAnsi="宋体" w:cs="宋体"/>
                <w:kern w:val="0"/>
                <w:sz w:val="22"/>
              </w:rPr>
              <w:t>0%，每提供1位有中级职称或硕士学位人员得2</w:t>
            </w:r>
            <w:r>
              <w:rPr>
                <w:rFonts w:ascii="宋体" w:hAnsi="宋体" w:cs="宋体"/>
                <w:kern w:val="0"/>
                <w:sz w:val="22"/>
              </w:rPr>
              <w:t>5</w:t>
            </w:r>
            <w:r>
              <w:rPr>
                <w:rFonts w:hint="eastAsia" w:ascii="宋体" w:hAnsi="宋体" w:cs="宋体"/>
                <w:kern w:val="0"/>
                <w:sz w:val="22"/>
              </w:rPr>
              <w:t>%，最高得分不超过100%。</w:t>
            </w:r>
          </w:p>
          <w:p w14:paraId="6CBB868A">
            <w:pPr>
              <w:spacing w:line="300" w:lineRule="exact"/>
              <w:jc w:val="left"/>
              <w:rPr>
                <w:rFonts w:hint="eastAsia"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14:paraId="712551FE">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（1）要求提供通过投标人购买的团队成员近三个月社保，学位或职称文件等。</w:t>
            </w:r>
          </w:p>
          <w:p w14:paraId="3FC772D6">
            <w:pPr>
              <w:spacing w:line="300" w:lineRule="exact"/>
              <w:ind w:left="-63" w:leftChars="-30" w:right="-88" w:rightChars="-42"/>
              <w:jc w:val="left"/>
              <w:rPr>
                <w:rFonts w:hint="eastAsia"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18D556E">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14:paraId="06134710">
            <w:pPr>
              <w:spacing w:line="300" w:lineRule="exact"/>
              <w:jc w:val="center"/>
              <w:rPr>
                <w:rFonts w:hint="eastAsia" w:ascii="宋体" w:hAnsi="宋体"/>
                <w:sz w:val="22"/>
              </w:rPr>
            </w:pPr>
            <w:r>
              <w:rPr>
                <w:rFonts w:ascii="宋体" w:hAnsi="宋体"/>
                <w:sz w:val="22"/>
              </w:rPr>
              <w:t>1</w:t>
            </w:r>
            <w:r>
              <w:rPr>
                <w:rFonts w:hint="eastAsia" w:ascii="宋体" w:hAnsi="宋体"/>
                <w:sz w:val="22"/>
              </w:rPr>
              <w:t>5</w:t>
            </w:r>
          </w:p>
        </w:tc>
      </w:tr>
      <w:tr w14:paraId="67871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2802AF1B">
            <w:pPr>
              <w:spacing w:line="300" w:lineRule="exact"/>
              <w:jc w:val="center"/>
              <w:rPr>
                <w:rFonts w:hint="eastAsia" w:ascii="宋体" w:hAnsi="宋体"/>
                <w:b/>
                <w:sz w:val="22"/>
              </w:rPr>
            </w:pPr>
            <w:r>
              <w:rPr>
                <w:rFonts w:hint="eastAsia" w:ascii="宋体" w:hAnsi="宋体"/>
                <w:b/>
                <w:sz w:val="22"/>
              </w:rPr>
              <w:t>三</w:t>
            </w:r>
          </w:p>
        </w:tc>
        <w:tc>
          <w:tcPr>
            <w:tcW w:w="7581" w:type="dxa"/>
            <w:gridSpan w:val="4"/>
            <w:vAlign w:val="center"/>
          </w:tcPr>
          <w:p w14:paraId="0A04719C">
            <w:pPr>
              <w:spacing w:line="300" w:lineRule="exact"/>
              <w:ind w:left="-78" w:leftChars="-37" w:right="-73" w:rightChars="-35"/>
              <w:jc w:val="center"/>
              <w:rPr>
                <w:rFonts w:hint="eastAsia" w:ascii="宋体" w:hAnsi="宋体" w:cs="宋体"/>
                <w:b/>
                <w:sz w:val="22"/>
              </w:rPr>
            </w:pPr>
            <w:r>
              <w:rPr>
                <w:rFonts w:hint="eastAsia" w:ascii="宋体" w:hAnsi="宋体"/>
                <w:b/>
                <w:sz w:val="22"/>
              </w:rPr>
              <w:t>价格部分（合计20分）</w:t>
            </w:r>
          </w:p>
        </w:tc>
      </w:tr>
      <w:tr w14:paraId="743BB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4468F37D">
            <w:pPr>
              <w:numPr>
                <w:ilvl w:val="0"/>
                <w:numId w:val="3"/>
              </w:numPr>
              <w:spacing w:line="300" w:lineRule="exact"/>
              <w:jc w:val="center"/>
              <w:rPr>
                <w:rFonts w:hint="eastAsia" w:ascii="宋体" w:hAnsi="宋体"/>
                <w:sz w:val="22"/>
              </w:rPr>
            </w:pPr>
          </w:p>
        </w:tc>
        <w:tc>
          <w:tcPr>
            <w:tcW w:w="1202" w:type="dxa"/>
            <w:vAlign w:val="center"/>
          </w:tcPr>
          <w:p w14:paraId="0951D3C9">
            <w:pPr>
              <w:spacing w:line="300" w:lineRule="exact"/>
              <w:jc w:val="center"/>
              <w:rPr>
                <w:rFonts w:hint="eastAsia" w:ascii="宋体" w:hAnsi="宋体"/>
                <w:sz w:val="22"/>
              </w:rPr>
            </w:pPr>
            <w:r>
              <w:rPr>
                <w:rFonts w:hint="eastAsia" w:ascii="宋体" w:hAnsi="宋体"/>
                <w:sz w:val="22"/>
              </w:rPr>
              <w:t>投标报价</w:t>
            </w:r>
          </w:p>
        </w:tc>
        <w:tc>
          <w:tcPr>
            <w:tcW w:w="4678" w:type="dxa"/>
            <w:vAlign w:val="center"/>
          </w:tcPr>
          <w:p w14:paraId="2336838A">
            <w:pPr>
              <w:autoSpaceDE w:val="0"/>
              <w:autoSpaceDN w:val="0"/>
              <w:adjustRightInd w:val="0"/>
              <w:snapToGrid w:val="0"/>
              <w:spacing w:line="300" w:lineRule="exact"/>
              <w:rPr>
                <w:rFonts w:hint="eastAsia" w:ascii="宋体" w:hAnsi="宋体" w:cs="宋体"/>
                <w:kern w:val="0"/>
                <w:sz w:val="22"/>
              </w:rPr>
            </w:pPr>
            <w:r>
              <w:rPr>
                <w:rFonts w:ascii="宋体" w:hAnsi="宋体" w:cs="宋体"/>
                <w:kern w:val="0"/>
                <w:sz w:val="22"/>
              </w:rPr>
              <w:t>价格分</w:t>
            </w:r>
            <w:r>
              <w:rPr>
                <w:rFonts w:hint="eastAsia" w:ascii="宋体" w:hAnsi="宋体" w:cs="宋体"/>
                <w:kern w:val="0"/>
                <w:sz w:val="22"/>
              </w:rPr>
              <w:t>应当采用低价优先法计算，即满足招标文件要求且投标价格最低的投标报价为评标基准价，其价格分为满分。其他投标人的价格分统一按照下列公式计算：</w:t>
            </w:r>
          </w:p>
          <w:p w14:paraId="7D60FD7A">
            <w:pPr>
              <w:spacing w:line="300" w:lineRule="exact"/>
              <w:jc w:val="left"/>
              <w:rPr>
                <w:rFonts w:hint="eastAsia" w:ascii="宋体" w:hAnsi="宋体" w:cs="宋体"/>
                <w:kern w:val="0"/>
                <w:sz w:val="22"/>
              </w:rPr>
            </w:pPr>
            <w:r>
              <w:rPr>
                <w:rFonts w:hint="eastAsia" w:ascii="宋体" w:hAnsi="宋体" w:cs="宋体"/>
                <w:kern w:val="0"/>
                <w:sz w:val="22"/>
              </w:rPr>
              <w:t>投标报价得分=(评标基准价／投标报价)×100×权重</w:t>
            </w:r>
          </w:p>
          <w:p w14:paraId="0CE921F1">
            <w:pPr>
              <w:spacing w:line="300" w:lineRule="exact"/>
              <w:jc w:val="left"/>
              <w:rPr>
                <w:rFonts w:hint="eastAsia" w:ascii="宋体" w:hAnsi="宋体"/>
                <w:bCs/>
                <w:sz w:val="22"/>
              </w:rPr>
            </w:pPr>
            <w:r>
              <w:rPr>
                <w:rFonts w:hint="eastAsia" w:ascii="宋体" w:hAnsi="宋体"/>
                <w:bCs/>
                <w:sz w:val="22"/>
              </w:rPr>
              <w:t>备注：</w:t>
            </w:r>
          </w:p>
          <w:p w14:paraId="66C7CE53">
            <w:pPr>
              <w:spacing w:line="300" w:lineRule="exact"/>
              <w:jc w:val="left"/>
              <w:rPr>
                <w:rFonts w:hint="eastAsia" w:ascii="宋体" w:hAnsi="宋体" w:cs="宋体"/>
                <w:sz w:val="22"/>
              </w:rPr>
            </w:pPr>
            <w:r>
              <w:rPr>
                <w:rFonts w:hint="eastAsia" w:ascii="宋体" w:hAnsi="宋体"/>
                <w:bCs/>
                <w:sz w:val="22"/>
              </w:rPr>
              <w:t>1、因落实政府采购政策进行价格调整的，以调整后的价格计算评标基准价和投标报价</w:t>
            </w:r>
            <w:r>
              <w:rPr>
                <w:rFonts w:hint="eastAsia" w:ascii="宋体" w:hAnsi="宋体" w:cs="宋体"/>
                <w:sz w:val="22"/>
              </w:rPr>
              <w:t>,详见“价格扣除”。</w:t>
            </w:r>
          </w:p>
          <w:p w14:paraId="1A4333B3">
            <w:pPr>
              <w:spacing w:line="300" w:lineRule="exact"/>
              <w:rPr>
                <w:rFonts w:hint="eastAsia" w:ascii="宋体" w:hAnsi="宋体"/>
                <w:b/>
                <w:bCs/>
                <w:sz w:val="22"/>
                <w:u w:val="double"/>
              </w:rPr>
            </w:pPr>
            <w:r>
              <w:rPr>
                <w:rFonts w:hint="eastAsia" w:ascii="宋体" w:hAnsi="宋体"/>
                <w:bCs/>
                <w:sz w:val="22"/>
              </w:rPr>
              <w:t>2、投标报价得分四舍五入后，</w:t>
            </w:r>
            <w:r>
              <w:rPr>
                <w:rFonts w:hint="eastAsia" w:ascii="宋体" w:hAnsi="宋体" w:cs="Arial"/>
                <w:sz w:val="22"/>
              </w:rPr>
              <w:t>小数点后保留两位有效数</w:t>
            </w:r>
            <w:r>
              <w:rPr>
                <w:rFonts w:hint="eastAsia" w:ascii="宋体" w:hAnsi="宋体"/>
                <w:bCs/>
                <w:sz w:val="22"/>
              </w:rPr>
              <w:t>。</w:t>
            </w:r>
          </w:p>
        </w:tc>
        <w:tc>
          <w:tcPr>
            <w:tcW w:w="850" w:type="dxa"/>
            <w:tcBorders>
              <w:right w:val="single" w:color="auto" w:sz="4" w:space="0"/>
            </w:tcBorders>
            <w:vAlign w:val="center"/>
          </w:tcPr>
          <w:p w14:paraId="1F2322EF">
            <w:pPr>
              <w:spacing w:line="300" w:lineRule="exact"/>
              <w:ind w:left="-78" w:leftChars="-37" w:right="-73" w:rightChars="-35"/>
              <w:jc w:val="center"/>
              <w:rPr>
                <w:rFonts w:hint="eastAsia" w:ascii="宋体" w:hAnsi="宋体" w:cs="宋体"/>
                <w:sz w:val="22"/>
              </w:rPr>
            </w:pPr>
            <w:r>
              <w:rPr>
                <w:rFonts w:hint="eastAsia" w:ascii="宋体" w:hAnsi="宋体" w:cs="宋体"/>
                <w:sz w:val="22"/>
              </w:rPr>
              <w:t>20</w:t>
            </w:r>
          </w:p>
        </w:tc>
        <w:tc>
          <w:tcPr>
            <w:tcW w:w="851" w:type="dxa"/>
            <w:tcBorders>
              <w:left w:val="single" w:color="auto" w:sz="4" w:space="0"/>
            </w:tcBorders>
            <w:vAlign w:val="center"/>
          </w:tcPr>
          <w:p w14:paraId="21FFFA8D">
            <w:pPr>
              <w:spacing w:line="300" w:lineRule="exact"/>
              <w:ind w:left="-78" w:leftChars="-37" w:right="-73" w:rightChars="-35"/>
              <w:jc w:val="center"/>
              <w:rPr>
                <w:rFonts w:hint="eastAsia" w:ascii="宋体" w:hAnsi="宋体" w:cs="宋体"/>
                <w:sz w:val="22"/>
              </w:rPr>
            </w:pPr>
            <w:r>
              <w:rPr>
                <w:rFonts w:hint="eastAsia" w:ascii="宋体" w:hAnsi="宋体"/>
                <w:sz w:val="22"/>
              </w:rPr>
              <w:t>20</w:t>
            </w:r>
          </w:p>
        </w:tc>
      </w:tr>
      <w:tr w14:paraId="5EF8A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30FDE11D">
            <w:pPr>
              <w:spacing w:line="300" w:lineRule="exact"/>
              <w:ind w:left="-78" w:leftChars="-37" w:right="-73" w:rightChars="-35"/>
              <w:jc w:val="center"/>
              <w:rPr>
                <w:rFonts w:hint="eastAsia" w:ascii="宋体" w:hAnsi="宋体" w:cs="宋体"/>
                <w:b/>
                <w:bCs/>
                <w:sz w:val="22"/>
              </w:rPr>
            </w:pPr>
            <w:r>
              <w:rPr>
                <w:rFonts w:hint="eastAsia" w:ascii="宋体" w:hAnsi="宋体"/>
                <w:b/>
                <w:bCs/>
                <w:sz w:val="22"/>
              </w:rPr>
              <w:t>总计</w:t>
            </w:r>
          </w:p>
        </w:tc>
        <w:tc>
          <w:tcPr>
            <w:tcW w:w="850" w:type="dxa"/>
            <w:tcBorders>
              <w:right w:val="single" w:color="auto" w:sz="4" w:space="0"/>
            </w:tcBorders>
            <w:vAlign w:val="center"/>
          </w:tcPr>
          <w:p w14:paraId="16B1D7B3">
            <w:pPr>
              <w:spacing w:line="300" w:lineRule="exact"/>
              <w:ind w:left="-78" w:leftChars="-37" w:right="-73" w:rightChars="-35"/>
              <w:jc w:val="center"/>
              <w:rPr>
                <w:rFonts w:hint="eastAsia" w:ascii="宋体" w:hAnsi="宋体" w:cs="宋体"/>
                <w:b/>
                <w:bCs/>
                <w:sz w:val="22"/>
              </w:rPr>
            </w:pPr>
            <w:r>
              <w:rPr>
                <w:rFonts w:hint="eastAsia" w:ascii="宋体" w:hAnsi="宋体" w:cs="宋体"/>
                <w:b/>
                <w:bCs/>
                <w:sz w:val="22"/>
              </w:rPr>
              <w:t>100</w:t>
            </w:r>
          </w:p>
        </w:tc>
        <w:tc>
          <w:tcPr>
            <w:tcW w:w="851" w:type="dxa"/>
            <w:tcBorders>
              <w:left w:val="single" w:color="auto" w:sz="4" w:space="0"/>
            </w:tcBorders>
            <w:vAlign w:val="center"/>
          </w:tcPr>
          <w:p w14:paraId="3FACB06A">
            <w:pPr>
              <w:spacing w:line="300" w:lineRule="exact"/>
              <w:ind w:left="-78" w:leftChars="-37" w:right="-73" w:rightChars="-35"/>
              <w:jc w:val="center"/>
              <w:rPr>
                <w:rFonts w:hint="eastAsia" w:ascii="宋体" w:hAnsi="宋体" w:cs="宋体"/>
                <w:b/>
                <w:bCs/>
                <w:sz w:val="22"/>
              </w:rPr>
            </w:pPr>
            <w:r>
              <w:rPr>
                <w:rFonts w:hint="eastAsia" w:ascii="宋体" w:hAnsi="宋体" w:cs="宋体"/>
                <w:b/>
                <w:bCs/>
                <w:sz w:val="22"/>
              </w:rPr>
              <w:t>100</w:t>
            </w:r>
          </w:p>
        </w:tc>
      </w:tr>
    </w:tbl>
    <w:p w14:paraId="0496E868">
      <w:pPr>
        <w:spacing w:line="300" w:lineRule="exact"/>
        <w:rPr>
          <w:rFonts w:hint="eastAsia" w:ascii="宋体" w:hAnsi="宋体" w:cs="宋体"/>
          <w:kern w:val="0"/>
          <w:sz w:val="24"/>
        </w:rPr>
      </w:pPr>
      <w:r>
        <w:rPr>
          <w:rFonts w:hint="eastAsia" w:ascii="宋体" w:hAnsi="宋体"/>
          <w:b/>
          <w:sz w:val="24"/>
        </w:rPr>
        <w:t>备注：</w:t>
      </w:r>
      <w:r>
        <w:rPr>
          <w:rFonts w:hint="eastAsia" w:ascii="宋体" w:hAnsi="宋体" w:cs="宋体"/>
          <w:kern w:val="0"/>
          <w:sz w:val="24"/>
        </w:rPr>
        <w:t>1.评标信息内评分方法的说明：</w:t>
      </w:r>
    </w:p>
    <w:p w14:paraId="2C5E8379">
      <w:pPr>
        <w:spacing w:line="300" w:lineRule="exact"/>
        <w:ind w:firstLine="600" w:firstLineChars="250"/>
        <w:rPr>
          <w:rFonts w:hint="eastAsia" w:ascii="宋体" w:hAnsi="宋体" w:cs="宋体"/>
          <w:kern w:val="0"/>
          <w:sz w:val="24"/>
        </w:rPr>
      </w:pPr>
      <w:r>
        <w:rPr>
          <w:rFonts w:hint="eastAsia" w:ascii="宋体" w:hAnsi="宋体" w:cs="宋体"/>
          <w:kern w:val="0"/>
          <w:sz w:val="24"/>
        </w:rPr>
        <w:t>（1）权重：按百分比进行设置。</w:t>
      </w:r>
    </w:p>
    <w:p w14:paraId="40E67A72">
      <w:pPr>
        <w:spacing w:line="300" w:lineRule="exact"/>
        <w:ind w:firstLine="600" w:firstLineChars="250"/>
        <w:rPr>
          <w:rFonts w:hint="eastAsia" w:ascii="宋体" w:hAnsi="宋体" w:cs="宋体"/>
          <w:kern w:val="0"/>
          <w:sz w:val="24"/>
        </w:rPr>
      </w:pPr>
      <w:r>
        <w:rPr>
          <w:rFonts w:hint="eastAsia" w:ascii="宋体" w:hAnsi="宋体" w:cs="宋体"/>
          <w:kern w:val="0"/>
          <w:sz w:val="24"/>
        </w:rPr>
        <w:t>（2）评分准则：按照评标系统设置要求，每项“评分准则”皆按百分制打分。</w:t>
      </w:r>
    </w:p>
    <w:p w14:paraId="64F437CF">
      <w:pPr>
        <w:spacing w:line="300" w:lineRule="exact"/>
        <w:ind w:firstLine="600" w:firstLineChars="250"/>
        <w:rPr>
          <w:rFonts w:hint="eastAsia" w:ascii="宋体" w:hAnsi="宋体" w:cs="宋体"/>
          <w:kern w:val="0"/>
          <w:sz w:val="24"/>
        </w:rPr>
      </w:pPr>
      <w:r>
        <w:rPr>
          <w:rFonts w:hint="eastAsia" w:ascii="宋体" w:hAnsi="宋体" w:cs="宋体"/>
          <w:kern w:val="0"/>
          <w:sz w:val="24"/>
        </w:rPr>
        <w:t>（3）每项“评分因素”的得分=对应“评分准则”的分值×对应权重%。</w:t>
      </w:r>
    </w:p>
    <w:p w14:paraId="080DFC95">
      <w:pPr>
        <w:spacing w:line="300" w:lineRule="exact"/>
        <w:ind w:firstLine="600" w:firstLineChars="250"/>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价格扣除</w:t>
      </w:r>
    </w:p>
    <w:p w14:paraId="1B9FA7B0">
      <w:pPr>
        <w:spacing w:line="300" w:lineRule="exact"/>
        <w:ind w:firstLine="600" w:firstLineChars="250"/>
        <w:rPr>
          <w:rFonts w:hint="eastAsia" w:ascii="宋体" w:hAnsi="宋体" w:cs="宋体"/>
          <w:kern w:val="0"/>
          <w:sz w:val="24"/>
        </w:rPr>
      </w:pPr>
      <w:r>
        <w:rPr>
          <w:rFonts w:hint="eastAsia" w:ascii="宋体" w:hAnsi="宋体" w:cs="宋体"/>
          <w:kern w:val="0"/>
          <w:sz w:val="24"/>
        </w:rPr>
        <w:t>（1）根据财政部、工业和信息化部印发的《政府采购促进中小企业发展管理办法》（财库〔2020〕46号）的规定，对小型和微型企业产品的价格给予</w:t>
      </w:r>
      <w:r>
        <w:rPr>
          <w:rFonts w:ascii="宋体" w:hAnsi="宋体" w:cs="宋体"/>
          <w:kern w:val="0"/>
          <w:sz w:val="24"/>
        </w:rPr>
        <w:t>6%</w:t>
      </w:r>
      <w:r>
        <w:rPr>
          <w:rFonts w:hint="eastAsia" w:ascii="宋体" w:hAnsi="宋体" w:cs="宋体"/>
          <w:kern w:val="0"/>
          <w:sz w:val="24"/>
        </w:rPr>
        <w:t>的扣除，用扣除后的价格参与评审。</w:t>
      </w:r>
    </w:p>
    <w:p w14:paraId="56F0D052">
      <w:pPr>
        <w:spacing w:line="300" w:lineRule="exact"/>
        <w:ind w:firstLine="600" w:firstLineChars="250"/>
        <w:rPr>
          <w:rFonts w:hint="eastAsia" w:ascii="宋体" w:hAnsi="宋体" w:cs="宋体"/>
          <w:kern w:val="0"/>
          <w:sz w:val="24"/>
        </w:rPr>
      </w:pPr>
      <w:r>
        <w:rPr>
          <w:rFonts w:hint="eastAsia" w:ascii="宋体" w:hAnsi="宋体" w:cs="宋体"/>
          <w:kern w:val="0"/>
          <w:sz w:val="24"/>
        </w:rPr>
        <w:t>（2）组成联合体（如允许）或者接受分包的小微企业与联合体内其他企业、分包企业之间存在直接控股、管理关系的，不享受价格扣除优惠政策。</w:t>
      </w:r>
    </w:p>
    <w:p w14:paraId="6F74BB45">
      <w:pPr>
        <w:spacing w:line="300" w:lineRule="exact"/>
        <w:ind w:firstLine="600" w:firstLineChars="250"/>
        <w:rPr>
          <w:rFonts w:hint="eastAsia" w:ascii="宋体" w:hAnsi="宋体" w:cs="宋体"/>
          <w:kern w:val="0"/>
          <w:sz w:val="24"/>
        </w:rPr>
      </w:pPr>
      <w:r>
        <w:rPr>
          <w:rFonts w:hint="eastAsia" w:ascii="宋体" w:hAnsi="宋体" w:cs="宋体"/>
          <w:kern w:val="0"/>
          <w:sz w:val="24"/>
        </w:rPr>
        <w:t>（3）监狱企业产品价格扣除：监狱企业视同小微企业，按上述第（1）、（2）条款享受评审中价格扣除。</w:t>
      </w:r>
    </w:p>
    <w:p w14:paraId="6C412BF7">
      <w:pPr>
        <w:spacing w:line="300" w:lineRule="exact"/>
        <w:ind w:firstLine="600" w:firstLineChars="250"/>
        <w:rPr>
          <w:rFonts w:hint="eastAsia" w:ascii="宋体" w:hAnsi="宋体" w:cs="宋体"/>
          <w:kern w:val="0"/>
          <w:sz w:val="24"/>
        </w:rPr>
      </w:pPr>
      <w:r>
        <w:rPr>
          <w:rFonts w:hint="eastAsia" w:ascii="宋体" w:hAnsi="宋体" w:cs="宋体"/>
          <w:kern w:val="0"/>
          <w:sz w:val="24"/>
        </w:rPr>
        <w:t>（4）残疾人福利性单位产品价格扣除：残疾人福利性单位视同小微企业，按上述第（1）、（2）条款享受评审中价格扣除。</w:t>
      </w:r>
    </w:p>
    <w:p w14:paraId="1B40A422">
      <w:pPr>
        <w:spacing w:line="300" w:lineRule="exact"/>
        <w:ind w:firstLine="600" w:firstLineChars="250"/>
        <w:rPr>
          <w:rFonts w:hint="eastAsia" w:ascii="宋体" w:hAnsi="宋体" w:cs="宋体"/>
          <w:kern w:val="0"/>
          <w:sz w:val="24"/>
        </w:rPr>
      </w:pPr>
    </w:p>
    <w:p w14:paraId="19E57A81">
      <w:pPr>
        <w:adjustRightInd w:val="0"/>
        <w:snapToGrid w:val="0"/>
        <w:spacing w:line="480" w:lineRule="exact"/>
        <w:ind w:firstLine="640" w:firstLineChars="200"/>
        <w:rPr>
          <w:rFonts w:hint="eastAsia" w:ascii="仿宋_GB2312" w:hAnsi="宋体" w:eastAsia="仿宋_GB2312" w:cs="仿宋_GB2312"/>
          <w:sz w:val="32"/>
        </w:rPr>
      </w:pPr>
      <w:r>
        <w:rPr>
          <w:rFonts w:hint="eastAsia" w:ascii="仿宋_GB2312" w:hAnsi="宋体" w:eastAsia="仿宋_GB2312" w:cs="仿宋_GB2312"/>
          <w:sz w:val="32"/>
        </w:rPr>
        <w:t>附件：投标及履约承诺函</w:t>
      </w:r>
    </w:p>
    <w:p w14:paraId="13996BA7">
      <w:pPr>
        <w:jc w:val="left"/>
        <w:rPr>
          <w:rFonts w:hint="eastAsia" w:ascii="仿宋" w:hAnsi="仿宋" w:eastAsia="仿宋" w:cs="仿宋_GB2312"/>
          <w:sz w:val="32"/>
          <w:szCs w:val="32"/>
        </w:rPr>
      </w:pPr>
      <w:r>
        <w:rPr>
          <w:rFonts w:ascii="仿宋" w:hAnsi="仿宋" w:eastAsia="仿宋" w:cs="仿宋_GB2312"/>
          <w:sz w:val="32"/>
          <w:szCs w:val="32"/>
        </w:rPr>
        <w:br w:type="page"/>
      </w:r>
    </w:p>
    <w:p w14:paraId="7FC38F66">
      <w:pPr>
        <w:adjustRightInd w:val="0"/>
        <w:snapToGrid w:val="0"/>
        <w:spacing w:line="480" w:lineRule="exact"/>
        <w:jc w:val="left"/>
        <w:rPr>
          <w:rFonts w:hint="eastAsia" w:ascii="仿宋_GB2312" w:hAnsi="宋体" w:eastAsia="仿宋_GB2312" w:cs="仿宋_GB2312"/>
          <w:sz w:val="32"/>
        </w:rPr>
      </w:pPr>
      <w:r>
        <w:rPr>
          <w:rFonts w:hint="eastAsia" w:ascii="仿宋_GB2312" w:hAnsi="宋体" w:eastAsia="仿宋_GB2312" w:cs="仿宋_GB2312"/>
          <w:sz w:val="32"/>
        </w:rPr>
        <w:t>附件</w:t>
      </w:r>
    </w:p>
    <w:p w14:paraId="0C6142EE">
      <w:pPr>
        <w:adjustRightInd w:val="0"/>
        <w:snapToGrid w:val="0"/>
        <w:jc w:val="center"/>
        <w:rPr>
          <w:rFonts w:hint="eastAsia" w:ascii="宋体" w:hAnsi="宋体" w:cs="宋体"/>
          <w:b/>
          <w:bCs/>
          <w:sz w:val="44"/>
          <w:szCs w:val="44"/>
        </w:rPr>
      </w:pPr>
    </w:p>
    <w:p w14:paraId="0A515624">
      <w:pPr>
        <w:adjustRightInd w:val="0"/>
        <w:snapToGrid w:val="0"/>
        <w:jc w:val="center"/>
        <w:rPr>
          <w:rFonts w:hint="eastAsia" w:ascii="宋体" w:hAnsi="宋体" w:cs="宋体"/>
          <w:b/>
          <w:bCs/>
          <w:sz w:val="44"/>
          <w:szCs w:val="44"/>
        </w:rPr>
      </w:pPr>
      <w:r>
        <w:rPr>
          <w:rFonts w:hint="eastAsia" w:ascii="宋体" w:hAnsi="宋体" w:cs="宋体"/>
          <w:b/>
          <w:bCs/>
          <w:sz w:val="44"/>
          <w:szCs w:val="44"/>
        </w:rPr>
        <w:t>投标及履约承诺函</w:t>
      </w:r>
    </w:p>
    <w:p w14:paraId="6D6266F6">
      <w:pPr>
        <w:adjustRightInd w:val="0"/>
        <w:snapToGrid w:val="0"/>
        <w:jc w:val="center"/>
        <w:rPr>
          <w:rFonts w:hint="eastAsia" w:ascii="宋体" w:hAnsi="宋体" w:cs="宋体"/>
          <w:b/>
          <w:bCs/>
          <w:sz w:val="44"/>
          <w:szCs w:val="44"/>
        </w:rPr>
      </w:pPr>
    </w:p>
    <w:p w14:paraId="7314DAEF">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我单位承诺：</w:t>
      </w:r>
    </w:p>
    <w:p w14:paraId="021FEE80">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14:paraId="1E0D58BA">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2.对本招标项目所提供的服务未侵犯知识产权。</w:t>
      </w:r>
    </w:p>
    <w:p w14:paraId="0111A235">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1C886C13">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14:paraId="38A6DDCF">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14:paraId="7498296C">
      <w:pPr>
        <w:adjustRightInd w:val="0"/>
        <w:snapToGrid w:val="0"/>
        <w:spacing w:line="480" w:lineRule="exact"/>
        <w:ind w:firstLine="640" w:firstLineChars="200"/>
        <w:rPr>
          <w:rFonts w:hint="eastAsia" w:ascii="仿宋_GB2312" w:hAnsi="宋体" w:eastAsia="仿宋_GB2312"/>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14:paraId="0C7A06E1">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以上承诺，如有违反，愿依照国家相关法律处理，并承担由此给采购人带来的损失。</w:t>
      </w:r>
    </w:p>
    <w:p w14:paraId="406695EB">
      <w:pPr>
        <w:adjustRightInd w:val="0"/>
        <w:snapToGrid w:val="0"/>
        <w:spacing w:line="480" w:lineRule="exact"/>
        <w:ind w:firstLine="640" w:firstLineChars="200"/>
        <w:rPr>
          <w:rFonts w:hint="eastAsia" w:ascii="仿宋_GB2312" w:hAnsi="宋体" w:eastAsia="仿宋_GB2312"/>
          <w:sz w:val="32"/>
        </w:rPr>
      </w:pPr>
    </w:p>
    <w:p w14:paraId="3A922A58">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 xml:space="preserve">承诺投标人： </w:t>
      </w:r>
    </w:p>
    <w:p w14:paraId="146F40DF">
      <w:pPr>
        <w:adjustRightInd w:val="0"/>
        <w:snapToGrid w:val="0"/>
        <w:spacing w:line="480" w:lineRule="exact"/>
        <w:ind w:firstLine="640" w:firstLineChars="200"/>
        <w:rPr>
          <w:rFonts w:hint="eastAsia" w:ascii="仿宋_GB2312" w:hAnsi="宋体" w:eastAsia="仿宋_GB2312"/>
          <w:sz w:val="32"/>
        </w:rPr>
      </w:pPr>
      <w:r>
        <w:rPr>
          <w:rFonts w:hint="eastAsia" w:ascii="仿宋_GB2312" w:hAnsi="宋体" w:eastAsia="仿宋_GB2312" w:cs="仿宋_GB2312"/>
          <w:sz w:val="32"/>
        </w:rPr>
        <w:t>单位地址：</w:t>
      </w:r>
    </w:p>
    <w:p w14:paraId="0B1868C2">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法定代表人或其委托代理人：</w:t>
      </w:r>
    </w:p>
    <w:p w14:paraId="4277815D">
      <w:pPr>
        <w:adjustRightInd w:val="0"/>
        <w:snapToGrid w:val="0"/>
        <w:spacing w:line="480" w:lineRule="exact"/>
        <w:ind w:firstLine="640" w:firstLineChars="200"/>
        <w:rPr>
          <w:rFonts w:hint="eastAsia" w:ascii="仿宋_GB2312" w:hAnsi="宋体" w:eastAsia="仿宋_GB2312"/>
          <w:sz w:val="32"/>
          <w:u w:val="single"/>
        </w:rPr>
      </w:pPr>
      <w:r>
        <w:rPr>
          <w:rFonts w:hint="eastAsia" w:ascii="仿宋_GB2312" w:hAnsi="宋体" w:eastAsia="仿宋_GB2312" w:cs="仿宋_GB2312"/>
          <w:sz w:val="32"/>
        </w:rPr>
        <w:t>联系电话：</w:t>
      </w:r>
    </w:p>
    <w:p w14:paraId="7DAAB109">
      <w:pPr>
        <w:adjustRightInd w:val="0"/>
        <w:snapToGrid w:val="0"/>
        <w:spacing w:line="480" w:lineRule="exact"/>
        <w:ind w:firstLine="640" w:firstLineChars="200"/>
      </w:pPr>
      <w:r>
        <w:rPr>
          <w:rFonts w:hint="eastAsia" w:ascii="仿宋_GB2312" w:hAnsi="Times New Roman" w:eastAsia="仿宋_GB2312" w:cs="仿宋_GB2312"/>
          <w:sz w:val="32"/>
        </w:rPr>
        <w:t xml:space="preserve">日期：   年   月   日  </w:t>
      </w:r>
      <w:r>
        <w:rPr>
          <w:rFonts w:ascii="Times New Roman" w:hAnsi="Times New Roman" w:eastAsia="仿宋_GB2312"/>
          <w:sz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ZjllNWI0MTE2ZWQyNjk3MjdkMDA3MjZlMzhkMzEifQ=="/>
  </w:docVars>
  <w:rsids>
    <w:rsidRoot w:val="4A1947CF"/>
    <w:rsid w:val="00167B0B"/>
    <w:rsid w:val="001909C5"/>
    <w:rsid w:val="001914E6"/>
    <w:rsid w:val="00216931"/>
    <w:rsid w:val="002444DC"/>
    <w:rsid w:val="002671EC"/>
    <w:rsid w:val="002F1FC6"/>
    <w:rsid w:val="00314D9F"/>
    <w:rsid w:val="004C18E1"/>
    <w:rsid w:val="004C4010"/>
    <w:rsid w:val="004D6B1E"/>
    <w:rsid w:val="005008DC"/>
    <w:rsid w:val="00567524"/>
    <w:rsid w:val="00571C4F"/>
    <w:rsid w:val="005A69A2"/>
    <w:rsid w:val="00652D55"/>
    <w:rsid w:val="006F2E62"/>
    <w:rsid w:val="00732316"/>
    <w:rsid w:val="00744CC8"/>
    <w:rsid w:val="00777FE3"/>
    <w:rsid w:val="00780234"/>
    <w:rsid w:val="007831C6"/>
    <w:rsid w:val="007D6AF7"/>
    <w:rsid w:val="00903041"/>
    <w:rsid w:val="0092601B"/>
    <w:rsid w:val="0096791E"/>
    <w:rsid w:val="009E1585"/>
    <w:rsid w:val="00A6207D"/>
    <w:rsid w:val="00AA78D0"/>
    <w:rsid w:val="00AB1EE6"/>
    <w:rsid w:val="00B476FF"/>
    <w:rsid w:val="00B66757"/>
    <w:rsid w:val="00B83190"/>
    <w:rsid w:val="00C203FF"/>
    <w:rsid w:val="00C54215"/>
    <w:rsid w:val="00C6133A"/>
    <w:rsid w:val="00D061D6"/>
    <w:rsid w:val="00D451A4"/>
    <w:rsid w:val="00DA6045"/>
    <w:rsid w:val="00DD0126"/>
    <w:rsid w:val="00DE1F04"/>
    <w:rsid w:val="00E47D59"/>
    <w:rsid w:val="00EF623E"/>
    <w:rsid w:val="0D8A0FD7"/>
    <w:rsid w:val="0E69332E"/>
    <w:rsid w:val="13671E6C"/>
    <w:rsid w:val="18D13844"/>
    <w:rsid w:val="1C712C6F"/>
    <w:rsid w:val="1F672A94"/>
    <w:rsid w:val="21512705"/>
    <w:rsid w:val="247955FF"/>
    <w:rsid w:val="2DFA3997"/>
    <w:rsid w:val="317E4255"/>
    <w:rsid w:val="38BB077C"/>
    <w:rsid w:val="40C377CE"/>
    <w:rsid w:val="4A1947CF"/>
    <w:rsid w:val="4F5110E0"/>
    <w:rsid w:val="5B180CF0"/>
    <w:rsid w:val="78A53442"/>
    <w:rsid w:val="7FD6D1BF"/>
    <w:rsid w:val="F1BFD637"/>
    <w:rsid w:val="FFBDA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612</Words>
  <Characters>619</Characters>
  <Lines>29</Lines>
  <Paragraphs>8</Paragraphs>
  <TotalTime>4</TotalTime>
  <ScaleCrop>false</ScaleCrop>
  <LinksUpToDate>false</LinksUpToDate>
  <CharactersWithSpaces>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2025-11-21T03:46:00Z</dcterms:created>
  <dc:creator>d</dc:creator>
  <cp:lastModifiedBy>杨豆豆</cp:lastModifiedBy>
  <dcterms:modified xsi:type="dcterms:W3CDTF">2025-12-01T01:54:42Z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A8DECA39F6584310A0E42D83EC2A7859_13</vt:lpwstr>
  </property>
  <property fmtid="{D5CDD505-2E9C-101B-9397-08002B2CF9AE}" pid="4" name="KSOTemplateDocerSaveRecord">
    <vt:lpwstr>eyJoZGlkIjoiN2YzNjBkOTgyNWQ1YTMxYzM3MzMwNWFiODNmOWIzYWMiLCJ1c2VySWQiOiIzNjcyMzM4MDMifQ==</vt:lpwstr>
  </property>
</Properties>
</file>