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8FBD0">
      <w:pPr>
        <w:adjustRightInd w:val="0"/>
        <w:snapToGrid w:val="0"/>
        <w:rPr>
          <w:rFonts w:hint="eastAsia" w:ascii="宋体" w:hAnsi="宋体" w:cs="Arial"/>
          <w:b/>
          <w:bCs/>
          <w:sz w:val="44"/>
          <w:szCs w:val="44"/>
        </w:rPr>
      </w:pPr>
    </w:p>
    <w:p w14:paraId="0CD6CFAC">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深圳市楼宇经济高质量发展行动举措</w:t>
      </w:r>
    </w:p>
    <w:p w14:paraId="0FFE074E">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研究项目</w:t>
      </w:r>
    </w:p>
    <w:p w14:paraId="73E698D3">
      <w:pPr>
        <w:spacing w:line="360" w:lineRule="auto"/>
        <w:ind w:left="420" w:leftChars="200"/>
        <w:jc w:val="center"/>
        <w:rPr>
          <w:rFonts w:hint="eastAsia" w:ascii="宋体" w:hAnsi="宋体" w:cs="Arial"/>
          <w:b/>
          <w:bCs/>
          <w:sz w:val="44"/>
          <w:szCs w:val="44"/>
        </w:rPr>
      </w:pPr>
    </w:p>
    <w:p w14:paraId="4DD38B96">
      <w:pPr>
        <w:spacing w:line="360" w:lineRule="auto"/>
        <w:ind w:left="420" w:leftChars="200"/>
        <w:jc w:val="center"/>
        <w:rPr>
          <w:rFonts w:hint="eastAsia" w:ascii="黑体" w:hAnsi="宋体" w:eastAsia="黑体"/>
          <w:b/>
          <w:bCs/>
          <w:sz w:val="32"/>
          <w:szCs w:val="32"/>
        </w:rPr>
      </w:pPr>
    </w:p>
    <w:p w14:paraId="296195E3">
      <w:pPr>
        <w:spacing w:line="360" w:lineRule="auto"/>
        <w:ind w:left="420" w:leftChars="200"/>
        <w:jc w:val="center"/>
        <w:rPr>
          <w:rFonts w:hint="eastAsia" w:ascii="黑体" w:hAnsi="宋体" w:eastAsia="黑体"/>
          <w:b/>
          <w:bCs/>
          <w:sz w:val="32"/>
          <w:szCs w:val="32"/>
        </w:rPr>
      </w:pPr>
    </w:p>
    <w:p w14:paraId="6DAB518E">
      <w:pPr>
        <w:spacing w:line="360" w:lineRule="auto"/>
        <w:jc w:val="center"/>
        <w:rPr>
          <w:rFonts w:hint="eastAsia" w:ascii="黑体" w:hAnsi="宋体" w:eastAsia="黑体"/>
          <w:b/>
          <w:bCs/>
          <w:sz w:val="72"/>
          <w:szCs w:val="72"/>
        </w:rPr>
      </w:pPr>
      <w:r>
        <w:rPr>
          <w:rFonts w:hint="eastAsia" w:ascii="黑体" w:hAnsi="黑体" w:eastAsia="黑体"/>
          <w:b/>
          <w:bCs/>
          <w:sz w:val="72"/>
          <w:szCs w:val="72"/>
        </w:rPr>
        <w:t>招</w:t>
      </w:r>
    </w:p>
    <w:p w14:paraId="11DFB88B">
      <w:pPr>
        <w:spacing w:line="360" w:lineRule="auto"/>
        <w:jc w:val="center"/>
        <w:rPr>
          <w:rFonts w:hint="eastAsia" w:ascii="黑体" w:hAnsi="宋体" w:eastAsia="黑体"/>
          <w:b/>
          <w:bCs/>
          <w:sz w:val="48"/>
          <w:szCs w:val="48"/>
        </w:rPr>
      </w:pPr>
    </w:p>
    <w:p w14:paraId="7D603C88">
      <w:pPr>
        <w:spacing w:line="360" w:lineRule="auto"/>
        <w:jc w:val="center"/>
        <w:rPr>
          <w:rFonts w:hint="eastAsia" w:ascii="黑体" w:hAnsi="宋体" w:eastAsia="黑体"/>
          <w:b/>
          <w:bCs/>
          <w:sz w:val="72"/>
          <w:szCs w:val="72"/>
        </w:rPr>
      </w:pPr>
      <w:r>
        <w:rPr>
          <w:rFonts w:hint="eastAsia" w:ascii="黑体" w:hAnsi="黑体" w:eastAsia="黑体"/>
          <w:b/>
          <w:bCs/>
          <w:sz w:val="72"/>
          <w:szCs w:val="72"/>
        </w:rPr>
        <w:t>标</w:t>
      </w:r>
    </w:p>
    <w:p w14:paraId="33AA255F">
      <w:pPr>
        <w:spacing w:line="360" w:lineRule="auto"/>
        <w:jc w:val="center"/>
        <w:rPr>
          <w:rFonts w:hint="eastAsia" w:ascii="黑体" w:hAnsi="宋体" w:eastAsia="黑体"/>
          <w:b/>
          <w:bCs/>
          <w:sz w:val="48"/>
          <w:szCs w:val="48"/>
        </w:rPr>
      </w:pPr>
    </w:p>
    <w:p w14:paraId="188343F8">
      <w:pPr>
        <w:spacing w:line="360" w:lineRule="auto"/>
        <w:jc w:val="center"/>
        <w:rPr>
          <w:rFonts w:hint="eastAsia" w:ascii="黑体" w:hAnsi="宋体" w:eastAsia="黑体"/>
          <w:b/>
          <w:bCs/>
          <w:sz w:val="72"/>
          <w:szCs w:val="72"/>
        </w:rPr>
      </w:pPr>
      <w:r>
        <w:rPr>
          <w:rFonts w:hint="eastAsia" w:ascii="黑体" w:hAnsi="黑体" w:eastAsia="黑体"/>
          <w:b/>
          <w:bCs/>
          <w:sz w:val="72"/>
          <w:szCs w:val="72"/>
        </w:rPr>
        <w:t>书</w:t>
      </w:r>
    </w:p>
    <w:p w14:paraId="72D7543D">
      <w:pPr>
        <w:spacing w:line="360" w:lineRule="auto"/>
        <w:ind w:left="420" w:leftChars="200"/>
        <w:jc w:val="center"/>
        <w:rPr>
          <w:rFonts w:hint="eastAsia" w:ascii="宋体" w:hAnsi="宋体"/>
          <w:sz w:val="44"/>
          <w:szCs w:val="44"/>
        </w:rPr>
      </w:pPr>
    </w:p>
    <w:p w14:paraId="2F725BBA">
      <w:pPr>
        <w:spacing w:line="360" w:lineRule="auto"/>
        <w:rPr>
          <w:rFonts w:hint="eastAsia" w:ascii="方正小标宋简体" w:hAnsi="宋体" w:cs="Arial"/>
          <w:sz w:val="48"/>
          <w:szCs w:val="48"/>
        </w:rPr>
      </w:pPr>
    </w:p>
    <w:p w14:paraId="425C843E">
      <w:pPr>
        <w:spacing w:line="360" w:lineRule="auto"/>
        <w:rPr>
          <w:rFonts w:hint="eastAsia" w:ascii="方正小标宋简体" w:hAnsi="宋体" w:cs="Arial"/>
          <w:sz w:val="48"/>
          <w:szCs w:val="48"/>
        </w:rPr>
      </w:pPr>
    </w:p>
    <w:p w14:paraId="39C08F6A">
      <w:pPr>
        <w:spacing w:line="360" w:lineRule="auto"/>
        <w:rPr>
          <w:rFonts w:hint="eastAsia" w:ascii="方正小标宋简体" w:hAnsi="宋体" w:cs="Arial"/>
          <w:sz w:val="48"/>
          <w:szCs w:val="48"/>
        </w:rPr>
      </w:pPr>
    </w:p>
    <w:p w14:paraId="77904176">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深圳市发展和改革委员会</w:t>
      </w:r>
    </w:p>
    <w:p w14:paraId="3DCD3ED1">
      <w:pPr>
        <w:spacing w:line="6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32"/>
          <w:szCs w:val="32"/>
        </w:rPr>
        <w:t>2025年</w:t>
      </w:r>
      <w:r>
        <w:rPr>
          <w:rFonts w:hint="eastAsia" w:ascii="方正小标宋简体" w:hAnsi="方正小标宋简体" w:eastAsia="方正小标宋简体" w:cs="方正小标宋简体"/>
          <w:sz w:val="32"/>
          <w:szCs w:val="32"/>
          <w:lang w:val="en-US" w:eastAsia="zh-CN"/>
        </w:rPr>
        <w:t>10</w:t>
      </w:r>
      <w:r>
        <w:rPr>
          <w:rFonts w:hint="eastAsia" w:ascii="方正小标宋简体" w:hAnsi="方正小标宋简体" w:eastAsia="方正小标宋简体" w:cs="方正小标宋简体"/>
          <w:sz w:val="32"/>
          <w:szCs w:val="32"/>
        </w:rPr>
        <w:t>月</w:t>
      </w:r>
    </w:p>
    <w:p w14:paraId="47878EE3">
      <w:pPr>
        <w:jc w:val="left"/>
        <w:rPr>
          <w:rFonts w:hint="eastAsia" w:ascii="宋体" w:hAnsi="宋体" w:cs="宋体"/>
          <w:b/>
          <w:bCs/>
          <w:sz w:val="44"/>
          <w:szCs w:val="44"/>
        </w:rPr>
        <w:sectPr>
          <w:pgSz w:w="11906" w:h="16838"/>
          <w:pgMar w:top="1400" w:right="1797" w:bottom="1089" w:left="1797" w:header="720" w:footer="720" w:gutter="0"/>
          <w:cols w:space="720" w:num="1"/>
          <w:docGrid w:type="lines" w:linePitch="312" w:charSpace="0"/>
        </w:sectPr>
      </w:pPr>
    </w:p>
    <w:p w14:paraId="4C5C8E3E">
      <w:pPr>
        <w:adjustRightInd w:val="0"/>
        <w:snapToGrid w:val="0"/>
        <w:jc w:val="center"/>
        <w:rPr>
          <w:rFonts w:hint="eastAsia" w:ascii="宋体" w:hAnsi="宋体" w:cs="Arial"/>
          <w:b/>
          <w:bCs/>
          <w:sz w:val="44"/>
          <w:szCs w:val="44"/>
        </w:rPr>
      </w:pPr>
    </w:p>
    <w:p w14:paraId="1BCA1978">
      <w:pPr>
        <w:adjustRightInd w:val="0"/>
        <w:snapToGrid w:val="0"/>
        <w:jc w:val="center"/>
        <w:rPr>
          <w:rFonts w:hint="eastAsia" w:ascii="宋体" w:hAnsi="宋体" w:cs="Arial"/>
          <w:b/>
          <w:bCs/>
          <w:sz w:val="44"/>
          <w:szCs w:val="44"/>
        </w:rPr>
      </w:pPr>
    </w:p>
    <w:p w14:paraId="31B90D63">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深圳市楼宇经济高质量发展行动举措</w:t>
      </w:r>
    </w:p>
    <w:p w14:paraId="525B7646">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项目招标书</w:t>
      </w:r>
    </w:p>
    <w:p w14:paraId="4186BFFA">
      <w:pPr>
        <w:spacing w:line="560" w:lineRule="exact"/>
        <w:ind w:firstLine="643" w:firstLineChars="200"/>
        <w:rPr>
          <w:rFonts w:hint="eastAsia" w:ascii="黑体" w:hAnsi="黑体" w:eastAsia="黑体"/>
          <w:b/>
          <w:bCs/>
          <w:sz w:val="32"/>
          <w:szCs w:val="32"/>
        </w:rPr>
      </w:pPr>
    </w:p>
    <w:p w14:paraId="26BEBD95">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一、项目概况</w:t>
      </w:r>
    </w:p>
    <w:p w14:paraId="422A0E77">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（一）项目名称：深圳市楼宇经济高质量发展行动举措研究项目。</w:t>
      </w:r>
    </w:p>
    <w:p w14:paraId="13CA097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（二）服务期限：自合同签订之日起约3个月。</w:t>
      </w:r>
    </w:p>
    <w:p w14:paraId="68593F6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（三）项目预算：预算金额不超过50万元。</w:t>
      </w:r>
    </w:p>
    <w:p w14:paraId="24DBA14E">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二、项目内容</w:t>
      </w:r>
    </w:p>
    <w:p w14:paraId="19FAF23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开展楼宇经济发展演变趋势及国内外对标案例研究、现状及问题调研、未来发展举措建议梳理工作，形成科学、全面、具有实践指导意义的研究成果，为相关决策部门推进楼宇经济高质量发展提供可靠依据与参考。项目研究服务工作和要求至少应包含以下主要内容：</w:t>
      </w:r>
    </w:p>
    <w:p w14:paraId="351EF2A9">
      <w:pPr>
        <w:keepNext w:val="0"/>
        <w:keepLines w:val="0"/>
        <w:pageBreakBefore w:val="0"/>
        <w:widowControl w:val="0"/>
        <w:kinsoku/>
        <w:overflowPunct/>
        <w:topLinePunct w:val="0"/>
        <w:autoSpaceDE/>
        <w:autoSpaceDN/>
        <w:bidi w:val="0"/>
        <w:adjustRightInd w:val="0"/>
        <w:snapToGrid w:val="0"/>
        <w:spacing w:line="580" w:lineRule="exact"/>
        <w:ind w:firstLine="643" w:firstLineChars="200"/>
        <w:textAlignment w:val="auto"/>
        <w:outlineLvl w:val="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（一）开展楼宇经济发展演变趋势及国内外对标案例研究</w:t>
      </w:r>
    </w:p>
    <w:p w14:paraId="037E4B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1、深入总结深圳楼宇经济发展现状，通过数据收集、资料分析等方式，梳理不同主体在深圳楼宇经济发展中遇到的难点痛点。</w:t>
      </w:r>
      <w:r>
        <w:rPr>
          <w:rFonts w:ascii="Cambria Math" w:hAnsi="Cambria Math" w:eastAsia="仿宋_GB2312" w:cs="Cambria Math"/>
          <w:sz w:val="32"/>
          <w:szCs w:val="32"/>
        </w:rPr>
        <w:t>​</w:t>
      </w:r>
    </w:p>
    <w:p w14:paraId="3F5E58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2、系统研究国内外城市楼宇发展规律，广泛收集纽约、伦敦、上海、新加坡等国内外先进城市的楼宇经济发展资料，深入剖析其发展历程、模式、特点及趋势。</w:t>
      </w:r>
    </w:p>
    <w:p w14:paraId="070A66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3、全面梳理先进城市在助推楼宇经济高质量发展的创新举措和典型做法，涵盖政策支持、运营管理、产业培育等多方面内容。</w:t>
      </w:r>
    </w:p>
    <w:p w14:paraId="2613ABD5">
      <w:pPr>
        <w:pStyle w:val="2"/>
        <w:ind w:firstLine="640" w:firstLineChars="200"/>
        <w:rPr>
          <w:rFonts w:hint="eastAsi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、研究楼宇经济与城市经济发展、产业发展之间的关系以及发展演变趋势。</w:t>
      </w:r>
    </w:p>
    <w:p w14:paraId="505FF10B">
      <w:pPr>
        <w:keepNext w:val="0"/>
        <w:keepLines w:val="0"/>
        <w:pageBreakBefore w:val="0"/>
        <w:widowControl w:val="0"/>
        <w:kinsoku/>
        <w:overflowPunct/>
        <w:topLinePunct w:val="0"/>
        <w:autoSpaceDE/>
        <w:autoSpaceDN/>
        <w:bidi w:val="0"/>
        <w:adjustRightInd w:val="0"/>
        <w:snapToGrid w:val="0"/>
        <w:spacing w:line="580" w:lineRule="exact"/>
        <w:ind w:firstLine="643" w:firstLineChars="200"/>
        <w:textAlignment w:val="auto"/>
        <w:outlineLvl w:val="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（二）调研当前楼宇经济发展现状及存在问题</w:t>
      </w:r>
    </w:p>
    <w:p w14:paraId="08429A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1、针对总部企业、高端楼宇开发商、高端楼宇租户、老旧楼宇改造开发商、老旧楼宇入驻客户以及与楼宇经济相关的市级、区级政府机构制定详细访谈提纲，开展针对性访谈。</w:t>
      </w:r>
    </w:p>
    <w:p w14:paraId="1D3E30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2、通过实地走访、问卷调查、线上访谈等多种方式，全方位了解楼宇经济当前发展现状及存在问题，深度挖掘不同主体对楼宇经济高质量发展的看法与建议，并做好访谈记录与资料整理。</w:t>
      </w:r>
    </w:p>
    <w:p w14:paraId="2CB9CAEA">
      <w:pPr>
        <w:keepNext w:val="0"/>
        <w:keepLines w:val="0"/>
        <w:pageBreakBefore w:val="0"/>
        <w:widowControl w:val="0"/>
        <w:kinsoku/>
        <w:overflowPunct/>
        <w:topLinePunct w:val="0"/>
        <w:autoSpaceDE/>
        <w:autoSpaceDN/>
        <w:bidi w:val="0"/>
        <w:adjustRightInd w:val="0"/>
        <w:snapToGrid w:val="0"/>
        <w:spacing w:line="580" w:lineRule="exact"/>
        <w:ind w:firstLine="643" w:firstLineChars="200"/>
        <w:textAlignment w:val="auto"/>
        <w:outlineLvl w:val="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（三）梳理楼宇经济未来发展举措建议</w:t>
      </w:r>
    </w:p>
    <w:p w14:paraId="69252F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1、基于案例对标、访谈等成果，系统总结楼宇经济未来发展政府作为方向，包括政策制定、资源调配、市场监管等方面。</w:t>
      </w:r>
    </w:p>
    <w:p w14:paraId="587D0E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2、从产业、空间、技术、政策等多维度，对未来楼宇经济发展提出具有针对性、可操作性的策略，如产业协同发展策略、空间优化利用策略、智慧楼宇技术应用策略等。</w:t>
      </w:r>
    </w:p>
    <w:p w14:paraId="7F07A57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3、针对当前楼宇经济发展痛点，提出新形势下的优化措施，涵盖招商策略创新，如精准招商、产业链招商；总部经济政策优化，如税收优惠、人才引进政策完善等。</w:t>
      </w:r>
    </w:p>
    <w:p w14:paraId="4A2628D3">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三、项目技术要求</w:t>
      </w:r>
    </w:p>
    <w:p w14:paraId="2C28BE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（一）项目成果需严格围绕项目需求，科学、高效开展课题研究工作，确保研究方向与目标契合度。</w:t>
      </w:r>
    </w:p>
    <w:p w14:paraId="33A934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（二）研究工作应秉持客观公正、严谨专业、务实创新原则，保证研究过程与成果不受主观因素干扰，真实反映楼宇经济发展状况与规律。</w:t>
      </w:r>
    </w:p>
    <w:p w14:paraId="2BE530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（三）课题研究报告需经过严格的多级质量校审流程，确保内容逻辑清晰、数据准确、论证充分、结论可靠，报告最终版本须加盖公章。</w:t>
      </w:r>
    </w:p>
    <w:p w14:paraId="025E676B">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四、项目成果交付要求</w:t>
      </w:r>
    </w:p>
    <w:p w14:paraId="6A2DB5F9">
      <w:pPr>
        <w:pStyle w:val="135"/>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提交研究成果纸质版5份和一套PPT格式的中文工作成果报告及Word格式的中文报告简本（</w:t>
      </w:r>
      <w:r>
        <w:rPr>
          <w:rFonts w:ascii="仿宋_GB2312" w:hAnsi="仿宋_GB2312" w:eastAsia="仿宋_GB2312" w:cs="仿宋_GB2312"/>
          <w:sz w:val="32"/>
        </w:rPr>
        <w:t>5000</w:t>
      </w:r>
      <w:r>
        <w:rPr>
          <w:rFonts w:hint="eastAsia" w:ascii="仿宋_GB2312" w:hAnsi="仿宋_GB2312" w:eastAsia="仿宋_GB2312" w:cs="仿宋_GB2312"/>
          <w:sz w:val="32"/>
        </w:rPr>
        <w:t>字以内），文件能够简明扼要介绍成果核心内容与主要结论。</w:t>
      </w:r>
    </w:p>
    <w:p w14:paraId="4FA124CE">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五、投标资格要求</w:t>
      </w:r>
    </w:p>
    <w:p w14:paraId="4F988EE6">
      <w:pPr>
        <w:pStyle w:val="4"/>
        <w:keepNext w:val="0"/>
        <w:keepLines w:val="0"/>
        <w:spacing w:before="0" w:after="0"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b w:val="0"/>
        </w:rPr>
        <w:t>（一）具有独立承担民事责任能力的在中华人民共和国境内注册的法人。</w:t>
      </w:r>
    </w:p>
    <w:p w14:paraId="1171AA9F">
      <w:pPr>
        <w:pStyle w:val="4"/>
        <w:keepNext w:val="0"/>
        <w:keepLines w:val="0"/>
        <w:spacing w:before="0" w:after="0"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b w:val="0"/>
        </w:rPr>
        <w:t>（二）投标人必须具备相关经营范围（咨询服务等），具备开展本项目研究的基本条件和研究能力。</w:t>
      </w:r>
    </w:p>
    <w:p w14:paraId="794C88F6">
      <w:pPr>
        <w:pStyle w:val="4"/>
        <w:keepNext w:val="0"/>
        <w:keepLines w:val="0"/>
        <w:spacing w:before="0" w:after="0" w:line="560" w:lineRule="exact"/>
        <w:ind w:firstLine="640" w:firstLineChars="200"/>
        <w:rPr>
          <w:rFonts w:hint="eastAsia" w:ascii="仿宋" w:hAnsi="仿宋" w:eastAsia="仿宋" w:cs="仿宋"/>
        </w:rPr>
      </w:pPr>
      <w:r>
        <w:rPr>
          <w:rFonts w:hint="eastAsia" w:ascii="仿宋_GB2312" w:hAnsi="仿宋_GB2312" w:eastAsia="仿宋_GB2312" w:cs="仿宋_GB2312"/>
          <w:b w:val="0"/>
        </w:rPr>
        <w:t>（三）参加本次政府采购活动前3年内在经营活动中没有重大违法记录（提供声明函，格式自拟）。</w:t>
      </w:r>
    </w:p>
    <w:p w14:paraId="433FBD90">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六、投标时间、方式及联系人</w:t>
      </w:r>
    </w:p>
    <w:p w14:paraId="15FFB626">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（一）投标时间：</w:t>
      </w:r>
      <w:r>
        <w:rPr>
          <w:rFonts w:hint="eastAsia" w:ascii="仿宋_GB2312" w:hAnsi="仿宋_GB2312" w:eastAsia="仿宋_GB2312" w:cs="仿宋_GB2312"/>
          <w:sz w:val="32"/>
          <w:szCs w:val="24"/>
          <w:highlight w:val="none"/>
        </w:rPr>
        <w:t>202</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年10月</w:t>
      </w:r>
      <w:r>
        <w:rPr>
          <w:rFonts w:hint="eastAsia" w:ascii="仿宋_GB2312" w:hAnsi="仿宋_GB2312" w:eastAsia="仿宋_GB2312" w:cs="仿宋_GB2312"/>
          <w:sz w:val="32"/>
          <w:szCs w:val="24"/>
          <w:highlight w:val="none"/>
          <w:lang w:val="en-US" w:eastAsia="zh-CN"/>
        </w:rPr>
        <w:t>13</w:t>
      </w:r>
      <w:r>
        <w:rPr>
          <w:rFonts w:hint="eastAsia" w:ascii="仿宋_GB2312" w:hAnsi="仿宋_GB2312" w:eastAsia="仿宋_GB2312" w:cs="仿宋_GB2312"/>
          <w:sz w:val="32"/>
          <w:szCs w:val="24"/>
          <w:highlight w:val="none"/>
        </w:rPr>
        <w:t>日至202</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年10月</w:t>
      </w:r>
      <w:r>
        <w:rPr>
          <w:rFonts w:hint="eastAsia" w:ascii="仿宋_GB2312" w:hAnsi="仿宋_GB2312" w:eastAsia="仿宋_GB2312" w:cs="仿宋_GB2312"/>
          <w:sz w:val="32"/>
          <w:szCs w:val="24"/>
          <w:highlight w:val="none"/>
          <w:lang w:val="en-US" w:eastAsia="zh-CN"/>
        </w:rPr>
        <w:t>23</w:t>
      </w:r>
      <w:bookmarkStart w:id="0" w:name="_GoBack"/>
      <w:bookmarkEnd w:id="0"/>
      <w:r>
        <w:rPr>
          <w:rFonts w:hint="eastAsia" w:ascii="仿宋_GB2312" w:hAnsi="仿宋_GB2312" w:eastAsia="仿宋_GB2312" w:cs="仿宋_GB2312"/>
          <w:sz w:val="32"/>
          <w:szCs w:val="24"/>
          <w:highlight w:val="none"/>
        </w:rPr>
        <w:t>日，每日上午9:00-12:00，下午2:00-5:45</w:t>
      </w:r>
      <w:r>
        <w:rPr>
          <w:rFonts w:hint="eastAsia" w:ascii="仿宋_GB2312" w:hAnsi="仿宋_GB2312" w:eastAsia="仿宋_GB2312" w:cs="仿宋_GB2312"/>
          <w:sz w:val="32"/>
          <w:szCs w:val="24"/>
        </w:rPr>
        <w:t>（节假日除外）。逾期未投标将不再受理。</w:t>
      </w:r>
    </w:p>
    <w:p w14:paraId="79929022">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（二）投标地点：</w:t>
      </w:r>
      <w:r>
        <w:rPr>
          <w:rFonts w:hint="eastAsia" w:ascii="仿宋_GB2312" w:hAnsi="仿宋_GB2312" w:eastAsia="仿宋_GB2312" w:cs="仿宋_GB2312"/>
          <w:sz w:val="32"/>
          <w:szCs w:val="24"/>
          <w:highlight w:val="none"/>
        </w:rPr>
        <w:t>深圳市福田区福中三路市民中心B区行政服务大厅2号市发展和改革委卡座</w:t>
      </w:r>
      <w:r>
        <w:rPr>
          <w:rFonts w:hint="eastAsia" w:ascii="仿宋_GB2312" w:hAnsi="仿宋_GB2312" w:eastAsia="仿宋_GB2312" w:cs="仿宋_GB2312"/>
          <w:sz w:val="32"/>
          <w:szCs w:val="24"/>
        </w:rPr>
        <w:t>（可邮寄，以送达日期为投标日期）。</w:t>
      </w:r>
    </w:p>
    <w:p w14:paraId="230E1DD5">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（三）联系人：</w:t>
      </w:r>
      <w:r>
        <w:rPr>
          <w:rFonts w:hint="eastAsia" w:ascii="仿宋_GB2312" w:hAnsi="仿宋_GB2312" w:eastAsia="仿宋_GB2312" w:cs="仿宋_GB2312"/>
          <w:sz w:val="32"/>
          <w:szCs w:val="24"/>
          <w:highlight w:val="none"/>
          <w:lang w:eastAsia="zh-CN"/>
        </w:rPr>
        <w:t>傅敏行</w:t>
      </w:r>
      <w:r>
        <w:rPr>
          <w:rFonts w:hint="eastAsia" w:ascii="仿宋_GB2312" w:hAnsi="仿宋_GB2312" w:eastAsia="仿宋_GB2312" w:cs="仿宋_GB2312"/>
          <w:sz w:val="32"/>
          <w:szCs w:val="24"/>
          <w:highlight w:val="none"/>
        </w:rPr>
        <w:t>，</w:t>
      </w:r>
      <w:r>
        <w:rPr>
          <w:rFonts w:hint="eastAsia" w:ascii="仿宋_GB2312" w:hAnsi="仿宋_GB2312" w:eastAsia="仿宋_GB2312" w:cs="仿宋_GB2312"/>
          <w:sz w:val="32"/>
          <w:szCs w:val="24"/>
          <w:highlight w:val="none"/>
          <w:lang w:val="en-US" w:eastAsia="zh-CN"/>
        </w:rPr>
        <w:t>19898561359</w:t>
      </w:r>
      <w:r>
        <w:rPr>
          <w:rFonts w:hint="eastAsia" w:ascii="仿宋_GB2312" w:hAnsi="仿宋_GB2312" w:eastAsia="仿宋_GB2312" w:cs="仿宋_GB2312"/>
          <w:sz w:val="32"/>
          <w:szCs w:val="24"/>
        </w:rPr>
        <w:t>。</w:t>
      </w:r>
    </w:p>
    <w:p w14:paraId="4506F238">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七、投标文件递交内容</w:t>
      </w:r>
    </w:p>
    <w:p w14:paraId="1AD3F13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14:paraId="431304A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14:paraId="6721BC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14:paraId="4662D94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14:paraId="615140C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14:paraId="6F3F892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（六）投标人无重大违法记录声明函（原件加盖公章，格式自拟）。</w:t>
      </w:r>
    </w:p>
    <w:p w14:paraId="3A8998B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（七）投标及履约承诺函原件（格式见附件）。</w:t>
      </w:r>
    </w:p>
    <w:p w14:paraId="2AE9803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（八）投标人认为有必要提供的其他材料。</w:t>
      </w:r>
    </w:p>
    <w:p w14:paraId="3D66A4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14:paraId="2EE3D383">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八、重要提示</w:t>
      </w:r>
    </w:p>
    <w:p w14:paraId="0D8DED8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14:paraId="4F73BE2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14:paraId="6585E9D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14:paraId="542C275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14:paraId="1145BC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14:paraId="0E59C1E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14:paraId="3D34D1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14:paraId="5497139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28202EF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14:paraId="159E60D6">
      <w:pPr>
        <w:adjustRightInd w:val="0"/>
        <w:snapToGrid w:val="0"/>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（九）法律、法规规定的其他情形。</w:t>
      </w:r>
    </w:p>
    <w:p w14:paraId="72D4A2BF">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九、评标方法</w:t>
      </w:r>
    </w:p>
    <w:p w14:paraId="5FAC29A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14:paraId="71E357E8">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43"/>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4E887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697724C9">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评审部分</w:t>
            </w:r>
          </w:p>
        </w:tc>
        <w:tc>
          <w:tcPr>
            <w:tcW w:w="1202" w:type="dxa"/>
            <w:vAlign w:val="center"/>
          </w:tcPr>
          <w:p w14:paraId="1BD65D6D">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评审因素</w:t>
            </w:r>
          </w:p>
        </w:tc>
        <w:tc>
          <w:tcPr>
            <w:tcW w:w="4678" w:type="dxa"/>
            <w:vAlign w:val="center"/>
          </w:tcPr>
          <w:p w14:paraId="6FACA957">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评分细则</w:t>
            </w:r>
          </w:p>
        </w:tc>
        <w:tc>
          <w:tcPr>
            <w:tcW w:w="850" w:type="dxa"/>
            <w:tcBorders>
              <w:right w:val="single" w:color="auto" w:sz="4" w:space="0"/>
            </w:tcBorders>
            <w:vAlign w:val="center"/>
          </w:tcPr>
          <w:p w14:paraId="7FD32B3E">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权重（%）</w:t>
            </w:r>
          </w:p>
        </w:tc>
        <w:tc>
          <w:tcPr>
            <w:tcW w:w="851" w:type="dxa"/>
            <w:tcBorders>
              <w:left w:val="single" w:color="auto" w:sz="4" w:space="0"/>
            </w:tcBorders>
            <w:vAlign w:val="center"/>
          </w:tcPr>
          <w:p w14:paraId="3772EB37">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分值（分）</w:t>
            </w:r>
          </w:p>
        </w:tc>
      </w:tr>
      <w:tr w14:paraId="7C1A4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3BF1817A">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一</w:t>
            </w:r>
          </w:p>
        </w:tc>
        <w:tc>
          <w:tcPr>
            <w:tcW w:w="7581" w:type="dxa"/>
            <w:gridSpan w:val="4"/>
            <w:vAlign w:val="center"/>
          </w:tcPr>
          <w:p w14:paraId="508ECF3A">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技术部分（合计40分）</w:t>
            </w:r>
          </w:p>
        </w:tc>
      </w:tr>
      <w:tr w14:paraId="17548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3C125A5F">
            <w:pPr>
              <w:numPr>
                <w:ilvl w:val="0"/>
                <w:numId w:val="5"/>
              </w:numPr>
              <w:jc w:val="right"/>
              <w:rPr>
                <w:rFonts w:hint="eastAsia" w:ascii="仿宋_GB2312" w:hAnsi="仿宋_GB2312" w:eastAsia="仿宋_GB2312" w:cs="仿宋_GB2312"/>
                <w:szCs w:val="22"/>
              </w:rPr>
            </w:pPr>
          </w:p>
        </w:tc>
        <w:tc>
          <w:tcPr>
            <w:tcW w:w="1202" w:type="dxa"/>
            <w:vAlign w:val="center"/>
          </w:tcPr>
          <w:p w14:paraId="00DD6137">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实施方案</w:t>
            </w:r>
          </w:p>
        </w:tc>
        <w:tc>
          <w:tcPr>
            <w:tcW w:w="4678" w:type="dxa"/>
          </w:tcPr>
          <w:p w14:paraId="62F9BFDA">
            <w:pPr>
              <w:spacing w:line="300" w:lineRule="exact"/>
              <w:ind w:left="-78" w:leftChars="-37" w:right="-73" w:rightChars="-35"/>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根据投标人提供的项目实施方案的全面性、针对性、可操作性等进行分档评审，内容包括但不限于：对项目背景、工作内容的理解、工作流程和技术路线、工作方法和工作手段的运用：</w:t>
            </w:r>
          </w:p>
          <w:p w14:paraId="1DCA400A">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1.评价为优，得100%；</w:t>
            </w:r>
          </w:p>
          <w:p w14:paraId="4200DCC9">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2.评价为良，得70%；</w:t>
            </w:r>
          </w:p>
          <w:p w14:paraId="1D4E5182">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3.评价为中，得40%；</w:t>
            </w:r>
          </w:p>
          <w:p w14:paraId="0B8FC6A1">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4.评价为差，得10%。</w:t>
            </w:r>
          </w:p>
        </w:tc>
        <w:tc>
          <w:tcPr>
            <w:tcW w:w="850" w:type="dxa"/>
            <w:tcBorders>
              <w:right w:val="single" w:color="auto" w:sz="4" w:space="0"/>
            </w:tcBorders>
            <w:vAlign w:val="center"/>
          </w:tcPr>
          <w:p w14:paraId="506C11A1">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25</w:t>
            </w:r>
          </w:p>
        </w:tc>
        <w:tc>
          <w:tcPr>
            <w:tcW w:w="851" w:type="dxa"/>
            <w:tcBorders>
              <w:left w:val="single" w:color="auto" w:sz="4" w:space="0"/>
            </w:tcBorders>
            <w:vAlign w:val="center"/>
          </w:tcPr>
          <w:p w14:paraId="1E8D80E8">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25</w:t>
            </w:r>
          </w:p>
        </w:tc>
      </w:tr>
      <w:tr w14:paraId="6745C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6C1C35B">
            <w:pPr>
              <w:numPr>
                <w:ilvl w:val="0"/>
                <w:numId w:val="5"/>
              </w:numPr>
              <w:jc w:val="right"/>
              <w:rPr>
                <w:rFonts w:hint="eastAsia" w:ascii="仿宋_GB2312" w:hAnsi="仿宋_GB2312" w:eastAsia="仿宋_GB2312" w:cs="仿宋_GB2312"/>
                <w:szCs w:val="22"/>
              </w:rPr>
            </w:pPr>
          </w:p>
        </w:tc>
        <w:tc>
          <w:tcPr>
            <w:tcW w:w="1202" w:type="dxa"/>
            <w:vAlign w:val="center"/>
          </w:tcPr>
          <w:p w14:paraId="784A6EBF">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质量保障措施及方案</w:t>
            </w:r>
          </w:p>
        </w:tc>
        <w:tc>
          <w:tcPr>
            <w:tcW w:w="4678" w:type="dxa"/>
          </w:tcPr>
          <w:p w14:paraId="2F52B1D9">
            <w:pPr>
              <w:spacing w:line="300" w:lineRule="exact"/>
              <w:ind w:left="-78" w:leftChars="-37" w:right="-73" w:rightChars="-35"/>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根据投标人对项目进度计划和人员安排、项目安全保密机制、项目顺利实施的保障措施、项目整体质量控制是否合理、可行等进行分档评审：</w:t>
            </w:r>
          </w:p>
          <w:p w14:paraId="690F6DB4">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1.评价为优，得100%；</w:t>
            </w:r>
          </w:p>
          <w:p w14:paraId="19D75510">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2.评价为良，得70%；</w:t>
            </w:r>
          </w:p>
          <w:p w14:paraId="1918E6DB">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3.评价为中，得40%；</w:t>
            </w:r>
          </w:p>
          <w:p w14:paraId="763DBC54">
            <w:pPr>
              <w:spacing w:line="300" w:lineRule="exact"/>
              <w:ind w:left="-78" w:leftChars="-37" w:right="-73" w:rightChars="-35"/>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4.评价为差，得10%。</w:t>
            </w:r>
          </w:p>
        </w:tc>
        <w:tc>
          <w:tcPr>
            <w:tcW w:w="850" w:type="dxa"/>
            <w:tcBorders>
              <w:right w:val="single" w:color="auto" w:sz="4" w:space="0"/>
            </w:tcBorders>
            <w:vAlign w:val="center"/>
          </w:tcPr>
          <w:p w14:paraId="22C6507A">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c>
          <w:tcPr>
            <w:tcW w:w="851" w:type="dxa"/>
            <w:tcBorders>
              <w:left w:val="single" w:color="auto" w:sz="4" w:space="0"/>
            </w:tcBorders>
            <w:vAlign w:val="center"/>
          </w:tcPr>
          <w:p w14:paraId="3534943D">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r>
      <w:tr w14:paraId="779C3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4332017B">
            <w:pPr>
              <w:numPr>
                <w:ilvl w:val="0"/>
                <w:numId w:val="5"/>
              </w:numPr>
              <w:jc w:val="right"/>
              <w:rPr>
                <w:rFonts w:hint="eastAsia" w:ascii="仿宋_GB2312" w:hAnsi="仿宋_GB2312" w:eastAsia="仿宋_GB2312" w:cs="仿宋_GB2312"/>
                <w:szCs w:val="22"/>
              </w:rPr>
            </w:pPr>
          </w:p>
        </w:tc>
        <w:tc>
          <w:tcPr>
            <w:tcW w:w="1202" w:type="dxa"/>
            <w:vAlign w:val="center"/>
          </w:tcPr>
          <w:p w14:paraId="36E47625">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违约承诺</w:t>
            </w:r>
          </w:p>
        </w:tc>
        <w:tc>
          <w:tcPr>
            <w:tcW w:w="4678" w:type="dxa"/>
          </w:tcPr>
          <w:p w14:paraId="19EBD1E3">
            <w:pPr>
              <w:spacing w:line="300" w:lineRule="exac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提供违约承诺，承诺满足招标文件要求，保证措施合理且有针对性，有具体的违约责任承诺。</w:t>
            </w:r>
          </w:p>
          <w:p w14:paraId="6F0AE13B">
            <w:pPr>
              <w:spacing w:line="300" w:lineRule="exac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投标人提供违约承诺的100%。要求提供承诺（格式自定）作为得分依据，未提供承诺或承诺内容不满足要求不得分。</w:t>
            </w:r>
          </w:p>
        </w:tc>
        <w:tc>
          <w:tcPr>
            <w:tcW w:w="850" w:type="dxa"/>
            <w:tcBorders>
              <w:right w:val="single" w:color="auto" w:sz="4" w:space="0"/>
            </w:tcBorders>
            <w:vAlign w:val="center"/>
          </w:tcPr>
          <w:p w14:paraId="072DA6AA">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5</w:t>
            </w:r>
          </w:p>
        </w:tc>
        <w:tc>
          <w:tcPr>
            <w:tcW w:w="851" w:type="dxa"/>
            <w:tcBorders>
              <w:left w:val="single" w:color="auto" w:sz="4" w:space="0"/>
            </w:tcBorders>
            <w:vAlign w:val="center"/>
          </w:tcPr>
          <w:p w14:paraId="42ACA36E">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5</w:t>
            </w:r>
          </w:p>
        </w:tc>
      </w:tr>
      <w:tr w14:paraId="0755B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5EF7FB9F">
            <w:pPr>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二</w:t>
            </w:r>
          </w:p>
        </w:tc>
        <w:tc>
          <w:tcPr>
            <w:tcW w:w="7581" w:type="dxa"/>
            <w:gridSpan w:val="4"/>
            <w:vAlign w:val="center"/>
          </w:tcPr>
          <w:p w14:paraId="25A628A3">
            <w:pPr>
              <w:spacing w:line="300" w:lineRule="exact"/>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商务部分（合计50分）</w:t>
            </w:r>
          </w:p>
        </w:tc>
      </w:tr>
      <w:tr w14:paraId="79550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76F58966">
            <w:pPr>
              <w:numPr>
                <w:ilvl w:val="0"/>
                <w:numId w:val="6"/>
              </w:numPr>
              <w:jc w:val="center"/>
              <w:rPr>
                <w:rFonts w:hint="eastAsia" w:ascii="仿宋_GB2312" w:hAnsi="仿宋_GB2312" w:eastAsia="仿宋_GB2312" w:cs="仿宋_GB2312"/>
                <w:szCs w:val="22"/>
              </w:rPr>
            </w:pPr>
          </w:p>
        </w:tc>
        <w:tc>
          <w:tcPr>
            <w:tcW w:w="1202" w:type="dxa"/>
            <w:vAlign w:val="center"/>
          </w:tcPr>
          <w:p w14:paraId="2E23107D">
            <w:pPr>
              <w:spacing w:line="300" w:lineRule="exact"/>
              <w:jc w:val="center"/>
              <w:rPr>
                <w:rFonts w:hint="eastAsia" w:ascii="仿宋_GB2312" w:hAnsi="仿宋_GB2312" w:eastAsia="仿宋_GB2312" w:cs="仿宋_GB2312"/>
                <w:b/>
                <w:bCs/>
                <w:szCs w:val="28"/>
              </w:rPr>
            </w:pPr>
            <w:r>
              <w:rPr>
                <w:rFonts w:hint="eastAsia" w:ascii="仿宋_GB2312" w:hAnsi="仿宋_GB2312" w:eastAsia="仿宋_GB2312" w:cs="仿宋_GB2312"/>
                <w:szCs w:val="22"/>
                <w:highlight w:val="none"/>
              </w:rPr>
              <w:t>投标人经验</w:t>
            </w:r>
          </w:p>
        </w:tc>
        <w:tc>
          <w:tcPr>
            <w:tcW w:w="4678" w:type="dxa"/>
            <w:vAlign w:val="center"/>
          </w:tcPr>
          <w:p w14:paraId="42197ADD">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1.评分内容：</w:t>
            </w:r>
          </w:p>
          <w:p w14:paraId="77F5441E">
            <w:pPr>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自2022年1月1日至本项目投标截止日，承担过</w:t>
            </w:r>
            <w:r>
              <w:rPr>
                <w:rFonts w:hint="eastAsia" w:ascii="仿宋_GB2312" w:hAnsi="仿宋_GB2312" w:eastAsia="仿宋_GB2312" w:cs="仿宋_GB2312"/>
                <w:kern w:val="0"/>
                <w:szCs w:val="22"/>
                <w:highlight w:val="none"/>
                <w:lang w:eastAsia="zh-CN"/>
              </w:rPr>
              <w:t>市级及以上</w:t>
            </w:r>
            <w:r>
              <w:rPr>
                <w:rFonts w:hint="eastAsia" w:ascii="仿宋_GB2312" w:hAnsi="仿宋_GB2312" w:eastAsia="仿宋_GB2312" w:cs="仿宋_GB2312"/>
                <w:kern w:val="0"/>
                <w:szCs w:val="22"/>
                <w:highlight w:val="none"/>
              </w:rPr>
              <w:t>政府部门或政府直属单位</w:t>
            </w:r>
            <w:r>
              <w:rPr>
                <w:rFonts w:hint="eastAsia" w:ascii="仿宋_GB2312" w:hAnsi="仿宋_GB2312" w:eastAsia="仿宋_GB2312" w:cs="仿宋_GB2312"/>
                <w:kern w:val="0"/>
                <w:szCs w:val="22"/>
              </w:rPr>
              <w:t>委托的产业规划、策划、规划纲要、课题、方案等相关研究项目，</w:t>
            </w:r>
            <w:r>
              <w:rPr>
                <w:rFonts w:hint="eastAsia" w:ascii="仿宋_GB2312" w:hAnsi="仿宋_GB2312" w:eastAsia="仿宋_GB2312" w:cs="仿宋_GB2312"/>
                <w:kern w:val="0"/>
                <w:szCs w:val="22"/>
                <w:highlight w:val="none"/>
              </w:rPr>
              <w:t>每项得</w:t>
            </w:r>
            <w:r>
              <w:rPr>
                <w:rFonts w:hint="eastAsia" w:ascii="仿宋_GB2312" w:hAnsi="仿宋_GB2312" w:eastAsia="仿宋_GB2312" w:cs="仿宋_GB2312"/>
                <w:kern w:val="0"/>
                <w:szCs w:val="22"/>
                <w:highlight w:val="none"/>
                <w:lang w:val="en-US" w:eastAsia="zh-CN"/>
              </w:rPr>
              <w:t>3</w:t>
            </w:r>
            <w:r>
              <w:rPr>
                <w:rFonts w:hint="eastAsia" w:ascii="仿宋_GB2312" w:hAnsi="仿宋_GB2312" w:eastAsia="仿宋_GB2312" w:cs="仿宋_GB2312"/>
                <w:kern w:val="0"/>
                <w:szCs w:val="22"/>
                <w:highlight w:val="none"/>
              </w:rPr>
              <w:t>分，最高得分15分</w:t>
            </w:r>
            <w:r>
              <w:rPr>
                <w:rFonts w:hint="eastAsia" w:ascii="仿宋_GB2312" w:hAnsi="仿宋_GB2312" w:eastAsia="仿宋_GB2312" w:cs="仿宋_GB2312"/>
                <w:kern w:val="0"/>
                <w:szCs w:val="22"/>
              </w:rPr>
              <w:t>。</w:t>
            </w:r>
          </w:p>
          <w:p w14:paraId="246AC999">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2.评分依据：</w:t>
            </w:r>
          </w:p>
          <w:p w14:paraId="6CA597C4">
            <w:pPr>
              <w:spacing w:line="300" w:lineRule="exact"/>
              <w:ind w:left="-63" w:leftChars="-30" w:right="-88" w:rightChars="-42"/>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（1）要求提供合同关键页或其他证明文件。</w:t>
            </w:r>
          </w:p>
          <w:p w14:paraId="2ADA3A9B">
            <w:pPr>
              <w:spacing w:line="300" w:lineRule="exact"/>
              <w:ind w:left="-63" w:leftChars="-30" w:right="-88" w:rightChars="-42"/>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（2）以上资料均要求提合同供扫描件（或官方网站截图）。评分中出现无证明资料或专家无法凭所提供资料判断是否得分的情况，一律作不得分处理。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7C4156DC">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15</w:t>
            </w:r>
          </w:p>
        </w:tc>
        <w:tc>
          <w:tcPr>
            <w:tcW w:w="851" w:type="dxa"/>
            <w:tcBorders>
              <w:left w:val="single" w:color="auto" w:sz="4" w:space="0"/>
            </w:tcBorders>
            <w:vAlign w:val="center"/>
          </w:tcPr>
          <w:p w14:paraId="6F7C1BFD">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15</w:t>
            </w:r>
          </w:p>
        </w:tc>
      </w:tr>
      <w:tr w14:paraId="7E0EB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6C2C87D">
            <w:pPr>
              <w:numPr>
                <w:ilvl w:val="0"/>
                <w:numId w:val="6"/>
              </w:numPr>
              <w:jc w:val="center"/>
              <w:rPr>
                <w:rFonts w:hint="eastAsia" w:ascii="仿宋_GB2312" w:hAnsi="仿宋_GB2312" w:eastAsia="仿宋_GB2312" w:cs="仿宋_GB2312"/>
                <w:szCs w:val="22"/>
              </w:rPr>
            </w:pPr>
          </w:p>
        </w:tc>
        <w:tc>
          <w:tcPr>
            <w:tcW w:w="1202" w:type="dxa"/>
            <w:vAlign w:val="center"/>
          </w:tcPr>
          <w:p w14:paraId="2BAA925E">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投标人获奖情况</w:t>
            </w:r>
          </w:p>
        </w:tc>
        <w:tc>
          <w:tcPr>
            <w:tcW w:w="4678" w:type="dxa"/>
          </w:tcPr>
          <w:p w14:paraId="1FD33E49">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1.评分内容：</w:t>
            </w:r>
          </w:p>
          <w:p w14:paraId="5535613B">
            <w:pPr>
              <w:spacing w:line="300" w:lineRule="exact"/>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自2022年1月1日至本项目投标截止日,投标人获得</w:t>
            </w:r>
            <w:r>
              <w:rPr>
                <w:rFonts w:hint="eastAsia" w:ascii="仿宋_GB2312" w:hAnsi="仿宋_GB2312" w:eastAsia="仿宋_GB2312" w:cs="仿宋_GB2312"/>
                <w:kern w:val="0"/>
                <w:szCs w:val="22"/>
                <w:highlight w:val="none"/>
              </w:rPr>
              <w:t>市级及以上政府部门或行业协会颁布</w:t>
            </w:r>
            <w:r>
              <w:rPr>
                <w:rFonts w:hint="eastAsia" w:ascii="仿宋_GB2312" w:hAnsi="仿宋_GB2312" w:eastAsia="仿宋_GB2312" w:cs="仿宋_GB2312"/>
                <w:kern w:val="0"/>
                <w:szCs w:val="22"/>
              </w:rPr>
              <w:t>的相关奖项，每提供1个5分，最高得分不超过10分。</w:t>
            </w:r>
          </w:p>
          <w:p w14:paraId="54C016BA">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2.评分依据：</w:t>
            </w:r>
          </w:p>
          <w:p w14:paraId="0B3A6FD5">
            <w:pPr>
              <w:spacing w:line="300" w:lineRule="exact"/>
              <w:ind w:left="-63" w:leftChars="-30" w:right="-88" w:rightChars="-42"/>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（1）要求提供相关证明文件。</w:t>
            </w:r>
          </w:p>
          <w:p w14:paraId="55811F72">
            <w:pPr>
              <w:spacing w:line="300" w:lineRule="exact"/>
              <w:ind w:left="-63" w:leftChars="-30" w:right="-88" w:rightChars="-42"/>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016D9881">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c>
          <w:tcPr>
            <w:tcW w:w="851" w:type="dxa"/>
            <w:tcBorders>
              <w:left w:val="single" w:color="auto" w:sz="4" w:space="0"/>
            </w:tcBorders>
            <w:vAlign w:val="center"/>
          </w:tcPr>
          <w:p w14:paraId="02157773">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r>
      <w:tr w14:paraId="10D8E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14:paraId="6D27BF26">
            <w:pPr>
              <w:numPr>
                <w:ilvl w:val="0"/>
                <w:numId w:val="6"/>
              </w:numPr>
              <w:jc w:val="center"/>
              <w:rPr>
                <w:rFonts w:hint="eastAsia" w:ascii="仿宋_GB2312" w:hAnsi="仿宋_GB2312" w:eastAsia="仿宋_GB2312" w:cs="仿宋_GB2312"/>
                <w:szCs w:val="22"/>
              </w:rPr>
            </w:pPr>
          </w:p>
        </w:tc>
        <w:tc>
          <w:tcPr>
            <w:tcW w:w="1202" w:type="dxa"/>
            <w:vAlign w:val="center"/>
          </w:tcPr>
          <w:p w14:paraId="275DCB14">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拟安排的项目负责人情况（仅限一人）</w:t>
            </w:r>
          </w:p>
        </w:tc>
        <w:tc>
          <w:tcPr>
            <w:tcW w:w="4678" w:type="dxa"/>
          </w:tcPr>
          <w:p w14:paraId="52A63961">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1.评分内容：</w:t>
            </w:r>
          </w:p>
          <w:p w14:paraId="47A28389">
            <w:pPr>
              <w:spacing w:line="300" w:lineRule="exact"/>
              <w:ind w:left="-63" w:leftChars="-30" w:right="-88" w:rightChars="-42"/>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（1）拟安排项目负责人拥有硕士或以上学位，得5分，否则不得分。</w:t>
            </w:r>
          </w:p>
          <w:p w14:paraId="0625AF5B">
            <w:pPr>
              <w:spacing w:line="300" w:lineRule="exact"/>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（2）自2022年1月1日至本项目投标截止日，拟安排项目负责人主持过深圳市级政府或</w:t>
            </w:r>
            <w:r>
              <w:rPr>
                <w:rFonts w:hint="eastAsia" w:ascii="仿宋_GB2312" w:hAnsi="仿宋_GB2312" w:eastAsia="仿宋_GB2312" w:cs="仿宋_GB2312"/>
                <w:color w:val="auto"/>
                <w:kern w:val="0"/>
                <w:szCs w:val="22"/>
                <w:highlight w:val="none"/>
              </w:rPr>
              <w:t>市级直属单位</w:t>
            </w:r>
            <w:r>
              <w:rPr>
                <w:rFonts w:hint="eastAsia" w:ascii="仿宋_GB2312" w:hAnsi="仿宋_GB2312" w:eastAsia="仿宋_GB2312" w:cs="仿宋_GB2312"/>
                <w:kern w:val="0"/>
                <w:szCs w:val="22"/>
              </w:rPr>
              <w:t>相关课题的，得5分，否则不得分。</w:t>
            </w:r>
          </w:p>
          <w:p w14:paraId="21AAAD48">
            <w:pPr>
              <w:spacing w:line="300" w:lineRule="exact"/>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（3）自2022年1月1日至本项目投标截止日,拟安排项目负责人承担的研究项目获得</w:t>
            </w:r>
            <w:r>
              <w:rPr>
                <w:rFonts w:hint="eastAsia" w:ascii="仿宋_GB2312" w:hAnsi="仿宋_GB2312" w:eastAsia="仿宋_GB2312" w:cs="仿宋_GB2312"/>
                <w:kern w:val="0"/>
                <w:szCs w:val="22"/>
                <w:highlight w:val="none"/>
              </w:rPr>
              <w:t>市级及以上政府部门或行业协会颁</w:t>
            </w:r>
            <w:r>
              <w:rPr>
                <w:rFonts w:hint="eastAsia" w:ascii="仿宋_GB2312" w:hAnsi="仿宋_GB2312" w:eastAsia="仿宋_GB2312" w:cs="仿宋_GB2312"/>
                <w:kern w:val="0"/>
                <w:szCs w:val="22"/>
              </w:rPr>
              <w:t>布的相关奖项的，得5分，否则不得分。</w:t>
            </w:r>
          </w:p>
          <w:p w14:paraId="4C6B8C11">
            <w:pPr>
              <w:spacing w:line="300" w:lineRule="exact"/>
              <w:jc w:val="left"/>
              <w:rPr>
                <w:rFonts w:hint="eastAsia" w:ascii="仿宋_GB2312" w:hAnsi="仿宋_GB2312" w:eastAsia="仿宋_GB2312" w:cs="仿宋_GB2312"/>
                <w:b/>
                <w:kern w:val="0"/>
                <w:szCs w:val="22"/>
              </w:rPr>
            </w:pPr>
            <w:r>
              <w:rPr>
                <w:rFonts w:hint="eastAsia" w:ascii="仿宋_GB2312" w:hAnsi="仿宋_GB2312" w:eastAsia="仿宋_GB2312" w:cs="仿宋_GB2312"/>
                <w:b/>
                <w:kern w:val="0"/>
                <w:szCs w:val="22"/>
              </w:rPr>
              <w:t>2.评分依据：</w:t>
            </w:r>
          </w:p>
          <w:p w14:paraId="10708EDB">
            <w:pPr>
              <w:spacing w:line="300" w:lineRule="exact"/>
              <w:ind w:left="-63" w:leftChars="-30" w:right="-88" w:rightChars="-42"/>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（1）要求提供通过投标人购买的项目负责人近三个月社保，学位或职称文件，业绩合同关键页或其他证明文件。</w:t>
            </w:r>
          </w:p>
          <w:p w14:paraId="73D43FAA">
            <w:pPr>
              <w:spacing w:line="300" w:lineRule="exact"/>
              <w:ind w:left="-63" w:leftChars="-30" w:right="-88" w:rightChars="-42"/>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3B6F6FB">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15</w:t>
            </w:r>
          </w:p>
        </w:tc>
        <w:tc>
          <w:tcPr>
            <w:tcW w:w="851" w:type="dxa"/>
            <w:tcBorders>
              <w:left w:val="single" w:color="auto" w:sz="4" w:space="0"/>
            </w:tcBorders>
            <w:vAlign w:val="center"/>
          </w:tcPr>
          <w:p w14:paraId="493E30FD">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15</w:t>
            </w:r>
          </w:p>
        </w:tc>
      </w:tr>
      <w:tr w14:paraId="07156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80" w:type="dxa"/>
            <w:tcBorders>
              <w:top w:val="single" w:color="auto" w:sz="4" w:space="0"/>
              <w:bottom w:val="single" w:color="auto" w:sz="4" w:space="0"/>
            </w:tcBorders>
            <w:vAlign w:val="center"/>
          </w:tcPr>
          <w:p w14:paraId="64473572">
            <w:pPr>
              <w:numPr>
                <w:ilvl w:val="0"/>
                <w:numId w:val="6"/>
              </w:numPr>
              <w:jc w:val="center"/>
              <w:rPr>
                <w:rFonts w:hint="eastAsia" w:ascii="仿宋_GB2312" w:hAnsi="仿宋_GB2312" w:eastAsia="仿宋_GB2312" w:cs="仿宋_GB2312"/>
                <w:szCs w:val="22"/>
              </w:rPr>
            </w:pPr>
          </w:p>
        </w:tc>
        <w:tc>
          <w:tcPr>
            <w:tcW w:w="1202" w:type="dxa"/>
            <w:vAlign w:val="center"/>
          </w:tcPr>
          <w:p w14:paraId="0E8E7C64">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拟安排的项目主要团队成员（主要技术人员）情况（项目负责人除外）</w:t>
            </w:r>
          </w:p>
        </w:tc>
        <w:tc>
          <w:tcPr>
            <w:tcW w:w="4678" w:type="dxa"/>
          </w:tcPr>
          <w:p w14:paraId="50451CEE">
            <w:pPr>
              <w:spacing w:line="300" w:lineRule="exact"/>
              <w:jc w:val="left"/>
              <w:rPr>
                <w:rFonts w:hint="eastAsia" w:ascii="仿宋_GB2312" w:hAnsi="仿宋_GB2312" w:eastAsia="仿宋_GB2312" w:cs="仿宋_GB2312"/>
                <w:b/>
                <w:color w:val="auto"/>
                <w:kern w:val="0"/>
                <w:szCs w:val="22"/>
                <w:highlight w:val="none"/>
              </w:rPr>
            </w:pPr>
            <w:r>
              <w:rPr>
                <w:rFonts w:hint="eastAsia" w:ascii="仿宋_GB2312" w:hAnsi="仿宋_GB2312" w:eastAsia="仿宋_GB2312" w:cs="仿宋_GB2312"/>
                <w:b/>
                <w:color w:val="auto"/>
                <w:kern w:val="0"/>
                <w:szCs w:val="22"/>
                <w:highlight w:val="none"/>
              </w:rPr>
              <w:t>1.评分内容：</w:t>
            </w:r>
          </w:p>
          <w:p w14:paraId="2D5A76D9">
            <w:pPr>
              <w:spacing w:line="300" w:lineRule="exact"/>
              <w:ind w:left="-63" w:leftChars="-30" w:right="-88" w:rightChars="-42"/>
              <w:jc w:val="left"/>
              <w:rPr>
                <w:rFonts w:hint="eastAsia" w:ascii="仿宋_GB2312" w:hAnsi="仿宋_GB2312" w:eastAsia="仿宋_GB2312" w:cs="仿宋_GB2312"/>
                <w:color w:val="auto"/>
                <w:kern w:val="0"/>
                <w:szCs w:val="22"/>
                <w:highlight w:val="none"/>
              </w:rPr>
            </w:pPr>
            <w:r>
              <w:rPr>
                <w:rFonts w:hint="eastAsia" w:ascii="仿宋_GB2312" w:hAnsi="仿宋_GB2312" w:eastAsia="仿宋_GB2312" w:cs="仿宋_GB2312"/>
                <w:color w:val="auto"/>
                <w:kern w:val="0"/>
                <w:szCs w:val="22"/>
                <w:highlight w:val="none"/>
              </w:rPr>
              <w:t>项目团队中每提供1位有中、高级职称或博士学位人员得50%，每提供1位有硕士学位人员得25%，最高得分不超过100%。</w:t>
            </w:r>
          </w:p>
          <w:p w14:paraId="5D3FA5BB">
            <w:pPr>
              <w:spacing w:line="300" w:lineRule="exact"/>
              <w:jc w:val="left"/>
              <w:rPr>
                <w:rFonts w:hint="eastAsia" w:ascii="仿宋_GB2312" w:hAnsi="仿宋_GB2312" w:eastAsia="仿宋_GB2312" w:cs="仿宋_GB2312"/>
                <w:b/>
                <w:color w:val="auto"/>
                <w:kern w:val="0"/>
                <w:szCs w:val="22"/>
                <w:highlight w:val="none"/>
              </w:rPr>
            </w:pPr>
            <w:r>
              <w:rPr>
                <w:rFonts w:hint="eastAsia" w:ascii="仿宋_GB2312" w:hAnsi="仿宋_GB2312" w:eastAsia="仿宋_GB2312" w:cs="仿宋_GB2312"/>
                <w:b/>
                <w:color w:val="auto"/>
                <w:kern w:val="0"/>
                <w:szCs w:val="22"/>
                <w:highlight w:val="none"/>
              </w:rPr>
              <w:t>2.评分依据：</w:t>
            </w:r>
          </w:p>
          <w:p w14:paraId="50D7D7F5">
            <w:pPr>
              <w:spacing w:line="300" w:lineRule="exact"/>
              <w:ind w:left="-63" w:leftChars="-30" w:right="-88" w:rightChars="-42"/>
              <w:jc w:val="left"/>
              <w:rPr>
                <w:rFonts w:hint="eastAsia" w:ascii="仿宋_GB2312" w:hAnsi="仿宋_GB2312" w:eastAsia="仿宋_GB2312" w:cs="仿宋_GB2312"/>
                <w:color w:val="auto"/>
                <w:kern w:val="0"/>
                <w:szCs w:val="22"/>
                <w:highlight w:val="none"/>
              </w:rPr>
            </w:pPr>
            <w:r>
              <w:rPr>
                <w:rFonts w:hint="eastAsia" w:ascii="仿宋_GB2312" w:hAnsi="仿宋_GB2312" w:eastAsia="仿宋_GB2312" w:cs="仿宋_GB2312"/>
                <w:color w:val="auto"/>
                <w:kern w:val="0"/>
                <w:szCs w:val="22"/>
                <w:highlight w:val="none"/>
              </w:rPr>
              <w:t>（1）要求提供通过投标人购买的团队成员近三个月社保，学位或职称文件等。</w:t>
            </w:r>
          </w:p>
          <w:p w14:paraId="590112DA">
            <w:pPr>
              <w:spacing w:line="300" w:lineRule="exact"/>
              <w:jc w:val="left"/>
              <w:rPr>
                <w:rFonts w:hint="eastAsia" w:ascii="仿宋_GB2312" w:hAnsi="仿宋_GB2312" w:eastAsia="仿宋_GB2312" w:cs="仿宋_GB2312"/>
                <w:b/>
                <w:kern w:val="0"/>
                <w:szCs w:val="22"/>
                <w:highlight w:val="none"/>
              </w:rPr>
            </w:pPr>
            <w:r>
              <w:rPr>
                <w:rFonts w:hint="eastAsia" w:ascii="仿宋_GB2312" w:hAnsi="仿宋_GB2312" w:eastAsia="仿宋_GB2312" w:cs="仿宋_GB2312"/>
                <w:color w:val="auto"/>
                <w:kern w:val="0"/>
                <w:szCs w:val="22"/>
                <w:highlight w:val="none"/>
              </w:rPr>
              <w:t>（2）以上资料均要求提供扫描件（或官方网</w:t>
            </w:r>
            <w:r>
              <w:rPr>
                <w:rFonts w:hint="eastAsia" w:ascii="仿宋_GB2312" w:hAnsi="仿宋_GB2312" w:eastAsia="仿宋_GB2312" w:cs="仿宋_GB2312"/>
                <w:kern w:val="0"/>
                <w:szCs w:val="22"/>
                <w:highlight w:val="none"/>
              </w:rPr>
              <w:t>站截图），原件备查。评分中出现无证明资料或专家无法凭所提供资料判断是否得分的情况，一律作不得分处理。</w:t>
            </w:r>
          </w:p>
        </w:tc>
        <w:tc>
          <w:tcPr>
            <w:tcW w:w="850" w:type="dxa"/>
            <w:tcBorders>
              <w:right w:val="single" w:color="auto" w:sz="4" w:space="0"/>
            </w:tcBorders>
            <w:vAlign w:val="center"/>
          </w:tcPr>
          <w:p w14:paraId="3D2EE504">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c>
          <w:tcPr>
            <w:tcW w:w="851" w:type="dxa"/>
            <w:tcBorders>
              <w:left w:val="single" w:color="auto" w:sz="4" w:space="0"/>
            </w:tcBorders>
            <w:vAlign w:val="center"/>
          </w:tcPr>
          <w:p w14:paraId="4F80A9AF">
            <w:pPr>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r>
      <w:tr w14:paraId="2DCD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14D6F961">
            <w:pPr>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三</w:t>
            </w:r>
          </w:p>
        </w:tc>
        <w:tc>
          <w:tcPr>
            <w:tcW w:w="7581" w:type="dxa"/>
            <w:gridSpan w:val="4"/>
            <w:vAlign w:val="center"/>
          </w:tcPr>
          <w:p w14:paraId="58F97593">
            <w:pPr>
              <w:spacing w:line="300" w:lineRule="exact"/>
              <w:ind w:left="-78" w:leftChars="-37" w:right="-73" w:rightChars="-35"/>
              <w:jc w:val="center"/>
              <w:rPr>
                <w:rFonts w:hint="eastAsia" w:ascii="仿宋_GB2312" w:hAnsi="仿宋_GB2312" w:eastAsia="仿宋_GB2312" w:cs="仿宋_GB2312"/>
                <w:b/>
                <w:szCs w:val="22"/>
              </w:rPr>
            </w:pPr>
            <w:r>
              <w:rPr>
                <w:rFonts w:hint="eastAsia" w:ascii="仿宋_GB2312" w:hAnsi="仿宋_GB2312" w:eastAsia="仿宋_GB2312" w:cs="仿宋_GB2312"/>
                <w:b/>
                <w:szCs w:val="22"/>
              </w:rPr>
              <w:t>价格部分（合计10分）</w:t>
            </w:r>
          </w:p>
        </w:tc>
      </w:tr>
      <w:tr w14:paraId="5E01E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5B439D5C">
            <w:pPr>
              <w:numPr>
                <w:ilvl w:val="0"/>
                <w:numId w:val="7"/>
              </w:numPr>
              <w:jc w:val="center"/>
              <w:rPr>
                <w:rFonts w:hint="eastAsia" w:ascii="仿宋_GB2312" w:hAnsi="仿宋_GB2312" w:eastAsia="仿宋_GB2312" w:cs="仿宋_GB2312"/>
                <w:szCs w:val="22"/>
              </w:rPr>
            </w:pPr>
          </w:p>
        </w:tc>
        <w:tc>
          <w:tcPr>
            <w:tcW w:w="1202" w:type="dxa"/>
            <w:vAlign w:val="center"/>
          </w:tcPr>
          <w:p w14:paraId="4F3AC5F9">
            <w:pPr>
              <w:spacing w:line="300" w:lineRule="exact"/>
              <w:jc w:val="center"/>
              <w:rPr>
                <w:rFonts w:hint="eastAsia" w:ascii="仿宋_GB2312" w:hAnsi="仿宋_GB2312" w:eastAsia="仿宋_GB2312" w:cs="仿宋_GB2312"/>
                <w:szCs w:val="22"/>
              </w:rPr>
            </w:pPr>
            <w:r>
              <w:rPr>
                <w:rFonts w:hint="eastAsia" w:ascii="仿宋_GB2312" w:hAnsi="仿宋_GB2312" w:eastAsia="仿宋_GB2312" w:cs="仿宋_GB2312"/>
                <w:szCs w:val="22"/>
              </w:rPr>
              <w:t>投标报价</w:t>
            </w:r>
          </w:p>
        </w:tc>
        <w:tc>
          <w:tcPr>
            <w:tcW w:w="4678" w:type="dxa"/>
            <w:vAlign w:val="center"/>
          </w:tcPr>
          <w:p w14:paraId="273C58BF">
            <w:pPr>
              <w:autoSpaceDE w:val="0"/>
              <w:autoSpaceDN w:val="0"/>
              <w:adjustRightInd w:val="0"/>
              <w:snapToGrid w:val="0"/>
              <w:spacing w:line="300" w:lineRule="exac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价格分应当采用低价优先法计算，即满足招标文件要求且投标价格最低的投标报价为评标基准价，其价格分为满分。其他投标人的价格分统一按照下列公式计算：</w:t>
            </w:r>
          </w:p>
          <w:p w14:paraId="7272B89D">
            <w:pPr>
              <w:spacing w:line="300" w:lineRule="exact"/>
              <w:jc w:val="left"/>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投标报价得分=(评标基准价／投标报价)×100×权重</w:t>
            </w:r>
          </w:p>
          <w:p w14:paraId="20D6896C">
            <w:pPr>
              <w:spacing w:line="300" w:lineRule="exact"/>
              <w:jc w:val="left"/>
              <w:rPr>
                <w:rFonts w:hint="eastAsia" w:ascii="仿宋_GB2312" w:hAnsi="仿宋_GB2312" w:eastAsia="仿宋_GB2312" w:cs="仿宋_GB2312"/>
                <w:bCs/>
                <w:szCs w:val="22"/>
              </w:rPr>
            </w:pPr>
            <w:r>
              <w:rPr>
                <w:rFonts w:hint="eastAsia" w:ascii="仿宋_GB2312" w:hAnsi="仿宋_GB2312" w:eastAsia="仿宋_GB2312" w:cs="仿宋_GB2312"/>
                <w:bCs/>
                <w:szCs w:val="22"/>
              </w:rPr>
              <w:t>备注：</w:t>
            </w:r>
          </w:p>
          <w:p w14:paraId="03630F25">
            <w:pPr>
              <w:spacing w:line="300" w:lineRule="exact"/>
              <w:jc w:val="left"/>
              <w:rPr>
                <w:rFonts w:hint="eastAsia" w:ascii="仿宋_GB2312" w:hAnsi="仿宋_GB2312" w:eastAsia="仿宋_GB2312" w:cs="仿宋_GB2312"/>
                <w:szCs w:val="22"/>
              </w:rPr>
            </w:pPr>
            <w:r>
              <w:rPr>
                <w:rFonts w:hint="eastAsia" w:ascii="仿宋_GB2312" w:hAnsi="仿宋_GB2312" w:eastAsia="仿宋_GB2312" w:cs="仿宋_GB2312"/>
                <w:bCs/>
                <w:szCs w:val="22"/>
              </w:rPr>
              <w:t>1.因落实政府采购政策进行价格调整的，以调整后的价格计算评标基准价和投标报价，</w:t>
            </w:r>
            <w:r>
              <w:rPr>
                <w:rFonts w:hint="eastAsia" w:ascii="仿宋_GB2312" w:hAnsi="仿宋_GB2312" w:eastAsia="仿宋_GB2312" w:cs="仿宋_GB2312"/>
                <w:szCs w:val="22"/>
              </w:rPr>
              <w:t>详见“价格扣除”。</w:t>
            </w:r>
          </w:p>
          <w:p w14:paraId="07FE761A">
            <w:pPr>
              <w:spacing w:line="300" w:lineRule="exact"/>
              <w:rPr>
                <w:rFonts w:hint="eastAsia" w:ascii="仿宋_GB2312" w:hAnsi="仿宋_GB2312" w:eastAsia="仿宋_GB2312" w:cs="仿宋_GB2312"/>
                <w:b/>
                <w:bCs/>
                <w:szCs w:val="22"/>
                <w:u w:val="double"/>
              </w:rPr>
            </w:pPr>
            <w:r>
              <w:rPr>
                <w:rFonts w:hint="eastAsia" w:ascii="仿宋_GB2312" w:hAnsi="仿宋_GB2312" w:eastAsia="仿宋_GB2312" w:cs="仿宋_GB2312"/>
                <w:bCs/>
                <w:szCs w:val="22"/>
              </w:rPr>
              <w:t>2.投标报价得分四舍五入后，</w:t>
            </w:r>
            <w:r>
              <w:rPr>
                <w:rFonts w:hint="eastAsia" w:ascii="仿宋_GB2312" w:hAnsi="仿宋_GB2312" w:eastAsia="仿宋_GB2312" w:cs="仿宋_GB2312"/>
                <w:szCs w:val="22"/>
              </w:rPr>
              <w:t>小数点后保留两位有效数</w:t>
            </w:r>
            <w:r>
              <w:rPr>
                <w:rFonts w:hint="eastAsia" w:ascii="仿宋_GB2312" w:hAnsi="仿宋_GB2312" w:eastAsia="仿宋_GB2312" w:cs="仿宋_GB2312"/>
                <w:bCs/>
                <w:szCs w:val="22"/>
              </w:rPr>
              <w:t>。</w:t>
            </w:r>
          </w:p>
        </w:tc>
        <w:tc>
          <w:tcPr>
            <w:tcW w:w="850" w:type="dxa"/>
            <w:tcBorders>
              <w:right w:val="single" w:color="auto" w:sz="4" w:space="0"/>
            </w:tcBorders>
            <w:vAlign w:val="center"/>
          </w:tcPr>
          <w:p w14:paraId="5BD7F14A">
            <w:pPr>
              <w:ind w:left="-78" w:leftChars="-37" w:right="-73" w:rightChars="-35"/>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c>
          <w:tcPr>
            <w:tcW w:w="851" w:type="dxa"/>
            <w:tcBorders>
              <w:left w:val="single" w:color="auto" w:sz="4" w:space="0"/>
            </w:tcBorders>
            <w:vAlign w:val="center"/>
          </w:tcPr>
          <w:p w14:paraId="53154D7F">
            <w:pPr>
              <w:ind w:left="-78" w:leftChars="-37" w:right="-73" w:rightChars="-35"/>
              <w:jc w:val="center"/>
              <w:rPr>
                <w:rFonts w:hint="eastAsia" w:ascii="仿宋_GB2312" w:hAnsi="仿宋_GB2312" w:eastAsia="仿宋_GB2312" w:cs="仿宋_GB2312"/>
                <w:szCs w:val="22"/>
              </w:rPr>
            </w:pPr>
            <w:r>
              <w:rPr>
                <w:rFonts w:hint="eastAsia" w:ascii="仿宋_GB2312" w:hAnsi="仿宋_GB2312" w:eastAsia="仿宋_GB2312" w:cs="仿宋_GB2312"/>
                <w:szCs w:val="22"/>
              </w:rPr>
              <w:t>10</w:t>
            </w:r>
          </w:p>
        </w:tc>
      </w:tr>
      <w:tr w14:paraId="566DE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117590A7">
            <w:pPr>
              <w:ind w:left="-78" w:leftChars="-37" w:right="-73" w:rightChars="-35"/>
              <w:jc w:val="center"/>
              <w:rPr>
                <w:rFonts w:hint="eastAsia" w:ascii="仿宋_GB2312" w:hAnsi="仿宋_GB2312" w:eastAsia="仿宋_GB2312" w:cs="仿宋_GB2312"/>
                <w:szCs w:val="22"/>
              </w:rPr>
            </w:pPr>
            <w:r>
              <w:rPr>
                <w:rFonts w:hint="eastAsia" w:ascii="仿宋_GB2312" w:hAnsi="仿宋_GB2312" w:eastAsia="仿宋_GB2312" w:cs="仿宋_GB2312"/>
                <w:szCs w:val="22"/>
              </w:rPr>
              <w:t>合计</w:t>
            </w:r>
          </w:p>
        </w:tc>
        <w:tc>
          <w:tcPr>
            <w:tcW w:w="850" w:type="dxa"/>
            <w:tcBorders>
              <w:right w:val="single" w:color="auto" w:sz="4" w:space="0"/>
            </w:tcBorders>
            <w:vAlign w:val="center"/>
          </w:tcPr>
          <w:p w14:paraId="07184C81">
            <w:pPr>
              <w:ind w:left="-78" w:leftChars="-37" w:right="-73" w:rightChars="-35"/>
              <w:jc w:val="center"/>
              <w:rPr>
                <w:rFonts w:hint="eastAsia" w:ascii="仿宋_GB2312" w:hAnsi="仿宋_GB2312" w:eastAsia="仿宋_GB2312" w:cs="仿宋_GB2312"/>
                <w:szCs w:val="22"/>
              </w:rPr>
            </w:pPr>
            <w:r>
              <w:rPr>
                <w:rFonts w:hint="eastAsia" w:ascii="仿宋_GB2312" w:hAnsi="仿宋_GB2312" w:eastAsia="仿宋_GB2312" w:cs="仿宋_GB2312"/>
                <w:szCs w:val="22"/>
              </w:rPr>
              <w:t>100</w:t>
            </w:r>
          </w:p>
        </w:tc>
        <w:tc>
          <w:tcPr>
            <w:tcW w:w="851" w:type="dxa"/>
            <w:tcBorders>
              <w:left w:val="single" w:color="auto" w:sz="4" w:space="0"/>
            </w:tcBorders>
            <w:vAlign w:val="center"/>
          </w:tcPr>
          <w:p w14:paraId="2940163B">
            <w:pPr>
              <w:ind w:left="-78" w:leftChars="-37" w:right="-73" w:rightChars="-35"/>
              <w:jc w:val="center"/>
              <w:rPr>
                <w:rFonts w:hint="eastAsia" w:ascii="仿宋_GB2312" w:hAnsi="仿宋_GB2312" w:eastAsia="仿宋_GB2312" w:cs="仿宋_GB2312"/>
                <w:szCs w:val="22"/>
              </w:rPr>
            </w:pPr>
            <w:r>
              <w:rPr>
                <w:rFonts w:hint="eastAsia" w:ascii="仿宋_GB2312" w:hAnsi="仿宋_GB2312" w:eastAsia="仿宋_GB2312" w:cs="仿宋_GB2312"/>
                <w:szCs w:val="22"/>
              </w:rPr>
              <w:t>100</w:t>
            </w:r>
          </w:p>
        </w:tc>
      </w:tr>
    </w:tbl>
    <w:p w14:paraId="090F0553">
      <w:pP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备注：</w:t>
      </w:r>
      <w:r>
        <w:rPr>
          <w:rFonts w:hint="eastAsia" w:ascii="仿宋_GB2312" w:hAnsi="仿宋_GB2312" w:eastAsia="仿宋_GB2312" w:cs="仿宋_GB2312"/>
          <w:kern w:val="0"/>
          <w:sz w:val="24"/>
          <w:szCs w:val="24"/>
        </w:rPr>
        <w:t>1.评标信息内评分方法的说明：</w:t>
      </w:r>
    </w:p>
    <w:p w14:paraId="0AD10CC9">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（1）权重：按百分比进行设置。</w:t>
      </w:r>
    </w:p>
    <w:p w14:paraId="4DBB1401">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（2）评分准则：按照评标系统设置要求，每项“评分准则”皆按百分制打分。</w:t>
      </w:r>
    </w:p>
    <w:p w14:paraId="518A4361">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（3）每项“评分因素”的得分=对应“评分准则”的分值×对应权重%。</w:t>
      </w:r>
    </w:p>
    <w:p w14:paraId="007B71E2">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2.价格扣除</w:t>
      </w:r>
    </w:p>
    <w:p w14:paraId="3FA19963">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（1）根据财政部、工业和信息化部印发的《政府采购促进中小企业发展管理办法》（财库〔2020〕46号）的规定，对小型和微型企业产品的价格给予6%的扣除，用扣除后的价格参与评审。</w:t>
      </w:r>
    </w:p>
    <w:p w14:paraId="7D1924E6">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（2）组成联合体（如允许）或者接受分包的小微企业与联合体内其他企业、分包企业之间存在直接控股、管理关系的，不享受价格扣除优惠政策。</w:t>
      </w:r>
    </w:p>
    <w:p w14:paraId="492D9C5B">
      <w:pPr>
        <w:ind w:firstLine="600" w:firstLineChars="2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（3）监狱企业产品价格扣除：监狱企业视同小微企业，按上述第（1）、（2）条款享受评审中价格扣除。</w:t>
      </w:r>
    </w:p>
    <w:p w14:paraId="3BD0E579">
      <w:pPr>
        <w:ind w:firstLine="600" w:firstLineChars="250"/>
        <w:rPr>
          <w:rFonts w:hint="eastAsia" w:ascii="宋体" w:hAnsi="宋体" w:cs="宋体"/>
          <w:kern w:val="0"/>
          <w:sz w:val="24"/>
          <w:szCs w:val="24"/>
        </w:rPr>
      </w:pPr>
      <w:r>
        <w:rPr>
          <w:rFonts w:hint="eastAsia" w:ascii="仿宋_GB2312" w:hAnsi="仿宋_GB2312" w:eastAsia="仿宋_GB2312" w:cs="仿宋_GB2312"/>
          <w:kern w:val="0"/>
          <w:sz w:val="24"/>
          <w:szCs w:val="24"/>
        </w:rPr>
        <w:t>（4）残疾人福利性单位产品价格扣除：残疾人福利性单位视同小微企业，按上述第（1）、（2）条款享受评审中价格扣除。</w:t>
      </w:r>
    </w:p>
    <w:p w14:paraId="40B600E3">
      <w:pPr>
        <w:spacing w:line="540" w:lineRule="exact"/>
        <w:ind w:firstLine="600" w:firstLineChars="250"/>
        <w:rPr>
          <w:rFonts w:hint="eastAsia" w:ascii="宋体" w:hAnsi="宋体" w:cs="宋体"/>
          <w:kern w:val="0"/>
          <w:sz w:val="24"/>
          <w:szCs w:val="24"/>
        </w:rPr>
      </w:pPr>
    </w:p>
    <w:p w14:paraId="0C168F47">
      <w:pPr>
        <w:adjustRightInd w:val="0"/>
        <w:snapToGrid w:val="0"/>
        <w:spacing w:line="480" w:lineRule="exact"/>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附件：投标及履约承诺函</w:t>
      </w:r>
    </w:p>
    <w:p w14:paraId="4F400F65">
      <w:pPr>
        <w:jc w:val="left"/>
        <w:rPr>
          <w:rFonts w:hint="eastAsia"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14:paraId="393F0F43">
      <w:pPr>
        <w:adjustRightInd w:val="0"/>
        <w:snapToGrid w:val="0"/>
        <w:spacing w:line="600" w:lineRule="exact"/>
        <w:jc w:val="center"/>
        <w:rPr>
          <w:rFonts w:hint="eastAsia" w:ascii="宋体" w:hAnsi="宋体" w:cs="宋体"/>
          <w:b/>
          <w:bCs/>
          <w:sz w:val="44"/>
          <w:szCs w:val="44"/>
        </w:rPr>
      </w:pPr>
    </w:p>
    <w:p w14:paraId="36B55716">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投标及履约承诺函</w:t>
      </w:r>
    </w:p>
    <w:p w14:paraId="6106ABA3">
      <w:pPr>
        <w:adjustRightInd w:val="0"/>
        <w:snapToGrid w:val="0"/>
        <w:spacing w:line="600" w:lineRule="exact"/>
        <w:jc w:val="center"/>
        <w:rPr>
          <w:rFonts w:hint="eastAsia" w:ascii="宋体" w:hAnsi="宋体" w:cs="宋体"/>
          <w:b/>
          <w:bCs/>
          <w:sz w:val="32"/>
          <w:szCs w:val="32"/>
        </w:rPr>
      </w:pPr>
    </w:p>
    <w:p w14:paraId="5B2A49F4">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我单位承诺：</w:t>
      </w:r>
    </w:p>
    <w:p w14:paraId="31A48461">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299CE73F">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264F3513">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10295729">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.如果中标，做到守信，不偷工减料，依照本项目招标文件需求内容、签署的采购合同及在投标中所做的一切承诺履约。项目验收达到全部指标合格，力争优良。</w:t>
      </w:r>
    </w:p>
    <w:p w14:paraId="014A4504">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0F0D0681">
      <w:pPr>
        <w:adjustRightInd w:val="0"/>
        <w:snapToGrid w:val="0"/>
        <w:spacing w:line="480" w:lineRule="exact"/>
        <w:ind w:firstLine="640" w:firstLineChars="200"/>
        <w:rPr>
          <w:rFonts w:hint="eastAsia"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745F5F45">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4C7EFB0C">
      <w:pPr>
        <w:adjustRightInd w:val="0"/>
        <w:snapToGrid w:val="0"/>
        <w:spacing w:line="480" w:lineRule="exact"/>
        <w:ind w:firstLine="640" w:firstLineChars="200"/>
        <w:rPr>
          <w:rFonts w:hint="eastAsia" w:ascii="仿宋_GB2312" w:hAnsi="宋体" w:eastAsia="仿宋_GB2312"/>
          <w:sz w:val="32"/>
          <w:szCs w:val="22"/>
        </w:rPr>
      </w:pPr>
    </w:p>
    <w:p w14:paraId="6CAC7613">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180F17AB">
      <w:pPr>
        <w:adjustRightInd w:val="0"/>
        <w:snapToGrid w:val="0"/>
        <w:spacing w:line="480" w:lineRule="exact"/>
        <w:ind w:firstLine="640" w:firstLineChars="200"/>
        <w:rPr>
          <w:rFonts w:hint="eastAsia" w:ascii="仿宋_GB2312" w:hAnsi="宋体" w:eastAsia="仿宋_GB2312"/>
          <w:sz w:val="32"/>
          <w:szCs w:val="22"/>
        </w:rPr>
      </w:pPr>
      <w:r>
        <w:rPr>
          <w:rFonts w:hint="eastAsia" w:ascii="仿宋_GB2312" w:hAnsi="宋体" w:eastAsia="仿宋_GB2312" w:cs="仿宋_GB2312"/>
          <w:sz w:val="32"/>
          <w:szCs w:val="22"/>
        </w:rPr>
        <w:t>单位地址：</w:t>
      </w:r>
    </w:p>
    <w:p w14:paraId="7163AA84">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582833D4">
      <w:pPr>
        <w:adjustRightInd w:val="0"/>
        <w:snapToGrid w:val="0"/>
        <w:spacing w:line="480" w:lineRule="exact"/>
        <w:ind w:firstLine="640" w:firstLineChars="200"/>
        <w:rPr>
          <w:rFonts w:hint="eastAsia" w:ascii="仿宋_GB2312" w:hAnsi="宋体" w:eastAsia="仿宋_GB2312"/>
          <w:sz w:val="32"/>
          <w:szCs w:val="22"/>
          <w:u w:val="single"/>
        </w:rPr>
      </w:pPr>
      <w:r>
        <w:rPr>
          <w:rFonts w:hint="eastAsia" w:ascii="仿宋_GB2312" w:hAnsi="宋体" w:eastAsia="仿宋_GB2312" w:cs="仿宋_GB2312"/>
          <w:sz w:val="32"/>
          <w:szCs w:val="22"/>
        </w:rPr>
        <w:t>联系电话：</w:t>
      </w:r>
    </w:p>
    <w:p w14:paraId="042E3A58">
      <w:pPr>
        <w:adjustRightInd w:val="0"/>
        <w:snapToGrid w:val="0"/>
        <w:spacing w:line="480" w:lineRule="exact"/>
        <w:ind w:firstLine="640" w:firstLineChars="200"/>
        <w:rPr>
          <w:rFonts w:hint="eastAsia"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隶书">
    <w:altName w:val="微软雅黑"/>
    <w:panose1 w:val="02010509060101010101"/>
    <w:charset w:val="86"/>
    <w:family w:val="modern"/>
    <w:pitch w:val="default"/>
    <w:sig w:usb0="00000000" w:usb1="00000000" w:usb2="0000001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ˎ̥">
    <w:altName w:val="Noto Sans SC"/>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2E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45BB844">
                          <w:pPr>
                            <w:pStyle w:val="2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145BB844">
                    <w:pPr>
                      <w:pStyle w:val="2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5034">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B8A11">
                          <w:pPr>
                            <w:pStyle w:val="2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79B8A11">
                    <w:pPr>
                      <w:pStyle w:val="2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第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kOGIyMjU3MDEzNTY5Y2M3M2JlZWVmOWU5MmUzZDkifQ=="/>
  </w:docVars>
  <w:rsids>
    <w:rsidRoot w:val="00021F8A"/>
    <w:rsid w:val="00000F65"/>
    <w:rsid w:val="00004F55"/>
    <w:rsid w:val="00015BC4"/>
    <w:rsid w:val="00021F8A"/>
    <w:rsid w:val="00026FDC"/>
    <w:rsid w:val="00046148"/>
    <w:rsid w:val="00057629"/>
    <w:rsid w:val="0007094F"/>
    <w:rsid w:val="000723AF"/>
    <w:rsid w:val="000754C4"/>
    <w:rsid w:val="00087B33"/>
    <w:rsid w:val="0009025E"/>
    <w:rsid w:val="000938EF"/>
    <w:rsid w:val="000943CB"/>
    <w:rsid w:val="00094808"/>
    <w:rsid w:val="000A2ECD"/>
    <w:rsid w:val="000A460A"/>
    <w:rsid w:val="000A50B1"/>
    <w:rsid w:val="000B0357"/>
    <w:rsid w:val="000C0344"/>
    <w:rsid w:val="000C1250"/>
    <w:rsid w:val="000C24E4"/>
    <w:rsid w:val="000C4C90"/>
    <w:rsid w:val="000C72A3"/>
    <w:rsid w:val="000C74EB"/>
    <w:rsid w:val="000E057C"/>
    <w:rsid w:val="000E565A"/>
    <w:rsid w:val="000E7D03"/>
    <w:rsid w:val="000F7ABB"/>
    <w:rsid w:val="000F7AD1"/>
    <w:rsid w:val="00102E73"/>
    <w:rsid w:val="00104E04"/>
    <w:rsid w:val="001124E6"/>
    <w:rsid w:val="00121A5C"/>
    <w:rsid w:val="001275A8"/>
    <w:rsid w:val="00142DE7"/>
    <w:rsid w:val="00143239"/>
    <w:rsid w:val="0014446E"/>
    <w:rsid w:val="001525F5"/>
    <w:rsid w:val="0015294D"/>
    <w:rsid w:val="001530D9"/>
    <w:rsid w:val="001544E0"/>
    <w:rsid w:val="001547FD"/>
    <w:rsid w:val="00155FBC"/>
    <w:rsid w:val="001569AE"/>
    <w:rsid w:val="00161E92"/>
    <w:rsid w:val="0017605A"/>
    <w:rsid w:val="0017760C"/>
    <w:rsid w:val="00180298"/>
    <w:rsid w:val="0018063F"/>
    <w:rsid w:val="001808D8"/>
    <w:rsid w:val="00180EF2"/>
    <w:rsid w:val="001816F2"/>
    <w:rsid w:val="0018290A"/>
    <w:rsid w:val="00194D26"/>
    <w:rsid w:val="00194D6A"/>
    <w:rsid w:val="00197FDE"/>
    <w:rsid w:val="001B1506"/>
    <w:rsid w:val="001B20D4"/>
    <w:rsid w:val="001B35A8"/>
    <w:rsid w:val="001B5E78"/>
    <w:rsid w:val="001C13EA"/>
    <w:rsid w:val="001C1E72"/>
    <w:rsid w:val="001C71B0"/>
    <w:rsid w:val="001D3971"/>
    <w:rsid w:val="001D3DDB"/>
    <w:rsid w:val="001D642A"/>
    <w:rsid w:val="001E3A97"/>
    <w:rsid w:val="001E510D"/>
    <w:rsid w:val="001E607C"/>
    <w:rsid w:val="001E6809"/>
    <w:rsid w:val="001F2F3C"/>
    <w:rsid w:val="001F5348"/>
    <w:rsid w:val="001F6A98"/>
    <w:rsid w:val="001F7840"/>
    <w:rsid w:val="0020026D"/>
    <w:rsid w:val="00210D6E"/>
    <w:rsid w:val="0021135C"/>
    <w:rsid w:val="002121C1"/>
    <w:rsid w:val="00212BC7"/>
    <w:rsid w:val="00214514"/>
    <w:rsid w:val="00221CF1"/>
    <w:rsid w:val="00226951"/>
    <w:rsid w:val="00236C21"/>
    <w:rsid w:val="00236C8F"/>
    <w:rsid w:val="00245B60"/>
    <w:rsid w:val="00247CC0"/>
    <w:rsid w:val="0025298A"/>
    <w:rsid w:val="002550A6"/>
    <w:rsid w:val="00261EE5"/>
    <w:rsid w:val="00264B57"/>
    <w:rsid w:val="00264F3F"/>
    <w:rsid w:val="00266FD4"/>
    <w:rsid w:val="00274C1B"/>
    <w:rsid w:val="00274FF3"/>
    <w:rsid w:val="00275068"/>
    <w:rsid w:val="00275B1E"/>
    <w:rsid w:val="00280085"/>
    <w:rsid w:val="00287CD7"/>
    <w:rsid w:val="0029255E"/>
    <w:rsid w:val="00294415"/>
    <w:rsid w:val="002A4184"/>
    <w:rsid w:val="002A4A01"/>
    <w:rsid w:val="002A4D17"/>
    <w:rsid w:val="002A692D"/>
    <w:rsid w:val="002B2371"/>
    <w:rsid w:val="002B5A7D"/>
    <w:rsid w:val="002C23E7"/>
    <w:rsid w:val="002C3FDD"/>
    <w:rsid w:val="002C410B"/>
    <w:rsid w:val="002C75A1"/>
    <w:rsid w:val="002D3E7B"/>
    <w:rsid w:val="002E3180"/>
    <w:rsid w:val="002E581A"/>
    <w:rsid w:val="002F0A38"/>
    <w:rsid w:val="002F10DB"/>
    <w:rsid w:val="002F7D66"/>
    <w:rsid w:val="0030460A"/>
    <w:rsid w:val="00310166"/>
    <w:rsid w:val="003108AF"/>
    <w:rsid w:val="003109D9"/>
    <w:rsid w:val="00312DB9"/>
    <w:rsid w:val="003179F2"/>
    <w:rsid w:val="0032247C"/>
    <w:rsid w:val="003246B9"/>
    <w:rsid w:val="00327683"/>
    <w:rsid w:val="00336A84"/>
    <w:rsid w:val="00337EE3"/>
    <w:rsid w:val="00342105"/>
    <w:rsid w:val="003443C6"/>
    <w:rsid w:val="00346AEE"/>
    <w:rsid w:val="00351547"/>
    <w:rsid w:val="00351C24"/>
    <w:rsid w:val="00356463"/>
    <w:rsid w:val="003614DA"/>
    <w:rsid w:val="00362DD6"/>
    <w:rsid w:val="00363DB3"/>
    <w:rsid w:val="00366212"/>
    <w:rsid w:val="00386203"/>
    <w:rsid w:val="00387586"/>
    <w:rsid w:val="00387FF0"/>
    <w:rsid w:val="00390720"/>
    <w:rsid w:val="00397D57"/>
    <w:rsid w:val="003A5EBE"/>
    <w:rsid w:val="003A6ACE"/>
    <w:rsid w:val="003A71FE"/>
    <w:rsid w:val="003B47C2"/>
    <w:rsid w:val="003C0F0F"/>
    <w:rsid w:val="003C550C"/>
    <w:rsid w:val="003C7DC7"/>
    <w:rsid w:val="003D0615"/>
    <w:rsid w:val="003D57C1"/>
    <w:rsid w:val="003D60DA"/>
    <w:rsid w:val="003D7665"/>
    <w:rsid w:val="003E1FF6"/>
    <w:rsid w:val="003E74A2"/>
    <w:rsid w:val="003E7BEF"/>
    <w:rsid w:val="003F7347"/>
    <w:rsid w:val="0040141D"/>
    <w:rsid w:val="00401F33"/>
    <w:rsid w:val="0040409B"/>
    <w:rsid w:val="00407EAC"/>
    <w:rsid w:val="00424A7B"/>
    <w:rsid w:val="0043443C"/>
    <w:rsid w:val="004346D9"/>
    <w:rsid w:val="00435F9C"/>
    <w:rsid w:val="00450337"/>
    <w:rsid w:val="00451F05"/>
    <w:rsid w:val="00455A2D"/>
    <w:rsid w:val="00455C0A"/>
    <w:rsid w:val="00461339"/>
    <w:rsid w:val="0046505B"/>
    <w:rsid w:val="00465D91"/>
    <w:rsid w:val="004747A9"/>
    <w:rsid w:val="00482C77"/>
    <w:rsid w:val="004834B4"/>
    <w:rsid w:val="00490843"/>
    <w:rsid w:val="00493D09"/>
    <w:rsid w:val="00494780"/>
    <w:rsid w:val="004A018F"/>
    <w:rsid w:val="004A1948"/>
    <w:rsid w:val="004A4844"/>
    <w:rsid w:val="004A5B12"/>
    <w:rsid w:val="004B3EFF"/>
    <w:rsid w:val="004B4044"/>
    <w:rsid w:val="004B72E2"/>
    <w:rsid w:val="004C1C61"/>
    <w:rsid w:val="004C213C"/>
    <w:rsid w:val="004C3A5A"/>
    <w:rsid w:val="004D140F"/>
    <w:rsid w:val="004D2A09"/>
    <w:rsid w:val="004D647F"/>
    <w:rsid w:val="004D6858"/>
    <w:rsid w:val="004D69E2"/>
    <w:rsid w:val="004D7C84"/>
    <w:rsid w:val="004E6DC8"/>
    <w:rsid w:val="004F27B3"/>
    <w:rsid w:val="004F4EEB"/>
    <w:rsid w:val="004F64F1"/>
    <w:rsid w:val="00502316"/>
    <w:rsid w:val="00512272"/>
    <w:rsid w:val="005202FB"/>
    <w:rsid w:val="005210B7"/>
    <w:rsid w:val="00522B7F"/>
    <w:rsid w:val="005236DE"/>
    <w:rsid w:val="005250D0"/>
    <w:rsid w:val="0053239E"/>
    <w:rsid w:val="005323FC"/>
    <w:rsid w:val="005335CF"/>
    <w:rsid w:val="00533C56"/>
    <w:rsid w:val="00540773"/>
    <w:rsid w:val="00540D2F"/>
    <w:rsid w:val="00541A5D"/>
    <w:rsid w:val="00544137"/>
    <w:rsid w:val="00550544"/>
    <w:rsid w:val="00551C08"/>
    <w:rsid w:val="00551FCE"/>
    <w:rsid w:val="00553DC9"/>
    <w:rsid w:val="0055535D"/>
    <w:rsid w:val="0055630F"/>
    <w:rsid w:val="00557EAF"/>
    <w:rsid w:val="00566480"/>
    <w:rsid w:val="00566FD7"/>
    <w:rsid w:val="00571748"/>
    <w:rsid w:val="005742E2"/>
    <w:rsid w:val="00574E9C"/>
    <w:rsid w:val="005762BC"/>
    <w:rsid w:val="0057642D"/>
    <w:rsid w:val="005770EC"/>
    <w:rsid w:val="00581043"/>
    <w:rsid w:val="00590586"/>
    <w:rsid w:val="00591B65"/>
    <w:rsid w:val="00591F8A"/>
    <w:rsid w:val="00592178"/>
    <w:rsid w:val="0059695D"/>
    <w:rsid w:val="00596F3D"/>
    <w:rsid w:val="005B045A"/>
    <w:rsid w:val="005B1504"/>
    <w:rsid w:val="005B2C78"/>
    <w:rsid w:val="005C1EA1"/>
    <w:rsid w:val="005D06B7"/>
    <w:rsid w:val="005D2DBD"/>
    <w:rsid w:val="005D5595"/>
    <w:rsid w:val="005D5955"/>
    <w:rsid w:val="005D7389"/>
    <w:rsid w:val="005E6965"/>
    <w:rsid w:val="005F42B7"/>
    <w:rsid w:val="00602908"/>
    <w:rsid w:val="00603F35"/>
    <w:rsid w:val="00605364"/>
    <w:rsid w:val="00606C77"/>
    <w:rsid w:val="00610B9B"/>
    <w:rsid w:val="00614414"/>
    <w:rsid w:val="0061590B"/>
    <w:rsid w:val="00625492"/>
    <w:rsid w:val="00626F53"/>
    <w:rsid w:val="00633239"/>
    <w:rsid w:val="00633C39"/>
    <w:rsid w:val="00636754"/>
    <w:rsid w:val="0064083A"/>
    <w:rsid w:val="00641580"/>
    <w:rsid w:val="00642642"/>
    <w:rsid w:val="006466F1"/>
    <w:rsid w:val="00667D11"/>
    <w:rsid w:val="006719B6"/>
    <w:rsid w:val="006724C7"/>
    <w:rsid w:val="0067396E"/>
    <w:rsid w:val="00675528"/>
    <w:rsid w:val="00693E4E"/>
    <w:rsid w:val="006A2133"/>
    <w:rsid w:val="006A7921"/>
    <w:rsid w:val="006C170C"/>
    <w:rsid w:val="006C2A59"/>
    <w:rsid w:val="006C4AD8"/>
    <w:rsid w:val="006C5AAD"/>
    <w:rsid w:val="006D197A"/>
    <w:rsid w:val="006D25E8"/>
    <w:rsid w:val="006D34ED"/>
    <w:rsid w:val="006D43DB"/>
    <w:rsid w:val="006D7442"/>
    <w:rsid w:val="006E0123"/>
    <w:rsid w:val="006E3E75"/>
    <w:rsid w:val="006E5EC1"/>
    <w:rsid w:val="006E64BB"/>
    <w:rsid w:val="006F22B1"/>
    <w:rsid w:val="0071108F"/>
    <w:rsid w:val="0071130A"/>
    <w:rsid w:val="00713126"/>
    <w:rsid w:val="00713D58"/>
    <w:rsid w:val="007261F8"/>
    <w:rsid w:val="007271F7"/>
    <w:rsid w:val="0073023E"/>
    <w:rsid w:val="007366B8"/>
    <w:rsid w:val="00737455"/>
    <w:rsid w:val="00741452"/>
    <w:rsid w:val="007414C6"/>
    <w:rsid w:val="00746A48"/>
    <w:rsid w:val="00755554"/>
    <w:rsid w:val="00756219"/>
    <w:rsid w:val="00763343"/>
    <w:rsid w:val="007678F7"/>
    <w:rsid w:val="007709D1"/>
    <w:rsid w:val="00772977"/>
    <w:rsid w:val="00772C99"/>
    <w:rsid w:val="00781E6C"/>
    <w:rsid w:val="0078257A"/>
    <w:rsid w:val="00785916"/>
    <w:rsid w:val="00786D68"/>
    <w:rsid w:val="00792503"/>
    <w:rsid w:val="00793FD6"/>
    <w:rsid w:val="007952E1"/>
    <w:rsid w:val="00796037"/>
    <w:rsid w:val="007A168D"/>
    <w:rsid w:val="007A27DD"/>
    <w:rsid w:val="007B3AC8"/>
    <w:rsid w:val="007C03B7"/>
    <w:rsid w:val="007C68AE"/>
    <w:rsid w:val="007D0575"/>
    <w:rsid w:val="007D629B"/>
    <w:rsid w:val="007D7579"/>
    <w:rsid w:val="007E040E"/>
    <w:rsid w:val="007E4380"/>
    <w:rsid w:val="007F12AF"/>
    <w:rsid w:val="007F4075"/>
    <w:rsid w:val="00800BB6"/>
    <w:rsid w:val="00800F5B"/>
    <w:rsid w:val="0080186E"/>
    <w:rsid w:val="00803DE1"/>
    <w:rsid w:val="008111D2"/>
    <w:rsid w:val="008166EE"/>
    <w:rsid w:val="0082120F"/>
    <w:rsid w:val="00825363"/>
    <w:rsid w:val="008346B8"/>
    <w:rsid w:val="0084013A"/>
    <w:rsid w:val="00843442"/>
    <w:rsid w:val="00843C62"/>
    <w:rsid w:val="00856555"/>
    <w:rsid w:val="008707EE"/>
    <w:rsid w:val="00876D92"/>
    <w:rsid w:val="008836FE"/>
    <w:rsid w:val="00883B31"/>
    <w:rsid w:val="008907C7"/>
    <w:rsid w:val="0089123D"/>
    <w:rsid w:val="00892A02"/>
    <w:rsid w:val="00893717"/>
    <w:rsid w:val="0089493F"/>
    <w:rsid w:val="00897A19"/>
    <w:rsid w:val="008A79FD"/>
    <w:rsid w:val="008B4CAF"/>
    <w:rsid w:val="008B68D1"/>
    <w:rsid w:val="008B6B49"/>
    <w:rsid w:val="008B7364"/>
    <w:rsid w:val="008C6A25"/>
    <w:rsid w:val="008D2D34"/>
    <w:rsid w:val="008D783E"/>
    <w:rsid w:val="008E0F03"/>
    <w:rsid w:val="008F2A5C"/>
    <w:rsid w:val="008F443C"/>
    <w:rsid w:val="0090289D"/>
    <w:rsid w:val="00903308"/>
    <w:rsid w:val="009107D4"/>
    <w:rsid w:val="00912182"/>
    <w:rsid w:val="00913B55"/>
    <w:rsid w:val="00915661"/>
    <w:rsid w:val="00915784"/>
    <w:rsid w:val="00917723"/>
    <w:rsid w:val="00920BB7"/>
    <w:rsid w:val="009245E2"/>
    <w:rsid w:val="0092588B"/>
    <w:rsid w:val="0092670D"/>
    <w:rsid w:val="00926AE5"/>
    <w:rsid w:val="009274B6"/>
    <w:rsid w:val="00933256"/>
    <w:rsid w:val="009351C9"/>
    <w:rsid w:val="00935C24"/>
    <w:rsid w:val="00937757"/>
    <w:rsid w:val="0094036B"/>
    <w:rsid w:val="00940613"/>
    <w:rsid w:val="009417F2"/>
    <w:rsid w:val="00943844"/>
    <w:rsid w:val="0094689E"/>
    <w:rsid w:val="009634AF"/>
    <w:rsid w:val="009674BF"/>
    <w:rsid w:val="009719CF"/>
    <w:rsid w:val="00973462"/>
    <w:rsid w:val="00976494"/>
    <w:rsid w:val="00977802"/>
    <w:rsid w:val="00982D42"/>
    <w:rsid w:val="009873C9"/>
    <w:rsid w:val="009910FD"/>
    <w:rsid w:val="0099769F"/>
    <w:rsid w:val="009A0980"/>
    <w:rsid w:val="009A27D6"/>
    <w:rsid w:val="009A428B"/>
    <w:rsid w:val="009B1BCF"/>
    <w:rsid w:val="009B1D2F"/>
    <w:rsid w:val="009B2AE8"/>
    <w:rsid w:val="009B37E4"/>
    <w:rsid w:val="009B4668"/>
    <w:rsid w:val="009B75E6"/>
    <w:rsid w:val="009C1357"/>
    <w:rsid w:val="009C1946"/>
    <w:rsid w:val="009C378C"/>
    <w:rsid w:val="009C4111"/>
    <w:rsid w:val="009C556B"/>
    <w:rsid w:val="009C5D57"/>
    <w:rsid w:val="009D0E3F"/>
    <w:rsid w:val="009D4C0B"/>
    <w:rsid w:val="009D520A"/>
    <w:rsid w:val="009D5950"/>
    <w:rsid w:val="009D7D48"/>
    <w:rsid w:val="009E0008"/>
    <w:rsid w:val="009E14C3"/>
    <w:rsid w:val="009E31BC"/>
    <w:rsid w:val="009E41CA"/>
    <w:rsid w:val="009E5D84"/>
    <w:rsid w:val="009E744A"/>
    <w:rsid w:val="009E7FBB"/>
    <w:rsid w:val="009F39C4"/>
    <w:rsid w:val="009F6E16"/>
    <w:rsid w:val="009F7CFF"/>
    <w:rsid w:val="00A002CE"/>
    <w:rsid w:val="00A03C2D"/>
    <w:rsid w:val="00A06091"/>
    <w:rsid w:val="00A26917"/>
    <w:rsid w:val="00A305F8"/>
    <w:rsid w:val="00A31463"/>
    <w:rsid w:val="00A341CC"/>
    <w:rsid w:val="00A40AFB"/>
    <w:rsid w:val="00A44DD8"/>
    <w:rsid w:val="00A51B21"/>
    <w:rsid w:val="00A544DB"/>
    <w:rsid w:val="00A609B1"/>
    <w:rsid w:val="00A60F56"/>
    <w:rsid w:val="00A619E7"/>
    <w:rsid w:val="00A716A3"/>
    <w:rsid w:val="00A717A7"/>
    <w:rsid w:val="00A73054"/>
    <w:rsid w:val="00A75EAC"/>
    <w:rsid w:val="00A82F52"/>
    <w:rsid w:val="00A84341"/>
    <w:rsid w:val="00A9093A"/>
    <w:rsid w:val="00A94D28"/>
    <w:rsid w:val="00A97A05"/>
    <w:rsid w:val="00AA3AC9"/>
    <w:rsid w:val="00AA62E8"/>
    <w:rsid w:val="00AA6594"/>
    <w:rsid w:val="00AB0CA5"/>
    <w:rsid w:val="00AB432C"/>
    <w:rsid w:val="00AB5B09"/>
    <w:rsid w:val="00AC012B"/>
    <w:rsid w:val="00AC1000"/>
    <w:rsid w:val="00AC5C00"/>
    <w:rsid w:val="00AD11F7"/>
    <w:rsid w:val="00AD35D4"/>
    <w:rsid w:val="00AE74B1"/>
    <w:rsid w:val="00B01134"/>
    <w:rsid w:val="00B067EE"/>
    <w:rsid w:val="00B0798D"/>
    <w:rsid w:val="00B10467"/>
    <w:rsid w:val="00B25245"/>
    <w:rsid w:val="00B31182"/>
    <w:rsid w:val="00B36FF2"/>
    <w:rsid w:val="00B56D2F"/>
    <w:rsid w:val="00B57708"/>
    <w:rsid w:val="00B61BFE"/>
    <w:rsid w:val="00B67D61"/>
    <w:rsid w:val="00B70671"/>
    <w:rsid w:val="00B74AC0"/>
    <w:rsid w:val="00B7696A"/>
    <w:rsid w:val="00B82F55"/>
    <w:rsid w:val="00B86F7E"/>
    <w:rsid w:val="00B92A77"/>
    <w:rsid w:val="00B9388B"/>
    <w:rsid w:val="00B93929"/>
    <w:rsid w:val="00BA050C"/>
    <w:rsid w:val="00BA3A8C"/>
    <w:rsid w:val="00BA6BCB"/>
    <w:rsid w:val="00BB4B80"/>
    <w:rsid w:val="00BB4DA6"/>
    <w:rsid w:val="00BB7155"/>
    <w:rsid w:val="00BC680A"/>
    <w:rsid w:val="00BC6A39"/>
    <w:rsid w:val="00BE3F02"/>
    <w:rsid w:val="00BE6AE7"/>
    <w:rsid w:val="00BF7032"/>
    <w:rsid w:val="00BF7D35"/>
    <w:rsid w:val="00C02397"/>
    <w:rsid w:val="00C13C74"/>
    <w:rsid w:val="00C23DC8"/>
    <w:rsid w:val="00C25CED"/>
    <w:rsid w:val="00C3092A"/>
    <w:rsid w:val="00C35087"/>
    <w:rsid w:val="00C3627C"/>
    <w:rsid w:val="00C435DA"/>
    <w:rsid w:val="00C44FAE"/>
    <w:rsid w:val="00C46936"/>
    <w:rsid w:val="00C5185F"/>
    <w:rsid w:val="00C51FB9"/>
    <w:rsid w:val="00C52D4D"/>
    <w:rsid w:val="00C53BC7"/>
    <w:rsid w:val="00C54474"/>
    <w:rsid w:val="00C57C32"/>
    <w:rsid w:val="00C62CA0"/>
    <w:rsid w:val="00C655DD"/>
    <w:rsid w:val="00C731A9"/>
    <w:rsid w:val="00C82148"/>
    <w:rsid w:val="00C91AA3"/>
    <w:rsid w:val="00C91F41"/>
    <w:rsid w:val="00C92875"/>
    <w:rsid w:val="00C9382F"/>
    <w:rsid w:val="00C95511"/>
    <w:rsid w:val="00CB02DC"/>
    <w:rsid w:val="00CB2BB8"/>
    <w:rsid w:val="00CB7CA8"/>
    <w:rsid w:val="00CC3157"/>
    <w:rsid w:val="00CD16CE"/>
    <w:rsid w:val="00CE0F8E"/>
    <w:rsid w:val="00CE1F1E"/>
    <w:rsid w:val="00CF1880"/>
    <w:rsid w:val="00CF6F23"/>
    <w:rsid w:val="00D00592"/>
    <w:rsid w:val="00D03BD2"/>
    <w:rsid w:val="00D06210"/>
    <w:rsid w:val="00D07043"/>
    <w:rsid w:val="00D12A2B"/>
    <w:rsid w:val="00D1589D"/>
    <w:rsid w:val="00D21C1D"/>
    <w:rsid w:val="00D24698"/>
    <w:rsid w:val="00D25868"/>
    <w:rsid w:val="00D25C47"/>
    <w:rsid w:val="00D25CDD"/>
    <w:rsid w:val="00D2660C"/>
    <w:rsid w:val="00D26C72"/>
    <w:rsid w:val="00D30E9B"/>
    <w:rsid w:val="00D316F6"/>
    <w:rsid w:val="00D3279A"/>
    <w:rsid w:val="00D34472"/>
    <w:rsid w:val="00D35CA8"/>
    <w:rsid w:val="00D40D76"/>
    <w:rsid w:val="00D43F53"/>
    <w:rsid w:val="00D45768"/>
    <w:rsid w:val="00D45F2D"/>
    <w:rsid w:val="00D52A2E"/>
    <w:rsid w:val="00D55F1E"/>
    <w:rsid w:val="00D6072F"/>
    <w:rsid w:val="00D64D20"/>
    <w:rsid w:val="00D655BA"/>
    <w:rsid w:val="00D75ED0"/>
    <w:rsid w:val="00D76346"/>
    <w:rsid w:val="00D7776E"/>
    <w:rsid w:val="00D85171"/>
    <w:rsid w:val="00D9607B"/>
    <w:rsid w:val="00D968FA"/>
    <w:rsid w:val="00DA60C5"/>
    <w:rsid w:val="00DA776A"/>
    <w:rsid w:val="00DB45D2"/>
    <w:rsid w:val="00DB7BEE"/>
    <w:rsid w:val="00DC1D8B"/>
    <w:rsid w:val="00DC543E"/>
    <w:rsid w:val="00DD0471"/>
    <w:rsid w:val="00DD0FFB"/>
    <w:rsid w:val="00DE41D0"/>
    <w:rsid w:val="00DE5F7D"/>
    <w:rsid w:val="00DE6EAA"/>
    <w:rsid w:val="00DE7FDE"/>
    <w:rsid w:val="00DF1F58"/>
    <w:rsid w:val="00DF466C"/>
    <w:rsid w:val="00E01A6E"/>
    <w:rsid w:val="00E03217"/>
    <w:rsid w:val="00E055A3"/>
    <w:rsid w:val="00E05EDB"/>
    <w:rsid w:val="00E07E9C"/>
    <w:rsid w:val="00E11A28"/>
    <w:rsid w:val="00E20155"/>
    <w:rsid w:val="00E20EC4"/>
    <w:rsid w:val="00E22750"/>
    <w:rsid w:val="00E22EFA"/>
    <w:rsid w:val="00E250BB"/>
    <w:rsid w:val="00E27A5C"/>
    <w:rsid w:val="00E30705"/>
    <w:rsid w:val="00E36047"/>
    <w:rsid w:val="00E51826"/>
    <w:rsid w:val="00E5351E"/>
    <w:rsid w:val="00E55062"/>
    <w:rsid w:val="00E65C2A"/>
    <w:rsid w:val="00E70DE8"/>
    <w:rsid w:val="00E764AB"/>
    <w:rsid w:val="00E820A7"/>
    <w:rsid w:val="00E83BC8"/>
    <w:rsid w:val="00E850EA"/>
    <w:rsid w:val="00E909BD"/>
    <w:rsid w:val="00E95658"/>
    <w:rsid w:val="00E96829"/>
    <w:rsid w:val="00E97E6A"/>
    <w:rsid w:val="00EA373C"/>
    <w:rsid w:val="00EB2AB7"/>
    <w:rsid w:val="00EB37F7"/>
    <w:rsid w:val="00EB5890"/>
    <w:rsid w:val="00EC0EFC"/>
    <w:rsid w:val="00EC337A"/>
    <w:rsid w:val="00EC70E9"/>
    <w:rsid w:val="00EE0506"/>
    <w:rsid w:val="00EE2341"/>
    <w:rsid w:val="00EE23B4"/>
    <w:rsid w:val="00EE244A"/>
    <w:rsid w:val="00EE2D8F"/>
    <w:rsid w:val="00EE3767"/>
    <w:rsid w:val="00EE3F9C"/>
    <w:rsid w:val="00EF20EC"/>
    <w:rsid w:val="00EF6AEC"/>
    <w:rsid w:val="00F01972"/>
    <w:rsid w:val="00F01E8C"/>
    <w:rsid w:val="00F02BFB"/>
    <w:rsid w:val="00F03D5C"/>
    <w:rsid w:val="00F07DB6"/>
    <w:rsid w:val="00F114CA"/>
    <w:rsid w:val="00F12A41"/>
    <w:rsid w:val="00F17CBD"/>
    <w:rsid w:val="00F20658"/>
    <w:rsid w:val="00F222DE"/>
    <w:rsid w:val="00F34F92"/>
    <w:rsid w:val="00F35096"/>
    <w:rsid w:val="00F36F26"/>
    <w:rsid w:val="00F4312C"/>
    <w:rsid w:val="00F51166"/>
    <w:rsid w:val="00F5460C"/>
    <w:rsid w:val="00F55583"/>
    <w:rsid w:val="00F55B09"/>
    <w:rsid w:val="00F55C86"/>
    <w:rsid w:val="00F64707"/>
    <w:rsid w:val="00F65014"/>
    <w:rsid w:val="00F6776C"/>
    <w:rsid w:val="00F749D4"/>
    <w:rsid w:val="00F77B02"/>
    <w:rsid w:val="00F82281"/>
    <w:rsid w:val="00F831E8"/>
    <w:rsid w:val="00F91FB7"/>
    <w:rsid w:val="00F92021"/>
    <w:rsid w:val="00F95FF3"/>
    <w:rsid w:val="00F96916"/>
    <w:rsid w:val="00F96AD8"/>
    <w:rsid w:val="00FA0FF2"/>
    <w:rsid w:val="00FA2F56"/>
    <w:rsid w:val="00FA6B2D"/>
    <w:rsid w:val="00FB2C4D"/>
    <w:rsid w:val="00FB2E08"/>
    <w:rsid w:val="00FC012F"/>
    <w:rsid w:val="00FC01BA"/>
    <w:rsid w:val="00FC043D"/>
    <w:rsid w:val="00FD0E06"/>
    <w:rsid w:val="00FD3295"/>
    <w:rsid w:val="00FE20CA"/>
    <w:rsid w:val="00FF7D16"/>
    <w:rsid w:val="01FB42C6"/>
    <w:rsid w:val="0213479A"/>
    <w:rsid w:val="02581525"/>
    <w:rsid w:val="02E52B28"/>
    <w:rsid w:val="03633F51"/>
    <w:rsid w:val="03D32EAA"/>
    <w:rsid w:val="03E74C94"/>
    <w:rsid w:val="0458359F"/>
    <w:rsid w:val="05BF313C"/>
    <w:rsid w:val="0638566B"/>
    <w:rsid w:val="06905EF8"/>
    <w:rsid w:val="07822659"/>
    <w:rsid w:val="08177753"/>
    <w:rsid w:val="08AB4334"/>
    <w:rsid w:val="08BD22BF"/>
    <w:rsid w:val="0A992810"/>
    <w:rsid w:val="0B2D1015"/>
    <w:rsid w:val="0BAA2339"/>
    <w:rsid w:val="0C3C1F0A"/>
    <w:rsid w:val="0C597BDD"/>
    <w:rsid w:val="0CBE14CA"/>
    <w:rsid w:val="0D1B2D52"/>
    <w:rsid w:val="0DC564E1"/>
    <w:rsid w:val="0E4D1647"/>
    <w:rsid w:val="0F1C3C95"/>
    <w:rsid w:val="0FB93D23"/>
    <w:rsid w:val="10813973"/>
    <w:rsid w:val="10DA129B"/>
    <w:rsid w:val="128F634E"/>
    <w:rsid w:val="12953A0A"/>
    <w:rsid w:val="12F96422"/>
    <w:rsid w:val="130D4918"/>
    <w:rsid w:val="13ED7531"/>
    <w:rsid w:val="154C74B7"/>
    <w:rsid w:val="15657D89"/>
    <w:rsid w:val="15803923"/>
    <w:rsid w:val="15B15E2C"/>
    <w:rsid w:val="164963A5"/>
    <w:rsid w:val="168B1E8B"/>
    <w:rsid w:val="18304408"/>
    <w:rsid w:val="1A5D3725"/>
    <w:rsid w:val="1B052CAA"/>
    <w:rsid w:val="1BE80E0C"/>
    <w:rsid w:val="1C450915"/>
    <w:rsid w:val="1C984AC0"/>
    <w:rsid w:val="1CAF3A72"/>
    <w:rsid w:val="1D6614F4"/>
    <w:rsid w:val="1DFC4E7A"/>
    <w:rsid w:val="1EFE0AE6"/>
    <w:rsid w:val="1F9C52AF"/>
    <w:rsid w:val="204F5541"/>
    <w:rsid w:val="2059201A"/>
    <w:rsid w:val="20FE0ADA"/>
    <w:rsid w:val="227D1127"/>
    <w:rsid w:val="24252D20"/>
    <w:rsid w:val="253D00BD"/>
    <w:rsid w:val="259E7AAB"/>
    <w:rsid w:val="25ED7CFF"/>
    <w:rsid w:val="2CE83633"/>
    <w:rsid w:val="2D560907"/>
    <w:rsid w:val="2DFE4B34"/>
    <w:rsid w:val="2E452FC9"/>
    <w:rsid w:val="2E8162AD"/>
    <w:rsid w:val="2E861CEB"/>
    <w:rsid w:val="2E9A4044"/>
    <w:rsid w:val="2F2E417E"/>
    <w:rsid w:val="2F7B5E31"/>
    <w:rsid w:val="2FA4779E"/>
    <w:rsid w:val="2FAD4CE2"/>
    <w:rsid w:val="2FE76B3A"/>
    <w:rsid w:val="30C3638E"/>
    <w:rsid w:val="311F7AB1"/>
    <w:rsid w:val="31EE4784"/>
    <w:rsid w:val="33C4419E"/>
    <w:rsid w:val="348B4B08"/>
    <w:rsid w:val="36587F7A"/>
    <w:rsid w:val="36C70504"/>
    <w:rsid w:val="36CE5337"/>
    <w:rsid w:val="37B03C19"/>
    <w:rsid w:val="38DE104D"/>
    <w:rsid w:val="3A5A302E"/>
    <w:rsid w:val="3AF5E393"/>
    <w:rsid w:val="3B530682"/>
    <w:rsid w:val="3C6F180D"/>
    <w:rsid w:val="3CAA0266"/>
    <w:rsid w:val="3D0C45E9"/>
    <w:rsid w:val="3D3A6003"/>
    <w:rsid w:val="3D8864FF"/>
    <w:rsid w:val="3DA53D48"/>
    <w:rsid w:val="3DE4598C"/>
    <w:rsid w:val="3F3D4B30"/>
    <w:rsid w:val="3F522DEF"/>
    <w:rsid w:val="3FC90D91"/>
    <w:rsid w:val="3FEB39CD"/>
    <w:rsid w:val="40760AAC"/>
    <w:rsid w:val="40F54082"/>
    <w:rsid w:val="410E640D"/>
    <w:rsid w:val="429B4FE5"/>
    <w:rsid w:val="430035AF"/>
    <w:rsid w:val="43832729"/>
    <w:rsid w:val="4597548E"/>
    <w:rsid w:val="45B042E5"/>
    <w:rsid w:val="467E1582"/>
    <w:rsid w:val="470152B5"/>
    <w:rsid w:val="471A53C9"/>
    <w:rsid w:val="47361824"/>
    <w:rsid w:val="48021683"/>
    <w:rsid w:val="48366EBC"/>
    <w:rsid w:val="48934F74"/>
    <w:rsid w:val="48F41700"/>
    <w:rsid w:val="493D20EF"/>
    <w:rsid w:val="495D4343"/>
    <w:rsid w:val="4AB02FDB"/>
    <w:rsid w:val="4C1676C1"/>
    <w:rsid w:val="4CF175DC"/>
    <w:rsid w:val="4D376881"/>
    <w:rsid w:val="4D4D1E47"/>
    <w:rsid w:val="4E65512B"/>
    <w:rsid w:val="4FE6773D"/>
    <w:rsid w:val="501A72B6"/>
    <w:rsid w:val="50BB74C3"/>
    <w:rsid w:val="510E7D43"/>
    <w:rsid w:val="51332769"/>
    <w:rsid w:val="52257453"/>
    <w:rsid w:val="52555335"/>
    <w:rsid w:val="5432033C"/>
    <w:rsid w:val="548E769A"/>
    <w:rsid w:val="562F58B6"/>
    <w:rsid w:val="571E4E32"/>
    <w:rsid w:val="57B928BB"/>
    <w:rsid w:val="57F944FA"/>
    <w:rsid w:val="587003DF"/>
    <w:rsid w:val="599E5045"/>
    <w:rsid w:val="5AFFD1E0"/>
    <w:rsid w:val="5BB73298"/>
    <w:rsid w:val="5C930E64"/>
    <w:rsid w:val="5D7E01AD"/>
    <w:rsid w:val="60A668F5"/>
    <w:rsid w:val="60CE2E6E"/>
    <w:rsid w:val="6129748A"/>
    <w:rsid w:val="614C4BBA"/>
    <w:rsid w:val="61F324D5"/>
    <w:rsid w:val="64495D15"/>
    <w:rsid w:val="64DC0B1F"/>
    <w:rsid w:val="652C0981"/>
    <w:rsid w:val="6556127B"/>
    <w:rsid w:val="65B4669D"/>
    <w:rsid w:val="66204CBB"/>
    <w:rsid w:val="676C29C3"/>
    <w:rsid w:val="680657FD"/>
    <w:rsid w:val="681E586F"/>
    <w:rsid w:val="688A43A3"/>
    <w:rsid w:val="68AC4A92"/>
    <w:rsid w:val="68AD6BF3"/>
    <w:rsid w:val="692A0243"/>
    <w:rsid w:val="69624ED6"/>
    <w:rsid w:val="6999618C"/>
    <w:rsid w:val="6AA933EA"/>
    <w:rsid w:val="6B1A47FA"/>
    <w:rsid w:val="6BEF287E"/>
    <w:rsid w:val="6BF02543"/>
    <w:rsid w:val="6BFE5443"/>
    <w:rsid w:val="6C313863"/>
    <w:rsid w:val="6C9E1B33"/>
    <w:rsid w:val="6CB64147"/>
    <w:rsid w:val="6E8F7740"/>
    <w:rsid w:val="6FD67F32"/>
    <w:rsid w:val="709C144F"/>
    <w:rsid w:val="718D260B"/>
    <w:rsid w:val="71C22B21"/>
    <w:rsid w:val="72303D09"/>
    <w:rsid w:val="729A01E8"/>
    <w:rsid w:val="729C4002"/>
    <w:rsid w:val="72BB08AA"/>
    <w:rsid w:val="72BD476A"/>
    <w:rsid w:val="73271770"/>
    <w:rsid w:val="733BA8DC"/>
    <w:rsid w:val="734C7658"/>
    <w:rsid w:val="73553531"/>
    <w:rsid w:val="744051D9"/>
    <w:rsid w:val="74F371BB"/>
    <w:rsid w:val="7510653F"/>
    <w:rsid w:val="7562283E"/>
    <w:rsid w:val="75E61486"/>
    <w:rsid w:val="76141AED"/>
    <w:rsid w:val="763147EB"/>
    <w:rsid w:val="76B65054"/>
    <w:rsid w:val="77141BDB"/>
    <w:rsid w:val="771C49A5"/>
    <w:rsid w:val="78113A35"/>
    <w:rsid w:val="793655B2"/>
    <w:rsid w:val="79856CB1"/>
    <w:rsid w:val="79AE6476"/>
    <w:rsid w:val="79D15B58"/>
    <w:rsid w:val="7BC04304"/>
    <w:rsid w:val="7C877DDC"/>
    <w:rsid w:val="7CEB3072"/>
    <w:rsid w:val="7D470F6C"/>
    <w:rsid w:val="7D4B7D80"/>
    <w:rsid w:val="7E9338AC"/>
    <w:rsid w:val="7E9C52C8"/>
    <w:rsid w:val="7EFC1FDC"/>
    <w:rsid w:val="7F403025"/>
    <w:rsid w:val="7F73AA8F"/>
    <w:rsid w:val="8DFE61F1"/>
    <w:rsid w:val="8FF84194"/>
    <w:rsid w:val="9BF78DF8"/>
    <w:rsid w:val="9E2D49B0"/>
    <w:rsid w:val="B6A735F1"/>
    <w:rsid w:val="B7BD4341"/>
    <w:rsid w:val="BE6F11A6"/>
    <w:rsid w:val="D5EFF648"/>
    <w:rsid w:val="D5FFBA1B"/>
    <w:rsid w:val="DD7EDAEF"/>
    <w:rsid w:val="DFFF2A1E"/>
    <w:rsid w:val="F3DB12EA"/>
    <w:rsid w:val="F7FECA97"/>
    <w:rsid w:val="F9BE8954"/>
    <w:rsid w:val="F9E78425"/>
    <w:rsid w:val="FA4F499E"/>
    <w:rsid w:val="FDFF2931"/>
    <w:rsid w:val="FEDE32F0"/>
    <w:rsid w:val="FFFD462F"/>
    <w:rsid w:val="FFFFE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4"/>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5">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2"/>
    <w:qFormat/>
    <w:uiPriority w:val="0"/>
    <w:pPr>
      <w:keepNext/>
      <w:keepLines/>
      <w:spacing w:before="280" w:after="290" w:line="376" w:lineRule="auto"/>
      <w:outlineLvl w:val="4"/>
    </w:pPr>
    <w:rPr>
      <w:rFonts w:ascii="Times New Roman" w:hAnsi="Times New Roman"/>
      <w:b/>
      <w:sz w:val="28"/>
      <w:szCs w:val="20"/>
    </w:rPr>
  </w:style>
  <w:style w:type="paragraph" w:styleId="9">
    <w:name w:val="heading 6"/>
    <w:basedOn w:val="1"/>
    <w:next w:val="8"/>
    <w:link w:val="6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64"/>
    <w:qFormat/>
    <w:uiPriority w:val="0"/>
    <w:pPr>
      <w:keepNext/>
      <w:keepLines/>
      <w:spacing w:before="240" w:after="64" w:line="320" w:lineRule="auto"/>
      <w:outlineLvl w:val="6"/>
    </w:pPr>
    <w:rPr>
      <w:rFonts w:ascii="Times New Roman" w:hAnsi="Times New Roman"/>
      <w:b/>
      <w:sz w:val="24"/>
      <w:szCs w:val="20"/>
    </w:rPr>
  </w:style>
  <w:style w:type="paragraph" w:styleId="11">
    <w:name w:val="heading 8"/>
    <w:basedOn w:val="1"/>
    <w:next w:val="8"/>
    <w:link w:val="6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9"/>
    <w:unhideWhenUsed/>
    <w:qFormat/>
    <w:uiPriority w:val="0"/>
    <w:pPr>
      <w:spacing w:after="120"/>
    </w:pPr>
  </w:style>
  <w:style w:type="paragraph" w:styleId="8">
    <w:name w:val="Normal Indent"/>
    <w:basedOn w:val="1"/>
    <w:link w:val="168"/>
    <w:qFormat/>
    <w:uiPriority w:val="0"/>
    <w:pPr>
      <w:ind w:firstLine="420"/>
    </w:pPr>
    <w:rPr>
      <w:rFonts w:ascii="Times New Roman" w:hAnsi="Times New Roman"/>
      <w:szCs w:val="20"/>
    </w:rPr>
  </w:style>
  <w:style w:type="paragraph" w:styleId="13">
    <w:name w:val="toc 7"/>
    <w:basedOn w:val="1"/>
    <w:next w:val="1"/>
    <w:semiHidden/>
    <w:qFormat/>
    <w:uiPriority w:val="0"/>
    <w:pPr>
      <w:ind w:left="1260"/>
      <w:jc w:val="left"/>
    </w:pPr>
    <w:rPr>
      <w:rFonts w:ascii="Times New Roman" w:hAnsi="Times New Roman"/>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tabs>
        <w:tab w:val="left" w:pos="360"/>
      </w:tabs>
      <w:ind w:left="360" w:hanging="360" w:hangingChars="200"/>
    </w:pPr>
    <w:rPr>
      <w:rFonts w:ascii="Times New Roman" w:hAnsi="Times New Roman"/>
      <w:szCs w:val="20"/>
    </w:rPr>
  </w:style>
  <w:style w:type="paragraph" w:styleId="16">
    <w:name w:val="Document Map"/>
    <w:basedOn w:val="1"/>
    <w:link w:val="71"/>
    <w:semiHidden/>
    <w:qFormat/>
    <w:uiPriority w:val="0"/>
    <w:pPr>
      <w:shd w:val="clear" w:color="auto" w:fill="000080"/>
    </w:pPr>
    <w:rPr>
      <w:rFonts w:ascii="Times New Roman" w:hAnsi="Times New Roman"/>
      <w:szCs w:val="24"/>
    </w:rPr>
  </w:style>
  <w:style w:type="paragraph" w:styleId="17">
    <w:name w:val="annotation text"/>
    <w:basedOn w:val="1"/>
    <w:link w:val="67"/>
    <w:semiHidden/>
    <w:unhideWhenUsed/>
    <w:qFormat/>
    <w:uiPriority w:val="0"/>
    <w:pPr>
      <w:jc w:val="left"/>
    </w:pPr>
  </w:style>
  <w:style w:type="paragraph" w:styleId="18">
    <w:name w:val="Body Text 3"/>
    <w:basedOn w:val="1"/>
    <w:link w:val="72"/>
    <w:qFormat/>
    <w:uiPriority w:val="0"/>
    <w:pPr>
      <w:spacing w:after="120"/>
    </w:pPr>
    <w:rPr>
      <w:rFonts w:ascii="Times New Roman" w:hAnsi="Times New Roman"/>
      <w:sz w:val="16"/>
      <w:szCs w:val="16"/>
    </w:r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68"/>
    <w:qFormat/>
    <w:uiPriority w:val="0"/>
    <w:pPr>
      <w:autoSpaceDE w:val="0"/>
      <w:autoSpaceDN w:val="0"/>
    </w:pPr>
    <w:rPr>
      <w:rFonts w:ascii="宋体" w:hAnsi="Times New Roman"/>
      <w:kern w:val="0"/>
      <w:sz w:val="34"/>
      <w:szCs w:val="20"/>
    </w:rPr>
  </w:style>
  <w:style w:type="paragraph" w:styleId="42">
    <w:name w:val="Body Text First Indent"/>
    <w:basedOn w:val="2"/>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5"/>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4"/>
    <w:qFormat/>
    <w:uiPriority w:val="0"/>
    <w:rPr>
      <w:rFonts w:ascii="Calibri" w:hAnsi="Calibri" w:eastAsia="宋体" w:cs="Times New Roman"/>
      <w:b/>
      <w:bCs/>
      <w:sz w:val="32"/>
      <w:szCs w:val="32"/>
    </w:rPr>
  </w:style>
  <w:style w:type="character" w:customStyle="1" w:styleId="60">
    <w:name w:val="标题 1 字符"/>
    <w:basedOn w:val="45"/>
    <w:link w:val="3"/>
    <w:qFormat/>
    <w:uiPriority w:val="0"/>
    <w:rPr>
      <w:rFonts w:ascii="宋体" w:hAnsi="宋体" w:eastAsia="黑体" w:cs="Times New Roman"/>
      <w:b/>
      <w:bCs/>
      <w:kern w:val="44"/>
      <w:sz w:val="28"/>
      <w:szCs w:val="44"/>
    </w:rPr>
  </w:style>
  <w:style w:type="character" w:customStyle="1" w:styleId="61">
    <w:name w:val="标题 4 字符"/>
    <w:basedOn w:val="45"/>
    <w:link w:val="6"/>
    <w:qFormat/>
    <w:uiPriority w:val="0"/>
    <w:rPr>
      <w:rFonts w:ascii="Arial" w:hAnsi="Arial" w:eastAsia="黑体" w:cs="Times New Roman"/>
      <w:b/>
      <w:bCs/>
      <w:sz w:val="28"/>
      <w:szCs w:val="28"/>
    </w:rPr>
  </w:style>
  <w:style w:type="character" w:customStyle="1" w:styleId="62">
    <w:name w:val="标题 5 字符"/>
    <w:basedOn w:val="45"/>
    <w:link w:val="7"/>
    <w:qFormat/>
    <w:uiPriority w:val="0"/>
    <w:rPr>
      <w:rFonts w:ascii="Times New Roman" w:hAnsi="Times New Roman" w:eastAsia="宋体" w:cs="Times New Roman"/>
      <w:b/>
      <w:sz w:val="28"/>
      <w:szCs w:val="20"/>
    </w:rPr>
  </w:style>
  <w:style w:type="character" w:customStyle="1" w:styleId="63">
    <w:name w:val="标题 6 字符"/>
    <w:basedOn w:val="45"/>
    <w:link w:val="9"/>
    <w:qFormat/>
    <w:uiPriority w:val="0"/>
    <w:rPr>
      <w:rFonts w:ascii="Arial" w:hAnsi="Arial" w:eastAsia="黑体" w:cs="Times New Roman"/>
      <w:b/>
      <w:sz w:val="24"/>
      <w:szCs w:val="20"/>
    </w:rPr>
  </w:style>
  <w:style w:type="character" w:customStyle="1" w:styleId="64">
    <w:name w:val="标题 7 字符"/>
    <w:basedOn w:val="45"/>
    <w:link w:val="10"/>
    <w:qFormat/>
    <w:uiPriority w:val="0"/>
    <w:rPr>
      <w:rFonts w:ascii="Times New Roman" w:hAnsi="Times New Roman" w:eastAsia="宋体" w:cs="Times New Roman"/>
      <w:b/>
      <w:sz w:val="24"/>
      <w:szCs w:val="20"/>
    </w:rPr>
  </w:style>
  <w:style w:type="character" w:customStyle="1" w:styleId="65">
    <w:name w:val="标题 8 字符"/>
    <w:basedOn w:val="45"/>
    <w:link w:val="11"/>
    <w:qFormat/>
    <w:uiPriority w:val="0"/>
    <w:rPr>
      <w:rFonts w:ascii="Arial" w:hAnsi="Arial" w:eastAsia="黑体" w:cs="Times New Roman"/>
      <w:sz w:val="24"/>
      <w:szCs w:val="20"/>
    </w:rPr>
  </w:style>
  <w:style w:type="character" w:customStyle="1" w:styleId="66">
    <w:name w:val="标题 9 字符"/>
    <w:basedOn w:val="45"/>
    <w:link w:val="12"/>
    <w:qFormat/>
    <w:uiPriority w:val="0"/>
    <w:rPr>
      <w:rFonts w:ascii="Arial" w:hAnsi="Arial" w:eastAsia="黑体" w:cs="Times New Roman"/>
      <w:szCs w:val="20"/>
    </w:rPr>
  </w:style>
  <w:style w:type="character" w:customStyle="1" w:styleId="67">
    <w:name w:val="批注文字 字符"/>
    <w:basedOn w:val="45"/>
    <w:link w:val="17"/>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2"/>
    <w:qFormat/>
    <w:uiPriority w:val="0"/>
    <w:rPr>
      <w:rFonts w:ascii="Calibri" w:hAnsi="Calibri" w:eastAsia="宋体" w:cs="Times New Roman"/>
      <w:szCs w:val="21"/>
    </w:rPr>
  </w:style>
  <w:style w:type="character" w:customStyle="1" w:styleId="70">
    <w:name w:val="正文文本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6"/>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8"/>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2"/>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3"/>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8"/>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8"/>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表段落 字符"/>
    <w:link w:val="56"/>
    <w:qFormat/>
    <w:uiPriority w:val="34"/>
    <w:rPr>
      <w:rFonts w:ascii="Calibri" w:hAnsi="Calibri"/>
      <w:kern w:val="2"/>
      <w:sz w:val="21"/>
      <w:szCs w:val="21"/>
    </w:rPr>
  </w:style>
  <w:style w:type="paragraph" w:customStyle="1" w:styleId="204">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10</Pages>
  <Words>1720</Words>
  <Characters>1771</Characters>
  <Lines>32</Lines>
  <Paragraphs>9</Paragraphs>
  <TotalTime>2</TotalTime>
  <ScaleCrop>false</ScaleCrop>
  <LinksUpToDate>false</LinksUpToDate>
  <CharactersWithSpaces>1771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2023-04-17T09:54:00Z</dcterms:created>
  <dc:creator>李刚</dc:creator>
  <cp:lastModifiedBy>WPS_1581317969</cp:lastModifiedBy>
  <cp:lastPrinted>2024-10-10T17:19:00Z</cp:lastPrinted>
  <dcterms:modified xsi:type="dcterms:W3CDTF">2025-10-13T06:26:11Z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F8121FAFC1B44F56AD2701DAF4287B8A_13</vt:lpwstr>
  </property>
  <property fmtid="{D5CDD505-2E9C-101B-9397-08002B2CF9AE}" pid="4" name="KSOTemplateDocerSaveRecord">
    <vt:lpwstr>eyJoZGlkIjoiOGRmMGMyYWZhMzAwZmYwNjRiNTdkZjE0YTNkZmZkMDEiLCJ1c2VySWQiOiI4MTY1ODEzMDIifQ==</vt:lpwstr>
  </property>
</Properties>
</file>