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8EEBF">
      <w:pPr>
        <w:adjustRightInd w:val="0"/>
        <w:snapToGrid w:val="0"/>
        <w:ind w:left="420" w:leftChars="200"/>
        <w:jc w:val="center"/>
        <w:rPr>
          <w:rFonts w:ascii="宋体" w:hAnsi="宋体" w:cs="Arial"/>
          <w:b/>
          <w:bCs/>
          <w:sz w:val="44"/>
          <w:szCs w:val="44"/>
        </w:rPr>
      </w:pPr>
      <w:bookmarkStart w:id="0" w:name="_GoBack"/>
    </w:p>
    <w:p w14:paraId="7AC451AD">
      <w:pPr>
        <w:adjustRightInd w:val="0"/>
        <w:snapToGrid w:val="0"/>
        <w:ind w:left="420" w:leftChars="200"/>
        <w:jc w:val="center"/>
        <w:rPr>
          <w:rFonts w:hint="eastAsia" w:ascii="宋体" w:hAnsi="宋体" w:cs="Arial"/>
          <w:b/>
          <w:bCs/>
          <w:sz w:val="52"/>
          <w:szCs w:val="52"/>
        </w:rPr>
      </w:pPr>
      <w:r>
        <w:rPr>
          <w:rFonts w:hint="eastAsia" w:ascii="宋体" w:hAnsi="宋体" w:cs="Arial"/>
          <w:b/>
          <w:bCs/>
          <w:sz w:val="52"/>
          <w:szCs w:val="52"/>
        </w:rPr>
        <w:t>深圳市重大科研平台制度体系设计和大型科研仪器自主攻关</w:t>
      </w:r>
    </w:p>
    <w:p w14:paraId="3DDBFF10">
      <w:pPr>
        <w:adjustRightInd w:val="0"/>
        <w:snapToGrid w:val="0"/>
        <w:ind w:left="420" w:leftChars="200"/>
        <w:jc w:val="center"/>
        <w:rPr>
          <w:rFonts w:hint="eastAsia" w:ascii="宋体" w:hAnsi="宋体" w:eastAsia="宋体" w:cs="Arial"/>
          <w:b/>
          <w:bCs/>
          <w:sz w:val="44"/>
          <w:szCs w:val="44"/>
          <w:lang w:eastAsia="zh-CN"/>
        </w:rPr>
      </w:pPr>
      <w:r>
        <w:rPr>
          <w:rFonts w:hint="eastAsia" w:ascii="宋体" w:hAnsi="宋体" w:cs="Arial"/>
          <w:b/>
          <w:bCs/>
          <w:sz w:val="52"/>
          <w:szCs w:val="52"/>
        </w:rPr>
        <w:t>项目谋划</w:t>
      </w:r>
      <w:r>
        <w:rPr>
          <w:rFonts w:hint="eastAsia" w:ascii="宋体" w:hAnsi="宋体" w:cs="Arial"/>
          <w:b/>
          <w:bCs/>
          <w:sz w:val="52"/>
          <w:szCs w:val="52"/>
          <w:lang w:val="en-US" w:eastAsia="zh-CN"/>
        </w:rPr>
        <w:t>预研项目</w:t>
      </w:r>
    </w:p>
    <w:p w14:paraId="0947285C">
      <w:pPr>
        <w:spacing w:line="360" w:lineRule="auto"/>
        <w:ind w:left="0" w:leftChars="0"/>
        <w:jc w:val="both"/>
        <w:rPr>
          <w:rFonts w:ascii="黑体" w:hAnsi="宋体" w:eastAsia="黑体"/>
          <w:b/>
          <w:bCs/>
          <w:sz w:val="32"/>
          <w:szCs w:val="32"/>
        </w:rPr>
      </w:pPr>
    </w:p>
    <w:p w14:paraId="425D2ABF">
      <w:pPr>
        <w:spacing w:line="360" w:lineRule="auto"/>
        <w:ind w:left="420" w:leftChars="200"/>
        <w:jc w:val="center"/>
        <w:rPr>
          <w:rFonts w:ascii="黑体" w:hAnsi="宋体" w:eastAsia="黑体"/>
          <w:b/>
          <w:bCs/>
          <w:sz w:val="32"/>
          <w:szCs w:val="32"/>
        </w:rPr>
      </w:pPr>
    </w:p>
    <w:p w14:paraId="7B1AE13D">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招</w:t>
      </w:r>
    </w:p>
    <w:p w14:paraId="3A09F11D">
      <w:pPr>
        <w:spacing w:before="156" w:beforeLines="50" w:after="156" w:afterLines="50" w:line="360" w:lineRule="auto"/>
        <w:jc w:val="center"/>
        <w:rPr>
          <w:rFonts w:ascii="黑体" w:hAnsi="宋体" w:eastAsia="黑体"/>
          <w:b/>
          <w:bCs/>
          <w:sz w:val="72"/>
          <w:szCs w:val="72"/>
        </w:rPr>
      </w:pPr>
    </w:p>
    <w:p w14:paraId="5F28EFB7">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标</w:t>
      </w:r>
    </w:p>
    <w:p w14:paraId="7E70BCD4">
      <w:pPr>
        <w:spacing w:before="156" w:beforeLines="50" w:after="156" w:afterLines="50" w:line="360" w:lineRule="auto"/>
        <w:jc w:val="center"/>
        <w:rPr>
          <w:rFonts w:ascii="黑体" w:hAnsi="宋体" w:eastAsia="黑体"/>
          <w:b/>
          <w:bCs/>
          <w:sz w:val="48"/>
          <w:szCs w:val="48"/>
        </w:rPr>
      </w:pPr>
    </w:p>
    <w:p w14:paraId="7A220801">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书</w:t>
      </w:r>
    </w:p>
    <w:bookmarkEnd w:id="0"/>
    <w:p w14:paraId="2A941AB1">
      <w:pPr>
        <w:spacing w:line="360" w:lineRule="auto"/>
        <w:ind w:left="0" w:leftChars="0"/>
        <w:jc w:val="both"/>
        <w:rPr>
          <w:rFonts w:ascii="方正小标宋简体" w:hAnsi="宋体" w:cs="Arial"/>
          <w:sz w:val="48"/>
          <w:szCs w:val="48"/>
        </w:rPr>
      </w:pPr>
    </w:p>
    <w:p w14:paraId="7F0D9BF9">
      <w:pPr>
        <w:spacing w:line="600" w:lineRule="exact"/>
        <w:jc w:val="center"/>
        <w:rPr>
          <w:rFonts w:ascii="宋体" w:hAnsi="宋体"/>
          <w:b/>
          <w:bCs/>
          <w:sz w:val="32"/>
          <w:szCs w:val="32"/>
        </w:rPr>
      </w:pPr>
      <w:r>
        <w:rPr>
          <w:rFonts w:hint="eastAsia" w:ascii="宋体" w:hAnsi="宋体"/>
          <w:b/>
          <w:bCs/>
          <w:sz w:val="32"/>
          <w:szCs w:val="32"/>
        </w:rPr>
        <w:t>深圳市发展和改革委员会</w:t>
      </w:r>
    </w:p>
    <w:p w14:paraId="4B84382B">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p w14:paraId="0DBE511C">
      <w:pPr>
        <w:widowControl/>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14:paraId="0C08C48E">
      <w:pPr>
        <w:adjustRightInd w:val="0"/>
        <w:snapToGrid w:val="0"/>
        <w:jc w:val="center"/>
        <w:rPr>
          <w:rFonts w:ascii="宋体" w:hAnsi="宋体" w:cs="Arial"/>
          <w:b/>
          <w:bCs/>
          <w:sz w:val="44"/>
          <w:szCs w:val="44"/>
        </w:rPr>
      </w:pPr>
    </w:p>
    <w:p w14:paraId="170C514B">
      <w:pPr>
        <w:adjustRightInd w:val="0"/>
        <w:snapToGrid w:val="0"/>
        <w:jc w:val="center"/>
        <w:rPr>
          <w:rFonts w:hint="eastAsia" w:ascii="宋体" w:hAnsi="宋体" w:cs="Arial"/>
          <w:b/>
          <w:bCs/>
          <w:sz w:val="44"/>
          <w:szCs w:val="44"/>
        </w:rPr>
      </w:pPr>
      <w:r>
        <w:rPr>
          <w:rFonts w:hint="eastAsia" w:ascii="宋体" w:hAnsi="宋体" w:cs="Arial"/>
          <w:b/>
          <w:bCs/>
          <w:sz w:val="44"/>
          <w:szCs w:val="44"/>
        </w:rPr>
        <w:t>深圳市重大科研平台制度体系设计和</w:t>
      </w:r>
    </w:p>
    <w:p w14:paraId="034EBB5A">
      <w:pPr>
        <w:adjustRightInd w:val="0"/>
        <w:snapToGrid w:val="0"/>
        <w:jc w:val="center"/>
        <w:rPr>
          <w:rFonts w:hint="eastAsia" w:ascii="宋体" w:hAnsi="宋体" w:cs="Arial"/>
          <w:b/>
          <w:bCs/>
          <w:sz w:val="44"/>
          <w:szCs w:val="44"/>
        </w:rPr>
      </w:pPr>
      <w:r>
        <w:rPr>
          <w:rFonts w:hint="eastAsia" w:ascii="宋体" w:hAnsi="宋体" w:cs="Arial"/>
          <w:b/>
          <w:bCs/>
          <w:sz w:val="44"/>
          <w:szCs w:val="44"/>
        </w:rPr>
        <w:t>大型科研仪器自主攻关项目</w:t>
      </w:r>
    </w:p>
    <w:p w14:paraId="56CB981A">
      <w:pPr>
        <w:adjustRightInd w:val="0"/>
        <w:snapToGrid w:val="0"/>
        <w:jc w:val="center"/>
        <w:rPr>
          <w:rFonts w:ascii="宋体" w:hAnsi="宋体" w:cs="Arial"/>
          <w:b/>
          <w:bCs/>
          <w:sz w:val="44"/>
          <w:szCs w:val="44"/>
        </w:rPr>
      </w:pPr>
      <w:r>
        <w:rPr>
          <w:rFonts w:hint="eastAsia" w:ascii="宋体" w:hAnsi="宋体" w:cs="Arial"/>
          <w:b/>
          <w:bCs/>
          <w:sz w:val="44"/>
          <w:szCs w:val="44"/>
        </w:rPr>
        <w:t>谋划预研项目招标文件</w:t>
      </w:r>
    </w:p>
    <w:p w14:paraId="381C9393">
      <w:pPr>
        <w:spacing w:before="156" w:beforeLines="50" w:after="156" w:afterLines="50" w:line="560" w:lineRule="exact"/>
        <w:ind w:firstLine="643" w:firstLineChars="200"/>
        <w:outlineLvl w:val="0"/>
        <w:rPr>
          <w:rFonts w:ascii="黑体" w:hAnsi="黑体" w:eastAsia="黑体"/>
          <w:b/>
          <w:bCs/>
          <w:sz w:val="32"/>
          <w:szCs w:val="32"/>
        </w:rPr>
      </w:pPr>
    </w:p>
    <w:p w14:paraId="34ED415A">
      <w:pPr>
        <w:adjustRightInd w:val="0"/>
        <w:snapToGrid w:val="0"/>
        <w:spacing w:line="560" w:lineRule="exact"/>
        <w:ind w:firstLine="640" w:firstLineChars="200"/>
        <w:outlineLvl w:val="0"/>
        <w:rPr>
          <w:rFonts w:ascii="黑体" w:hAnsi="黑体" w:eastAsia="黑体"/>
          <w:b w:val="0"/>
          <w:bCs/>
          <w:sz w:val="32"/>
          <w:szCs w:val="32"/>
          <w:highlight w:val="none"/>
        </w:rPr>
      </w:pPr>
      <w:r>
        <w:rPr>
          <w:rFonts w:hint="eastAsia" w:ascii="黑体" w:hAnsi="黑体" w:eastAsia="黑体"/>
          <w:b w:val="0"/>
          <w:bCs/>
          <w:sz w:val="32"/>
          <w:szCs w:val="32"/>
        </w:rPr>
        <w:t>一、项目概</w:t>
      </w:r>
      <w:r>
        <w:rPr>
          <w:rFonts w:hint="eastAsia" w:ascii="黑体" w:hAnsi="黑体" w:eastAsia="黑体"/>
          <w:b w:val="0"/>
          <w:bCs/>
          <w:sz w:val="32"/>
          <w:szCs w:val="32"/>
          <w:highlight w:val="none"/>
        </w:rPr>
        <w:t>况</w:t>
      </w:r>
    </w:p>
    <w:p w14:paraId="34B4F105">
      <w:pPr>
        <w:adjustRightInd w:val="0"/>
        <w:snapToGrid w:val="0"/>
        <w:spacing w:line="560" w:lineRule="exact"/>
        <w:ind w:firstLine="640" w:firstLineChars="200"/>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（一）项目名称：深圳市重大科研平台制度体系设计和大型科研仪器自主攻关项目谋划预研项目</w:t>
      </w:r>
    </w:p>
    <w:p w14:paraId="1C597F73">
      <w:pPr>
        <w:adjustRightInd w:val="0"/>
        <w:snapToGrid w:val="0"/>
        <w:spacing w:line="560" w:lineRule="exact"/>
        <w:ind w:firstLine="640" w:firstLineChars="200"/>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（二）服务期限：自合同签订之日起6个月</w:t>
      </w:r>
    </w:p>
    <w:p w14:paraId="32B25713">
      <w:pPr>
        <w:adjustRightInd w:val="0"/>
        <w:snapToGrid w:val="0"/>
        <w:spacing w:line="560" w:lineRule="exact"/>
        <w:ind w:firstLine="640" w:firstLineChars="200"/>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（三）项目预算：预算金额</w:t>
      </w:r>
      <w:r>
        <w:rPr>
          <w:rFonts w:hint="eastAsia" w:ascii="仿宋_GB2312" w:hAnsi="仿宋" w:eastAsia="仿宋_GB2312" w:cs="仿宋_GB2312"/>
          <w:sz w:val="32"/>
          <w:szCs w:val="32"/>
          <w:highlight w:val="none"/>
          <w:lang w:val="en-US" w:eastAsia="zh-CN"/>
        </w:rPr>
        <w:t>89</w:t>
      </w:r>
      <w:r>
        <w:rPr>
          <w:rFonts w:hint="eastAsia" w:ascii="仿宋_GB2312" w:hAnsi="仿宋" w:eastAsia="仿宋_GB2312" w:cs="仿宋_GB2312"/>
          <w:sz w:val="32"/>
          <w:szCs w:val="32"/>
          <w:highlight w:val="none"/>
        </w:rPr>
        <w:t>万元以下</w:t>
      </w:r>
    </w:p>
    <w:p w14:paraId="14B29298">
      <w:pPr>
        <w:adjustRightInd w:val="0"/>
        <w:snapToGrid w:val="0"/>
        <w:spacing w:line="560" w:lineRule="exact"/>
        <w:ind w:firstLine="640" w:firstLineChars="200"/>
        <w:outlineLvl w:val="0"/>
        <w:rPr>
          <w:rFonts w:ascii="黑体" w:hAnsi="黑体" w:eastAsia="黑体"/>
          <w:b w:val="0"/>
          <w:bCs/>
          <w:sz w:val="32"/>
          <w:szCs w:val="32"/>
          <w:highlight w:val="none"/>
        </w:rPr>
      </w:pPr>
      <w:r>
        <w:rPr>
          <w:rFonts w:hint="eastAsia" w:ascii="黑体" w:hAnsi="黑体" w:eastAsia="黑体"/>
          <w:b w:val="0"/>
          <w:bCs/>
          <w:sz w:val="32"/>
          <w:szCs w:val="32"/>
          <w:highlight w:val="none"/>
        </w:rPr>
        <w:t>二、项目内容</w:t>
      </w:r>
    </w:p>
    <w:p w14:paraId="382009B1">
      <w:pPr>
        <w:adjustRightInd w:val="0"/>
        <w:snapToGrid w:val="0"/>
        <w:spacing w:line="560" w:lineRule="exact"/>
        <w:ind w:firstLine="640" w:firstLineChars="200"/>
        <w:outlineLvl w:val="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一</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采用书面征询等</w:t>
      </w:r>
      <w:r>
        <w:rPr>
          <w:rFonts w:hint="eastAsia" w:ascii="仿宋" w:hAnsi="仿宋" w:eastAsia="仿宋" w:cs="仿宋_GB2312"/>
          <w:sz w:val="32"/>
          <w:szCs w:val="32"/>
          <w:highlight w:val="none"/>
          <w:lang w:val="en-US" w:eastAsia="zh-CN"/>
        </w:rPr>
        <w:t>多种方式</w:t>
      </w:r>
      <w:r>
        <w:rPr>
          <w:rFonts w:hint="eastAsia" w:ascii="仿宋" w:hAnsi="仿宋" w:eastAsia="仿宋" w:cs="仿宋_GB2312"/>
          <w:sz w:val="32"/>
          <w:szCs w:val="32"/>
          <w:highlight w:val="none"/>
        </w:rPr>
        <w:t>，调研分析北京怀柔、上海张江、浙江金华、重庆等重点城市区域，梳理分析国家重大科技基础设施、地方建设的重大科技基础设施以及前沿交叉研究平台等重大科研平台的谋划布局、建设管理、运行管理、开放共享等关键环节管理模式和机制方面的政策、法规等文件，总结重大科研平台布局建设、运行和对外开放情况及相关经验做法。</w:t>
      </w:r>
    </w:p>
    <w:p w14:paraId="0CA0773E">
      <w:pPr>
        <w:adjustRightInd w:val="0"/>
        <w:snapToGrid w:val="0"/>
        <w:spacing w:line="560" w:lineRule="exact"/>
        <w:ind w:firstLine="640" w:firstLineChars="200"/>
        <w:outlineLvl w:val="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二</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全面梳理深圳市现有重大科研平台布局建设整体情况，总结重大科研平台建设、运行、开放共享等方面己制定的相关政策、法规，调研现有重大科研平台主管部门及建设单位在平台管理、建设、运行、开放共享等方面的相关经验、诉求及存在问题，总结深圳市重大科研平台对推动科技产业创新发展的作用。</w:t>
      </w:r>
    </w:p>
    <w:p w14:paraId="56AAB095">
      <w:pPr>
        <w:adjustRightInd w:val="0"/>
        <w:snapToGrid w:val="0"/>
        <w:spacing w:line="560" w:lineRule="exact"/>
        <w:ind w:firstLine="640" w:firstLineChars="200"/>
        <w:outlineLvl w:val="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三</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围绕深圳市“20+8”产业集群重点发展方向，调研深圳市重点企业、高校、科研院所在科技产业方面对重大科研平台的需求情况，并同步征集支撑深圳市科技产业快速发展的重大科研平台项目。</w:t>
      </w:r>
    </w:p>
    <w:p w14:paraId="7E162F5D">
      <w:pPr>
        <w:adjustRightInd w:val="0"/>
        <w:snapToGrid w:val="0"/>
        <w:spacing w:line="560" w:lineRule="exact"/>
        <w:ind w:firstLine="640" w:firstLineChars="200"/>
        <w:outlineLvl w:val="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四</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参考国</w:t>
      </w:r>
      <w:r>
        <w:rPr>
          <w:rFonts w:hint="eastAsia" w:ascii="仿宋" w:hAnsi="仿宋" w:eastAsia="仿宋" w:cs="仿宋_GB2312"/>
          <w:sz w:val="32"/>
          <w:szCs w:val="32"/>
          <w:highlight w:val="none"/>
          <w:lang w:val="en-US" w:eastAsia="zh-CN"/>
        </w:rPr>
        <w:t>内</w:t>
      </w:r>
      <w:r>
        <w:rPr>
          <w:rFonts w:hint="eastAsia" w:ascii="仿宋" w:hAnsi="仿宋" w:eastAsia="仿宋" w:cs="仿宋_GB2312"/>
          <w:sz w:val="32"/>
          <w:szCs w:val="32"/>
          <w:highlight w:val="none"/>
        </w:rPr>
        <w:t>重点城市在重大科研平台布局建设、运行、开放共享等方面的有关政策、法规及相关经验做法，结合深圳市现有科研平台建设、运行管理情况，研提深圳市重大科研平台全生命周期管理机制及相关支持政策建议，明确平台建设相关方的责任分工、决策、建设、运行管理等程序。</w:t>
      </w:r>
    </w:p>
    <w:p w14:paraId="497EF317">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五</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结合深圳市科技产业发展实际和需求，以及现有重大科研平台建设情况，谋划布局一批支撑深圳市科技产业发展的大型科研仪器自主攻关项目。</w:t>
      </w:r>
    </w:p>
    <w:p w14:paraId="6B769CCF">
      <w:pPr>
        <w:adjustRightInd w:val="0"/>
        <w:snapToGrid w:val="0"/>
        <w:spacing w:line="560" w:lineRule="exact"/>
        <w:ind w:firstLine="640" w:firstLineChars="200"/>
        <w:outlineLvl w:val="0"/>
        <w:rPr>
          <w:rFonts w:ascii="黑体" w:hAnsi="黑体" w:eastAsia="黑体"/>
          <w:b w:val="0"/>
          <w:bCs/>
          <w:sz w:val="32"/>
          <w:szCs w:val="32"/>
          <w:highlight w:val="none"/>
        </w:rPr>
      </w:pPr>
      <w:r>
        <w:rPr>
          <w:rFonts w:hint="eastAsia" w:ascii="黑体" w:hAnsi="黑体" w:eastAsia="黑体"/>
          <w:b w:val="0"/>
          <w:bCs/>
          <w:sz w:val="32"/>
          <w:szCs w:val="32"/>
          <w:highlight w:val="none"/>
        </w:rPr>
        <w:t>三、项目技术要求</w:t>
      </w:r>
    </w:p>
    <w:p w14:paraId="7AE93F59">
      <w:pPr>
        <w:adjustRightInd w:val="0"/>
        <w:snapToGrid w:val="0"/>
        <w:spacing w:line="560" w:lineRule="exact"/>
        <w:ind w:firstLine="640" w:firstLineChars="200"/>
        <w:outlineLvl w:val="0"/>
        <w:rPr>
          <w:rFonts w:ascii="仿宋" w:hAnsi="仿宋" w:eastAsia="仿宋" w:cs="仿宋_GB2312"/>
          <w:sz w:val="32"/>
          <w:szCs w:val="32"/>
          <w:highlight w:val="none"/>
        </w:rPr>
      </w:pPr>
      <w:r>
        <w:rPr>
          <w:rFonts w:ascii="仿宋" w:hAnsi="仿宋" w:eastAsia="仿宋" w:cs="仿宋_GB2312"/>
          <w:sz w:val="32"/>
          <w:szCs w:val="32"/>
          <w:highlight w:val="none"/>
        </w:rPr>
        <w:t>（一）</w:t>
      </w:r>
      <w:r>
        <w:rPr>
          <w:rFonts w:hint="eastAsia" w:ascii="仿宋" w:hAnsi="仿宋" w:eastAsia="仿宋" w:cs="仿宋_GB2312"/>
          <w:sz w:val="32"/>
          <w:szCs w:val="32"/>
          <w:highlight w:val="none"/>
        </w:rPr>
        <w:t>项目成果应遵循国家颁布的有关法律、法规及政策要求，符合相关技术规范和标准。</w:t>
      </w:r>
    </w:p>
    <w:p w14:paraId="55AFDC95">
      <w:pPr>
        <w:adjustRightInd w:val="0"/>
        <w:snapToGrid w:val="0"/>
        <w:spacing w:line="560" w:lineRule="exact"/>
        <w:ind w:firstLine="640" w:firstLineChars="200"/>
        <w:outlineLvl w:val="0"/>
        <w:rPr>
          <w:rFonts w:ascii="仿宋" w:hAnsi="仿宋" w:eastAsia="仿宋" w:cs="仿宋_GB2312"/>
          <w:sz w:val="32"/>
          <w:szCs w:val="32"/>
        </w:rPr>
      </w:pPr>
      <w:r>
        <w:rPr>
          <w:rFonts w:ascii="仿宋" w:hAnsi="仿宋" w:eastAsia="仿宋" w:cs="仿宋_GB2312"/>
          <w:sz w:val="32"/>
          <w:szCs w:val="32"/>
        </w:rPr>
        <w:t>（二）</w:t>
      </w:r>
      <w:r>
        <w:rPr>
          <w:rFonts w:hint="eastAsia" w:ascii="仿宋" w:hAnsi="仿宋" w:eastAsia="仿宋" w:cs="仿宋_GB2312"/>
          <w:sz w:val="32"/>
          <w:szCs w:val="32"/>
        </w:rPr>
        <w:t>组建调研工作团队，其中具备博士研究生学历以上技能人才研究专家不少于3人。</w:t>
      </w:r>
    </w:p>
    <w:p w14:paraId="6346203A">
      <w:pPr>
        <w:adjustRightInd w:val="0"/>
        <w:snapToGrid w:val="0"/>
        <w:spacing w:line="560" w:lineRule="exact"/>
        <w:ind w:firstLine="640" w:firstLineChars="200"/>
        <w:outlineLvl w:val="0"/>
        <w:rPr>
          <w:rFonts w:ascii="仿宋" w:hAnsi="仿宋" w:eastAsia="仿宋" w:cs="仿宋_GB2312"/>
          <w:sz w:val="32"/>
          <w:szCs w:val="32"/>
        </w:rPr>
      </w:pPr>
      <w:r>
        <w:rPr>
          <w:rFonts w:ascii="仿宋" w:hAnsi="仿宋" w:eastAsia="仿宋" w:cs="仿宋_GB2312"/>
          <w:sz w:val="32"/>
          <w:szCs w:val="32"/>
        </w:rPr>
        <w:t>（三）</w:t>
      </w:r>
      <w:r>
        <w:rPr>
          <w:rFonts w:hint="eastAsia" w:ascii="仿宋" w:hAnsi="仿宋" w:eastAsia="仿宋" w:cs="仿宋_GB2312"/>
          <w:sz w:val="32"/>
          <w:szCs w:val="32"/>
        </w:rPr>
        <w:t>采取案头研究、现场调研、集中座谈、电话访谈、视频会议、专家咨询等方式开展分析研究国家重大科技基础设施、地方建设的重大科技基础设施以及前沿交叉研究平台等重大科研平台布局建设、运行和对外开放情况及相关经验做法</w:t>
      </w:r>
      <w:r>
        <w:rPr>
          <w:rFonts w:hint="eastAsia" w:ascii="仿宋" w:hAnsi="仿宋" w:eastAsia="仿宋" w:cs="仿宋_GB2312"/>
          <w:sz w:val="32"/>
          <w:szCs w:val="32"/>
          <w:lang w:eastAsia="zh-CN"/>
        </w:rPr>
        <w:t>。</w:t>
      </w:r>
    </w:p>
    <w:p w14:paraId="0749B4AC">
      <w:pPr>
        <w:adjustRightInd w:val="0"/>
        <w:snapToGrid w:val="0"/>
        <w:spacing w:line="560" w:lineRule="exact"/>
        <w:ind w:firstLine="640" w:firstLineChars="200"/>
        <w:outlineLvl w:val="0"/>
        <w:rPr>
          <w:rFonts w:ascii="仿宋" w:hAnsi="仿宋" w:eastAsia="仿宋" w:cs="仿宋_GB2312"/>
          <w:sz w:val="32"/>
          <w:szCs w:val="32"/>
          <w:highlight w:val="none"/>
        </w:rPr>
      </w:pPr>
      <w:r>
        <w:rPr>
          <w:rFonts w:ascii="仿宋" w:hAnsi="仿宋" w:eastAsia="仿宋" w:cs="仿宋_GB2312"/>
          <w:sz w:val="32"/>
          <w:szCs w:val="32"/>
        </w:rPr>
        <w:t>（四）</w:t>
      </w:r>
      <w:r>
        <w:rPr>
          <w:rFonts w:hint="eastAsia" w:ascii="仿宋" w:hAnsi="仿宋" w:eastAsia="仿宋" w:cs="仿宋_GB2312"/>
          <w:sz w:val="32"/>
          <w:szCs w:val="32"/>
        </w:rPr>
        <w:t>研究成果要具有前瞻性，面向未来、视野开阔；具有系统性，研究成果要体</w:t>
      </w:r>
      <w:r>
        <w:rPr>
          <w:rFonts w:hint="eastAsia" w:ascii="仿宋" w:hAnsi="仿宋" w:eastAsia="仿宋" w:cs="仿宋_GB2312"/>
          <w:sz w:val="32"/>
          <w:szCs w:val="32"/>
          <w:highlight w:val="none"/>
        </w:rPr>
        <w:t>系完整、内容全面、材料丰富；具有实用性，研究成果符合深圳实际，针对性和可操作性强。</w:t>
      </w:r>
    </w:p>
    <w:p w14:paraId="15271FF7">
      <w:pPr>
        <w:adjustRightInd w:val="0"/>
        <w:snapToGrid w:val="0"/>
        <w:spacing w:line="560" w:lineRule="exact"/>
        <w:ind w:firstLine="640" w:firstLineChars="200"/>
        <w:outlineLvl w:val="0"/>
        <w:rPr>
          <w:rFonts w:ascii="黑体" w:hAnsi="黑体" w:eastAsia="黑体"/>
          <w:b w:val="0"/>
          <w:bCs/>
          <w:sz w:val="32"/>
          <w:szCs w:val="32"/>
          <w:highlight w:val="none"/>
        </w:rPr>
      </w:pPr>
      <w:r>
        <w:rPr>
          <w:rFonts w:hint="eastAsia" w:ascii="黑体" w:hAnsi="黑体" w:eastAsia="黑体"/>
          <w:b w:val="0"/>
          <w:bCs/>
          <w:sz w:val="32"/>
          <w:szCs w:val="32"/>
          <w:highlight w:val="none"/>
        </w:rPr>
        <w:t>四、项目成果交付要求</w:t>
      </w:r>
    </w:p>
    <w:p w14:paraId="33920065">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rPr>
        <w:t>提交研究成果纸质版6份和电子版；形成汇报演示PPT文件，文件能够简明扼要介绍成果核心内容与主要结论。</w:t>
      </w:r>
    </w:p>
    <w:p w14:paraId="24C5BA8B">
      <w:pPr>
        <w:adjustRightInd w:val="0"/>
        <w:snapToGrid w:val="0"/>
        <w:spacing w:line="560" w:lineRule="exact"/>
        <w:ind w:firstLine="640" w:firstLineChars="200"/>
        <w:outlineLvl w:val="0"/>
        <w:rPr>
          <w:rFonts w:ascii="黑体" w:hAnsi="黑体" w:eastAsia="黑体"/>
          <w:b w:val="0"/>
          <w:bCs/>
          <w:sz w:val="32"/>
          <w:szCs w:val="32"/>
          <w:highlight w:val="none"/>
        </w:rPr>
      </w:pPr>
      <w:r>
        <w:rPr>
          <w:rFonts w:hint="eastAsia" w:ascii="黑体" w:hAnsi="黑体" w:eastAsia="黑体"/>
          <w:b w:val="0"/>
          <w:bCs/>
          <w:sz w:val="32"/>
          <w:szCs w:val="32"/>
          <w:highlight w:val="none"/>
        </w:rPr>
        <w:t>五、项目保密要求</w:t>
      </w:r>
    </w:p>
    <w:p w14:paraId="2305526D">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rPr>
        <w:t>中标人应当对其在项目开展过程中所知悉的国家秘密、商业秘密和技术秘密负有保密责任，建立并实施相应的保密措施，具体保密要求如下：</w:t>
      </w:r>
    </w:p>
    <w:p w14:paraId="08A39ADE">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rPr>
        <w:t>（一）中标人不得利用所获取、掌握的采购人及其他政府部门的任何保密内容从事采购人及其他政府部门授权工作以外的任何事情，不得披露、允许第三方使用。</w:t>
      </w:r>
    </w:p>
    <w:p w14:paraId="08D49146">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rPr>
        <w:t>（二）中标人按照采购人要求完成项目后，须立即将项目成果提交采购人存档，未经采购人许可，不得向第三方披露。</w:t>
      </w:r>
    </w:p>
    <w:p w14:paraId="1DD05856">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rPr>
        <w:t>（三）中标人应建立相应的保密制度，明确项目开展过程中各环节的保密性要求，确保相关资料和信息的保密性。</w:t>
      </w:r>
    </w:p>
    <w:p w14:paraId="2A5D6762">
      <w:pPr>
        <w:adjustRightInd w:val="0"/>
        <w:snapToGrid w:val="0"/>
        <w:spacing w:line="560" w:lineRule="exact"/>
        <w:ind w:firstLine="640" w:firstLineChars="200"/>
        <w:outlineLvl w:val="0"/>
        <w:rPr>
          <w:rFonts w:ascii="黑体" w:hAnsi="黑体" w:eastAsia="黑体"/>
          <w:b w:val="0"/>
          <w:bCs/>
          <w:sz w:val="32"/>
          <w:szCs w:val="32"/>
          <w:highlight w:val="none"/>
        </w:rPr>
      </w:pPr>
      <w:r>
        <w:rPr>
          <w:rFonts w:hint="eastAsia" w:ascii="黑体" w:hAnsi="黑体" w:eastAsia="黑体"/>
          <w:b w:val="0"/>
          <w:bCs/>
          <w:sz w:val="32"/>
          <w:szCs w:val="32"/>
          <w:highlight w:val="none"/>
        </w:rPr>
        <w:t>六、投标资格要求</w:t>
      </w:r>
    </w:p>
    <w:p w14:paraId="7C1008EE">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rPr>
        <w:t>（一）具有独立承担民事责任能力的在中华人民共和国境内注册的法人。</w:t>
      </w:r>
    </w:p>
    <w:p w14:paraId="0A0B9299">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rPr>
        <w:t>（二）投标人必须具备相关经营范围（咨询服务等），具备开展本项目研究的基本条件和研究能力。</w:t>
      </w:r>
    </w:p>
    <w:p w14:paraId="4F1DD590">
      <w:pPr>
        <w:adjustRightInd w:val="0"/>
        <w:snapToGrid w:val="0"/>
        <w:spacing w:line="560" w:lineRule="exact"/>
        <w:ind w:firstLine="640" w:firstLineChars="200"/>
        <w:outlineLvl w:val="0"/>
        <w:rPr>
          <w:rFonts w:ascii="仿宋" w:hAnsi="仿宋" w:eastAsia="仿宋" w:cs="仿宋_GB2312"/>
          <w:sz w:val="32"/>
          <w:szCs w:val="32"/>
          <w:highlight w:val="none"/>
        </w:rPr>
      </w:pPr>
      <w:r>
        <w:rPr>
          <w:rFonts w:hint="eastAsia" w:ascii="仿宋" w:hAnsi="仿宋" w:eastAsia="仿宋" w:cs="仿宋_GB2312"/>
          <w:sz w:val="32"/>
          <w:szCs w:val="32"/>
          <w:highlight w:val="none"/>
        </w:rPr>
        <w:t>（三）参加本次政府采购活动前3年内在经营活动中没有重大违法记录（提供声明函，格式自拟）。</w:t>
      </w:r>
    </w:p>
    <w:p w14:paraId="0119573E">
      <w:pPr>
        <w:adjustRightInd w:val="0"/>
        <w:snapToGrid w:val="0"/>
        <w:spacing w:line="560" w:lineRule="exact"/>
        <w:ind w:firstLine="640" w:firstLineChars="200"/>
        <w:outlineLvl w:val="0"/>
        <w:rPr>
          <w:rFonts w:ascii="黑体" w:hAnsi="黑体" w:eastAsia="黑体"/>
          <w:b w:val="0"/>
          <w:bCs/>
          <w:sz w:val="32"/>
          <w:szCs w:val="32"/>
          <w:highlight w:val="none"/>
        </w:rPr>
      </w:pPr>
      <w:r>
        <w:rPr>
          <w:rFonts w:hint="eastAsia" w:ascii="黑体" w:hAnsi="黑体" w:eastAsia="黑体"/>
          <w:b w:val="0"/>
          <w:bCs/>
          <w:sz w:val="32"/>
          <w:szCs w:val="32"/>
          <w:highlight w:val="none"/>
        </w:rPr>
        <w:t>七、投标时间、地点及联系人</w:t>
      </w:r>
    </w:p>
    <w:p w14:paraId="2E757E0F">
      <w:pPr>
        <w:pStyle w:val="38"/>
        <w:widowControl/>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（一）投标时间：202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日，每日上午9:00-12:00，下午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17：45</w:t>
      </w:r>
      <w:r>
        <w:rPr>
          <w:rFonts w:hint="eastAsia" w:ascii="仿宋_GB2312" w:hAnsi="仿宋_GB2312" w:eastAsia="仿宋_GB2312" w:cs="仿宋_GB2312"/>
          <w:sz w:val="32"/>
          <w:szCs w:val="32"/>
          <w:highlight w:val="none"/>
        </w:rPr>
        <w:t>（节假日除外）。逾期未投标将不再受理。</w:t>
      </w:r>
    </w:p>
    <w:p w14:paraId="7166A52E">
      <w:pPr>
        <w:pStyle w:val="38"/>
        <w:widowControl/>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（二）投标地点：深圳市福田区福中三路市民中心B区行政服务大厅2号市发展改革委卡座（可邮寄，以送达日期为投标日期）。</w:t>
      </w:r>
    </w:p>
    <w:p w14:paraId="74697299">
      <w:pPr>
        <w:adjustRightInd w:val="0"/>
        <w:snapToGrid w:val="0"/>
        <w:spacing w:line="560" w:lineRule="exact"/>
        <w:ind w:firstLine="640" w:firstLineChars="2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（三）联系人及联系方式：</w:t>
      </w:r>
      <w:r>
        <w:rPr>
          <w:rFonts w:hint="eastAsia" w:ascii="仿宋_GB2312" w:hAnsi="仿宋_GB2312" w:eastAsia="仿宋_GB2312" w:cs="仿宋_GB2312"/>
          <w:sz w:val="32"/>
          <w:szCs w:val="32"/>
          <w:highlight w:val="none"/>
          <w:lang w:eastAsia="zh-CN"/>
        </w:rPr>
        <w:t>黄</w:t>
      </w:r>
      <w:r>
        <w:rPr>
          <w:rFonts w:hint="eastAsia" w:ascii="仿宋_GB2312" w:hAnsi="仿宋_GB2312" w:eastAsia="仿宋_GB2312" w:cs="仿宋_GB2312"/>
          <w:sz w:val="32"/>
          <w:szCs w:val="32"/>
          <w:highlight w:val="none"/>
          <w:lang w:val="en-US" w:eastAsia="zh-CN"/>
        </w:rPr>
        <w:t>先生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z w:val="32"/>
          <w:szCs w:val="32"/>
          <w:highlight w:val="none"/>
        </w:rPr>
        <w:t>88125971。</w:t>
      </w:r>
    </w:p>
    <w:p w14:paraId="76E198BF">
      <w:pPr>
        <w:adjustRightInd w:val="0"/>
        <w:snapToGrid w:val="0"/>
        <w:spacing w:line="560" w:lineRule="exact"/>
        <w:ind w:firstLine="640" w:firstLineChars="200"/>
        <w:outlineLvl w:val="0"/>
        <w:rPr>
          <w:rFonts w:ascii="黑体" w:hAnsi="黑体" w:eastAsia="黑体"/>
          <w:b w:val="0"/>
          <w:bCs/>
          <w:sz w:val="32"/>
          <w:szCs w:val="32"/>
          <w:highlight w:val="none"/>
        </w:rPr>
      </w:pPr>
      <w:r>
        <w:rPr>
          <w:rFonts w:hint="eastAsia" w:ascii="黑体" w:hAnsi="黑体" w:eastAsia="黑体"/>
          <w:b w:val="0"/>
          <w:bCs/>
          <w:sz w:val="32"/>
          <w:szCs w:val="32"/>
          <w:highlight w:val="none"/>
        </w:rPr>
        <w:t>八、投标文件递交内容</w:t>
      </w:r>
    </w:p>
    <w:p w14:paraId="14490504">
      <w:pPr>
        <w:adjustRightInd w:val="0"/>
        <w:snapToGrid w:val="0"/>
        <w:spacing w:line="560" w:lineRule="exact"/>
        <w:ind w:firstLine="640" w:firstLineChars="200"/>
        <w:outlineLvl w:val="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（一）投标单位简介、投标人营业执照及相关证照（提供加盖公章的复印件，原件备查）。</w:t>
      </w:r>
    </w:p>
    <w:p w14:paraId="6EB09C61">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highlight w:val="none"/>
        </w:rPr>
        <w:t>（二）法定代表人证明书及授权委托书</w:t>
      </w:r>
      <w:r>
        <w:rPr>
          <w:rFonts w:hint="eastAsia" w:ascii="仿宋" w:hAnsi="仿宋" w:eastAsia="仿宋" w:cs="仿宋_GB2312"/>
          <w:sz w:val="32"/>
          <w:szCs w:val="32"/>
        </w:rPr>
        <w:t>（原件加盖公章）。</w:t>
      </w:r>
    </w:p>
    <w:p w14:paraId="76B7C85D">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14:paraId="705FA85C">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（四）项目方案及报价单（原件加盖公章）。</w:t>
      </w:r>
    </w:p>
    <w:p w14:paraId="679865E4">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14:paraId="66E78B5A">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14:paraId="5389FA2E">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（七）投标及履约承诺函原件（格式见附件）。</w:t>
      </w:r>
    </w:p>
    <w:p w14:paraId="4750C690">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14:paraId="59C61CF0">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（九）综合评分表要求提供的材料，以及投标人认为有必要提供的其它材料。</w:t>
      </w:r>
    </w:p>
    <w:p w14:paraId="009C239D">
      <w:pPr>
        <w:adjustRightInd w:val="0"/>
        <w:snapToGrid w:val="0"/>
        <w:spacing w:line="560" w:lineRule="exact"/>
        <w:ind w:firstLine="640" w:firstLineChars="200"/>
        <w:outlineLvl w:val="0"/>
        <w:rPr>
          <w:rFonts w:hint="eastAsia" w:ascii="黑体" w:hAnsi="黑体" w:eastAsia="黑体"/>
          <w:b w:val="0"/>
          <w:bCs/>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14:paraId="5F8CF650">
      <w:pPr>
        <w:adjustRightInd w:val="0"/>
        <w:snapToGrid w:val="0"/>
        <w:spacing w:line="560" w:lineRule="exact"/>
        <w:ind w:firstLine="640" w:firstLineChars="200"/>
        <w:outlineLvl w:val="0"/>
        <w:rPr>
          <w:rFonts w:ascii="黑体" w:hAnsi="黑体" w:eastAsia="黑体"/>
          <w:b w:val="0"/>
          <w:bCs/>
          <w:sz w:val="32"/>
          <w:szCs w:val="32"/>
        </w:rPr>
      </w:pPr>
      <w:r>
        <w:rPr>
          <w:rFonts w:hint="eastAsia" w:ascii="黑体" w:hAnsi="黑体" w:eastAsia="黑体"/>
          <w:b w:val="0"/>
          <w:bCs/>
          <w:sz w:val="32"/>
          <w:szCs w:val="32"/>
        </w:rPr>
        <w:t>九、重要提示</w:t>
      </w:r>
    </w:p>
    <w:p w14:paraId="6A04C5B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14:paraId="3F7D5B99">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14:paraId="66668930">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14:paraId="39FF98F9">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14:paraId="04C41679">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14:paraId="385264A4">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14:paraId="071DF825">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14:paraId="76C62D3D">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5B3A484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14:paraId="0FF93A09">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（九）法律、法规规定的其他情形。</w:t>
      </w:r>
    </w:p>
    <w:p w14:paraId="3EA58576">
      <w:pPr>
        <w:adjustRightInd w:val="0"/>
        <w:snapToGrid w:val="0"/>
        <w:spacing w:line="560" w:lineRule="exact"/>
        <w:ind w:firstLine="640" w:firstLineChars="200"/>
        <w:outlineLvl w:val="0"/>
        <w:rPr>
          <w:rFonts w:ascii="黑体" w:hAnsi="黑体" w:eastAsia="黑体"/>
          <w:b w:val="0"/>
          <w:bCs/>
          <w:sz w:val="32"/>
          <w:szCs w:val="32"/>
        </w:rPr>
      </w:pPr>
      <w:r>
        <w:rPr>
          <w:rFonts w:hint="eastAsia" w:ascii="黑体" w:hAnsi="黑体" w:eastAsia="黑体"/>
          <w:b w:val="0"/>
          <w:bCs/>
          <w:sz w:val="32"/>
          <w:szCs w:val="32"/>
        </w:rPr>
        <w:t>十、评标方法</w:t>
      </w:r>
    </w:p>
    <w:p w14:paraId="644E904D">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14:paraId="00C62A53">
      <w:pPr>
        <w:spacing w:before="156" w:beforeLines="50" w:after="156" w:afterLines="50"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14:paraId="5C6751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14:paraId="30ACA5C6">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14:paraId="1634B30D">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14:paraId="29029C17">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14:paraId="1C9FD037">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14:paraId="0E104B72">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14:paraId="75D200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14:paraId="047797F6">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14:paraId="6D68BD23">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14:paraId="256A0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087FAB16">
            <w:pPr>
              <w:numPr>
                <w:ilvl w:val="0"/>
                <w:numId w:val="5"/>
              </w:numPr>
              <w:jc w:val="right"/>
              <w:rPr>
                <w:rFonts w:ascii="宋体" w:hAnsi="宋体"/>
                <w:sz w:val="22"/>
                <w:szCs w:val="24"/>
              </w:rPr>
            </w:pPr>
          </w:p>
        </w:tc>
        <w:tc>
          <w:tcPr>
            <w:tcW w:w="1202" w:type="dxa"/>
            <w:vAlign w:val="center"/>
          </w:tcPr>
          <w:p w14:paraId="41309EDB">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14:paraId="6A97FF53">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2F6FADFD">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投标人应当提供项目实施方案，提供得15%，不提供得0%。</w:t>
            </w:r>
          </w:p>
          <w:p w14:paraId="309B0EBC">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在此基础上，考察以下方面：</w:t>
            </w:r>
          </w:p>
          <w:p w14:paraId="32BDB8BB">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（1）实施方案内容是否具体；</w:t>
            </w:r>
          </w:p>
          <w:p w14:paraId="43618DAA">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（2）实施方案内容是否合理；</w:t>
            </w:r>
          </w:p>
          <w:p w14:paraId="64A5F6E2">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（3）实施方案内容呈现出的对重大科技基础设施以及前沿交叉研究平台等重大科研平台相关情况的熟悉程度；</w:t>
            </w:r>
          </w:p>
          <w:p w14:paraId="792B0B69">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（4）实施方案内容是否具有可操作性；</w:t>
            </w:r>
          </w:p>
          <w:p w14:paraId="425F6055">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以上内容进行分档评审：</w:t>
            </w:r>
          </w:p>
          <w:p w14:paraId="701605A0">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1.评价为优（实施方案具体、合理，对重大科研平台相关情况熟悉，可操作性强），得85%；</w:t>
            </w:r>
          </w:p>
          <w:p w14:paraId="30D9D9F3">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评价为良（实施方案具体、合理，对重大科研平台相关情况较为熟悉，可操作性较强），得65%；</w:t>
            </w:r>
          </w:p>
          <w:p w14:paraId="38136E32">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评价为中（实施方案具体、合理，对重大科研平台相关情况熟悉程度一般，可操作性一般），得45%；</w:t>
            </w:r>
          </w:p>
          <w:p w14:paraId="6E25C48D">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评价为差（实施方案不完善，对重大科研平台相关情况不熟悉，不具备可操作性），不得分。</w:t>
            </w:r>
          </w:p>
        </w:tc>
        <w:tc>
          <w:tcPr>
            <w:tcW w:w="850" w:type="dxa"/>
            <w:tcBorders>
              <w:right w:val="single" w:color="auto" w:sz="4" w:space="0"/>
            </w:tcBorders>
            <w:vAlign w:val="center"/>
          </w:tcPr>
          <w:p w14:paraId="0C341FB6">
            <w:pPr>
              <w:jc w:val="center"/>
              <w:rPr>
                <w:rFonts w:ascii="宋体" w:hAnsi="宋体"/>
                <w:sz w:val="22"/>
                <w:szCs w:val="24"/>
              </w:rPr>
            </w:pPr>
            <w:r>
              <w:rPr>
                <w:rFonts w:hint="eastAsia" w:ascii="宋体" w:hAnsi="宋体"/>
                <w:sz w:val="22"/>
                <w:szCs w:val="24"/>
              </w:rPr>
              <w:t>20</w:t>
            </w:r>
          </w:p>
        </w:tc>
        <w:tc>
          <w:tcPr>
            <w:tcW w:w="851" w:type="dxa"/>
            <w:tcBorders>
              <w:left w:val="single" w:color="auto" w:sz="4" w:space="0"/>
            </w:tcBorders>
            <w:vAlign w:val="center"/>
          </w:tcPr>
          <w:p w14:paraId="011D92E9">
            <w:pPr>
              <w:jc w:val="center"/>
              <w:rPr>
                <w:rFonts w:ascii="宋体" w:hAnsi="宋体"/>
                <w:sz w:val="22"/>
                <w:szCs w:val="24"/>
              </w:rPr>
            </w:pPr>
            <w:r>
              <w:rPr>
                <w:rFonts w:hint="eastAsia" w:ascii="宋体" w:hAnsi="宋体"/>
                <w:sz w:val="22"/>
                <w:szCs w:val="24"/>
              </w:rPr>
              <w:t>20</w:t>
            </w:r>
          </w:p>
        </w:tc>
      </w:tr>
      <w:tr w14:paraId="304C33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39B2328C">
            <w:pPr>
              <w:numPr>
                <w:ilvl w:val="0"/>
                <w:numId w:val="5"/>
              </w:numPr>
              <w:jc w:val="right"/>
              <w:rPr>
                <w:rFonts w:ascii="宋体" w:hAnsi="宋体"/>
                <w:sz w:val="22"/>
                <w:szCs w:val="24"/>
              </w:rPr>
            </w:pPr>
          </w:p>
        </w:tc>
        <w:tc>
          <w:tcPr>
            <w:tcW w:w="1202" w:type="dxa"/>
            <w:vAlign w:val="center"/>
          </w:tcPr>
          <w:p w14:paraId="30D7A4ED">
            <w:pPr>
              <w:spacing w:line="300" w:lineRule="exact"/>
              <w:jc w:val="center"/>
              <w:rPr>
                <w:rFonts w:ascii="宋体" w:hAnsi="宋体"/>
                <w:sz w:val="22"/>
                <w:szCs w:val="24"/>
              </w:rPr>
            </w:pPr>
            <w:r>
              <w:rPr>
                <w:rFonts w:hint="eastAsia" w:ascii="宋体" w:hAnsi="宋体"/>
                <w:sz w:val="22"/>
                <w:szCs w:val="24"/>
              </w:rPr>
              <w:t>项目重难点分析及应对措施</w:t>
            </w:r>
          </w:p>
        </w:tc>
        <w:tc>
          <w:tcPr>
            <w:tcW w:w="4678" w:type="dxa"/>
          </w:tcPr>
          <w:p w14:paraId="2D3EB188">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303F14C7">
            <w:pPr>
              <w:spacing w:line="300" w:lineRule="exact"/>
              <w:jc w:val="left"/>
              <w:rPr>
                <w:rFonts w:ascii="宋体" w:hAnsi="宋体" w:cs="宋体"/>
                <w:kern w:val="0"/>
                <w:sz w:val="22"/>
                <w:szCs w:val="24"/>
              </w:rPr>
            </w:pPr>
            <w:r>
              <w:rPr>
                <w:rFonts w:hint="eastAsia" w:ascii="宋体" w:hAnsi="宋体" w:cs="宋体"/>
                <w:kern w:val="0"/>
                <w:sz w:val="22"/>
                <w:szCs w:val="24"/>
              </w:rPr>
              <w:t>投标人应当提供项目重难点分析和相关应对措施，提供得30%，不提供不得分。</w:t>
            </w:r>
          </w:p>
          <w:p w14:paraId="690678FB">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在此基础上，考察以下方面：</w:t>
            </w:r>
          </w:p>
          <w:p w14:paraId="1C588165">
            <w:pPr>
              <w:spacing w:line="300" w:lineRule="exact"/>
              <w:jc w:val="left"/>
              <w:rPr>
                <w:rFonts w:ascii="宋体" w:hAnsi="宋体" w:cs="宋体"/>
                <w:kern w:val="0"/>
                <w:sz w:val="22"/>
                <w:szCs w:val="24"/>
              </w:rPr>
            </w:pPr>
            <w:r>
              <w:rPr>
                <w:rFonts w:hint="eastAsia" w:ascii="宋体" w:hAnsi="宋体" w:cs="宋体"/>
                <w:kern w:val="0"/>
                <w:sz w:val="22"/>
                <w:szCs w:val="24"/>
              </w:rPr>
              <w:t>（1）重难点分析及应对措施是否具体、科学、合理；</w:t>
            </w:r>
          </w:p>
          <w:p w14:paraId="367EE22C">
            <w:pPr>
              <w:spacing w:line="300" w:lineRule="exact"/>
              <w:jc w:val="left"/>
              <w:rPr>
                <w:rFonts w:ascii="宋体" w:hAnsi="宋体" w:cs="宋体"/>
                <w:kern w:val="0"/>
                <w:sz w:val="22"/>
                <w:szCs w:val="24"/>
              </w:rPr>
            </w:pPr>
            <w:r>
              <w:rPr>
                <w:rFonts w:hint="eastAsia" w:ascii="宋体" w:hAnsi="宋体" w:cs="宋体"/>
                <w:kern w:val="0"/>
                <w:sz w:val="22"/>
                <w:szCs w:val="24"/>
              </w:rPr>
              <w:t>（2）重难点分析及应对措施是否具备针对性和可操作性；</w:t>
            </w:r>
          </w:p>
          <w:p w14:paraId="4C8113A9">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以上内容进行分档评审：</w:t>
            </w:r>
          </w:p>
          <w:p w14:paraId="716F6397">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1.评价为优（重难点分析及应对措施具体、科学、合理，针对性和可操作性强），得70%；</w:t>
            </w:r>
          </w:p>
          <w:p w14:paraId="3202E20C">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评价为良（重难点分析及应对措施具体、科学、合理，针对性和可操作性较强），得50%；</w:t>
            </w:r>
          </w:p>
          <w:p w14:paraId="1B055DBF">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评价为中（重难点分析及应对措施具体、科学、合理，针对性和可操作性一般），得30%；</w:t>
            </w:r>
          </w:p>
          <w:p w14:paraId="30ED6643">
            <w:pPr>
              <w:spacing w:line="300" w:lineRule="exact"/>
              <w:jc w:val="left"/>
              <w:rPr>
                <w:rFonts w:ascii="宋体" w:hAnsi="宋体" w:cs="宋体"/>
                <w:b/>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评价为差（重难点分析及应对措施不完善），不得分。</w:t>
            </w:r>
          </w:p>
        </w:tc>
        <w:tc>
          <w:tcPr>
            <w:tcW w:w="850" w:type="dxa"/>
            <w:tcBorders>
              <w:right w:val="single" w:color="auto" w:sz="4" w:space="0"/>
            </w:tcBorders>
            <w:vAlign w:val="center"/>
          </w:tcPr>
          <w:p w14:paraId="40F39418">
            <w:pPr>
              <w:jc w:val="center"/>
              <w:rPr>
                <w:rFonts w:ascii="宋体" w:hAnsi="宋体"/>
                <w:sz w:val="22"/>
                <w:szCs w:val="24"/>
              </w:rPr>
            </w:pPr>
            <w:r>
              <w:rPr>
                <w:rFonts w:hint="eastAsia" w:ascii="宋体" w:hAnsi="宋体"/>
                <w:sz w:val="22"/>
                <w:szCs w:val="24"/>
              </w:rPr>
              <w:t>10</w:t>
            </w:r>
          </w:p>
        </w:tc>
        <w:tc>
          <w:tcPr>
            <w:tcW w:w="851" w:type="dxa"/>
            <w:tcBorders>
              <w:left w:val="single" w:color="auto" w:sz="4" w:space="0"/>
            </w:tcBorders>
            <w:vAlign w:val="center"/>
          </w:tcPr>
          <w:p w14:paraId="6487F9FF">
            <w:pPr>
              <w:jc w:val="center"/>
              <w:rPr>
                <w:rFonts w:ascii="宋体" w:hAnsi="宋体"/>
                <w:sz w:val="22"/>
                <w:szCs w:val="24"/>
              </w:rPr>
            </w:pPr>
            <w:r>
              <w:rPr>
                <w:rFonts w:hint="eastAsia" w:ascii="宋体" w:hAnsi="宋体"/>
                <w:sz w:val="22"/>
                <w:szCs w:val="24"/>
              </w:rPr>
              <w:t>10</w:t>
            </w:r>
          </w:p>
        </w:tc>
      </w:tr>
      <w:tr w14:paraId="5263D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558D26C0">
            <w:pPr>
              <w:numPr>
                <w:ilvl w:val="0"/>
                <w:numId w:val="5"/>
              </w:numPr>
              <w:jc w:val="right"/>
              <w:rPr>
                <w:rFonts w:ascii="宋体" w:hAnsi="宋体"/>
                <w:sz w:val="22"/>
                <w:szCs w:val="24"/>
              </w:rPr>
            </w:pPr>
          </w:p>
        </w:tc>
        <w:tc>
          <w:tcPr>
            <w:tcW w:w="1202" w:type="dxa"/>
            <w:vAlign w:val="center"/>
          </w:tcPr>
          <w:p w14:paraId="0A21DD7D">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14:paraId="162C60DC">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14:paraId="002B2B84">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14:paraId="79BA2C57">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14:paraId="0274EA1A">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14:paraId="5B2081F8">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14:paraId="0A77B7C8">
            <w:pPr>
              <w:jc w:val="center"/>
              <w:rPr>
                <w:rFonts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14:paraId="7FC53ED0">
            <w:pPr>
              <w:jc w:val="center"/>
              <w:rPr>
                <w:rFonts w:ascii="宋体" w:hAnsi="宋体"/>
                <w:sz w:val="22"/>
                <w:szCs w:val="24"/>
              </w:rPr>
            </w:pPr>
            <w:r>
              <w:rPr>
                <w:rFonts w:hint="eastAsia" w:ascii="宋体" w:hAnsi="宋体"/>
                <w:sz w:val="22"/>
                <w:szCs w:val="24"/>
              </w:rPr>
              <w:t>5</w:t>
            </w:r>
          </w:p>
        </w:tc>
      </w:tr>
      <w:tr w14:paraId="0CB00B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14:paraId="663F6309">
            <w:pPr>
              <w:numPr>
                <w:ilvl w:val="0"/>
                <w:numId w:val="5"/>
              </w:numPr>
              <w:jc w:val="right"/>
              <w:rPr>
                <w:rFonts w:ascii="宋体" w:hAnsi="宋体"/>
                <w:sz w:val="22"/>
                <w:szCs w:val="24"/>
              </w:rPr>
            </w:pPr>
          </w:p>
        </w:tc>
        <w:tc>
          <w:tcPr>
            <w:tcW w:w="1202" w:type="dxa"/>
            <w:vAlign w:val="center"/>
          </w:tcPr>
          <w:p w14:paraId="50099929">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14:paraId="2AE9E2B5">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14:paraId="123B5CBD">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14:paraId="417032B5">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14:paraId="339C0004">
            <w:pPr>
              <w:jc w:val="center"/>
              <w:rPr>
                <w:rFonts w:ascii="宋体" w:hAnsi="宋体"/>
                <w:sz w:val="22"/>
                <w:szCs w:val="24"/>
              </w:rPr>
            </w:pPr>
            <w:r>
              <w:rPr>
                <w:rFonts w:ascii="宋体" w:hAnsi="宋体"/>
                <w:sz w:val="22"/>
                <w:szCs w:val="24"/>
              </w:rPr>
              <w:t>5</w:t>
            </w:r>
          </w:p>
        </w:tc>
      </w:tr>
      <w:tr w14:paraId="619BAD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2C7C3A4C">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14:paraId="50737F5A">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（合计5</w:t>
            </w:r>
            <w:r>
              <w:rPr>
                <w:rFonts w:ascii="宋体" w:hAnsi="宋体"/>
                <w:b/>
                <w:sz w:val="22"/>
                <w:szCs w:val="24"/>
              </w:rPr>
              <w:t>5</w:t>
            </w:r>
            <w:r>
              <w:rPr>
                <w:rFonts w:hint="eastAsia" w:ascii="宋体" w:hAnsi="宋体"/>
                <w:b/>
                <w:sz w:val="22"/>
                <w:szCs w:val="24"/>
              </w:rPr>
              <w:t>分）</w:t>
            </w:r>
          </w:p>
        </w:tc>
      </w:tr>
      <w:tr w14:paraId="06782B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3133DA6E">
            <w:pPr>
              <w:numPr>
                <w:ilvl w:val="0"/>
                <w:numId w:val="6"/>
              </w:numPr>
              <w:jc w:val="center"/>
              <w:rPr>
                <w:rFonts w:ascii="宋体" w:hAnsi="宋体"/>
                <w:sz w:val="22"/>
                <w:szCs w:val="24"/>
              </w:rPr>
            </w:pPr>
          </w:p>
        </w:tc>
        <w:tc>
          <w:tcPr>
            <w:tcW w:w="1202" w:type="dxa"/>
            <w:vAlign w:val="center"/>
          </w:tcPr>
          <w:p w14:paraId="275357DD">
            <w:pPr>
              <w:spacing w:line="300" w:lineRule="exact"/>
              <w:jc w:val="center"/>
              <w:rPr>
                <w:rFonts w:ascii="宋体" w:hAnsi="宋体"/>
                <w:sz w:val="22"/>
                <w:szCs w:val="24"/>
              </w:rPr>
            </w:pPr>
            <w:r>
              <w:rPr>
                <w:rFonts w:hint="eastAsia" w:ascii="宋体" w:hAnsi="宋体"/>
                <w:sz w:val="22"/>
                <w:szCs w:val="24"/>
              </w:rPr>
              <w:t>投标人经验</w:t>
            </w:r>
          </w:p>
        </w:tc>
        <w:tc>
          <w:tcPr>
            <w:tcW w:w="4678" w:type="dxa"/>
          </w:tcPr>
          <w:p w14:paraId="290EAA8C">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4C1AAE92">
            <w:pPr>
              <w:spacing w:line="300" w:lineRule="exact"/>
              <w:rPr>
                <w:rFonts w:ascii="宋体" w:hAnsi="宋体" w:cs="宋体"/>
                <w:kern w:val="0"/>
                <w:sz w:val="22"/>
                <w:szCs w:val="24"/>
              </w:rPr>
            </w:pPr>
            <w:r>
              <w:rPr>
                <w:rFonts w:hint="eastAsia" w:ascii="宋体" w:hAnsi="宋体" w:cs="宋体"/>
                <w:kern w:val="0"/>
                <w:sz w:val="22"/>
                <w:szCs w:val="24"/>
              </w:rPr>
              <w:t>投标人近5年（本项目开标之日往前5年，以合同签订日期为准）：</w:t>
            </w:r>
          </w:p>
          <w:p w14:paraId="77DF8C88">
            <w:pPr>
              <w:spacing w:line="300" w:lineRule="exact"/>
              <w:rPr>
                <w:rFonts w:ascii="宋体" w:hAnsi="宋体" w:cs="宋体"/>
                <w:kern w:val="0"/>
                <w:sz w:val="22"/>
                <w:szCs w:val="24"/>
              </w:rPr>
            </w:pPr>
            <w:r>
              <w:rPr>
                <w:rFonts w:hint="eastAsia" w:ascii="宋体" w:hAnsi="宋体" w:cs="宋体"/>
                <w:kern w:val="0"/>
                <w:sz w:val="22"/>
                <w:szCs w:val="24"/>
              </w:rPr>
              <w:t>（1）承担过国家级课题研究的，每提供1个，得20%，满分40%；</w:t>
            </w:r>
          </w:p>
          <w:p w14:paraId="7BDCE095">
            <w:pPr>
              <w:spacing w:line="300" w:lineRule="exact"/>
              <w:rPr>
                <w:rFonts w:ascii="宋体" w:hAnsi="宋体" w:cs="宋体"/>
                <w:kern w:val="0"/>
                <w:sz w:val="22"/>
                <w:szCs w:val="24"/>
              </w:rPr>
            </w:pPr>
            <w:r>
              <w:rPr>
                <w:rFonts w:hint="eastAsia" w:ascii="宋体" w:hAnsi="宋体" w:cs="宋体"/>
                <w:kern w:val="0"/>
                <w:sz w:val="22"/>
                <w:szCs w:val="24"/>
              </w:rPr>
              <w:t xml:space="preserve">（2）承担过市级课题研究的，每提供1个，得15%，满分60%； </w:t>
            </w:r>
          </w:p>
          <w:p w14:paraId="087A31F1">
            <w:pPr>
              <w:spacing w:line="300" w:lineRule="exact"/>
              <w:rPr>
                <w:rFonts w:ascii="宋体" w:hAnsi="宋体" w:cs="宋体"/>
                <w:kern w:val="0"/>
                <w:sz w:val="22"/>
                <w:szCs w:val="24"/>
                <w:highlight w:val="yellow"/>
              </w:rPr>
            </w:pPr>
            <w:r>
              <w:rPr>
                <w:rFonts w:hint="eastAsia" w:ascii="宋体" w:hAnsi="宋体" w:cs="宋体"/>
                <w:kern w:val="0"/>
                <w:sz w:val="22"/>
                <w:szCs w:val="24"/>
              </w:rPr>
              <w:t>若同一项目满足上述两项要求的，不可重复计分。</w:t>
            </w:r>
          </w:p>
          <w:p w14:paraId="67D70157">
            <w:pPr>
              <w:spacing w:line="300" w:lineRule="exact"/>
              <w:rPr>
                <w:rFonts w:ascii="宋体" w:hAnsi="宋体" w:cs="宋体"/>
                <w:kern w:val="0"/>
                <w:sz w:val="22"/>
                <w:szCs w:val="24"/>
              </w:rPr>
            </w:pPr>
            <w:r>
              <w:rPr>
                <w:rFonts w:hint="eastAsia" w:ascii="宋体" w:hAnsi="宋体" w:cs="宋体"/>
                <w:kern w:val="0"/>
                <w:sz w:val="22"/>
                <w:szCs w:val="24"/>
              </w:rPr>
              <w:t xml:space="preserve">（二）评分依据： </w:t>
            </w:r>
          </w:p>
          <w:p w14:paraId="48D1610B">
            <w:pPr>
              <w:spacing w:line="300" w:lineRule="exact"/>
              <w:rPr>
                <w:rFonts w:ascii="宋体" w:hAnsi="宋体" w:cs="宋体"/>
                <w:kern w:val="0"/>
                <w:sz w:val="22"/>
                <w:szCs w:val="24"/>
              </w:rPr>
            </w:pPr>
            <w:r>
              <w:rPr>
                <w:rFonts w:hint="eastAsia" w:ascii="宋体" w:hAnsi="宋体" w:cs="宋体"/>
                <w:kern w:val="0"/>
                <w:sz w:val="22"/>
                <w:szCs w:val="24"/>
              </w:rPr>
              <w:t>要求提供合同关键页扫描件，需盖有合同甲方公章或甲方业务章；</w:t>
            </w:r>
          </w:p>
          <w:p w14:paraId="4282C325">
            <w:pPr>
              <w:spacing w:line="300" w:lineRule="exact"/>
              <w:rPr>
                <w:rFonts w:ascii="宋体" w:hAnsi="宋体" w:cs="宋体"/>
                <w:kern w:val="0"/>
                <w:sz w:val="22"/>
                <w:szCs w:val="24"/>
                <w:highlight w:val="yellow"/>
              </w:rPr>
            </w:pPr>
            <w:r>
              <w:rPr>
                <w:rFonts w:hint="eastAsia" w:ascii="宋体" w:hAnsi="宋体" w:cs="宋体"/>
                <w:kern w:val="0"/>
                <w:sz w:val="22"/>
                <w:szCs w:val="24"/>
              </w:rPr>
              <w:t>以上资料均要求提供扫描件，原件备查。评分中出现无证明资料或专家无法凭所提供资料判断是否得分的情况，一律作不得分处理。</w:t>
            </w:r>
          </w:p>
          <w:p w14:paraId="76DA5DE4">
            <w:pPr>
              <w:spacing w:line="300" w:lineRule="exact"/>
              <w:ind w:left="-63" w:leftChars="-30" w:right="-88" w:rightChars="-42"/>
              <w:rPr>
                <w:rFonts w:ascii="宋体" w:hAnsi="宋体" w:cs="宋体"/>
                <w:kern w:val="0"/>
                <w:sz w:val="22"/>
                <w:szCs w:val="24"/>
              </w:rPr>
            </w:pPr>
          </w:p>
        </w:tc>
        <w:tc>
          <w:tcPr>
            <w:tcW w:w="850" w:type="dxa"/>
            <w:tcBorders>
              <w:right w:val="single" w:color="auto" w:sz="4" w:space="0"/>
            </w:tcBorders>
            <w:vAlign w:val="center"/>
          </w:tcPr>
          <w:p w14:paraId="7AA39378">
            <w:pPr>
              <w:jc w:val="center"/>
              <w:rPr>
                <w:rFonts w:ascii="宋体" w:hAnsi="宋体"/>
                <w:sz w:val="22"/>
                <w:szCs w:val="24"/>
              </w:rPr>
            </w:pPr>
            <w:r>
              <w:rPr>
                <w:rFonts w:hint="eastAsia" w:ascii="宋体" w:hAnsi="宋体"/>
                <w:sz w:val="22"/>
                <w:szCs w:val="24"/>
              </w:rPr>
              <w:t>25</w:t>
            </w:r>
          </w:p>
        </w:tc>
        <w:tc>
          <w:tcPr>
            <w:tcW w:w="851" w:type="dxa"/>
            <w:tcBorders>
              <w:left w:val="single" w:color="auto" w:sz="4" w:space="0"/>
            </w:tcBorders>
            <w:vAlign w:val="center"/>
          </w:tcPr>
          <w:p w14:paraId="06DEB7EF">
            <w:pPr>
              <w:jc w:val="center"/>
              <w:rPr>
                <w:rFonts w:ascii="宋体" w:hAnsi="宋体"/>
                <w:sz w:val="22"/>
                <w:szCs w:val="24"/>
              </w:rPr>
            </w:pPr>
            <w:r>
              <w:rPr>
                <w:rFonts w:hint="eastAsia" w:ascii="宋体" w:hAnsi="宋体"/>
                <w:sz w:val="22"/>
                <w:szCs w:val="24"/>
              </w:rPr>
              <w:t>25</w:t>
            </w:r>
          </w:p>
        </w:tc>
      </w:tr>
      <w:tr w14:paraId="51FE93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48B94352">
            <w:pPr>
              <w:numPr>
                <w:ilvl w:val="0"/>
                <w:numId w:val="6"/>
              </w:numPr>
              <w:jc w:val="center"/>
              <w:rPr>
                <w:rFonts w:ascii="宋体" w:hAnsi="宋体"/>
                <w:sz w:val="22"/>
                <w:szCs w:val="24"/>
              </w:rPr>
            </w:pPr>
          </w:p>
        </w:tc>
        <w:tc>
          <w:tcPr>
            <w:tcW w:w="1202" w:type="dxa"/>
            <w:vAlign w:val="center"/>
          </w:tcPr>
          <w:p w14:paraId="1F302301">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14:paraId="14F710E5">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43A5E8E8">
            <w:pPr>
              <w:spacing w:line="300" w:lineRule="exact"/>
              <w:rPr>
                <w:rFonts w:ascii="宋体" w:hAnsi="宋体" w:cs="宋体"/>
                <w:kern w:val="0"/>
                <w:sz w:val="22"/>
                <w:szCs w:val="24"/>
              </w:rPr>
            </w:pPr>
            <w:r>
              <w:rPr>
                <w:rFonts w:hint="eastAsia" w:ascii="宋体" w:hAnsi="宋体" w:cs="宋体"/>
                <w:kern w:val="0"/>
                <w:sz w:val="22"/>
                <w:szCs w:val="24"/>
              </w:rPr>
              <w:t>（1）投标人曾获得国家级“优秀课题”或“优秀研究成果”等奖项的，提供1项得30%；</w:t>
            </w:r>
          </w:p>
          <w:p w14:paraId="2FF13C83">
            <w:pPr>
              <w:spacing w:line="300" w:lineRule="exact"/>
              <w:rPr>
                <w:rFonts w:ascii="宋体" w:hAnsi="宋体" w:cs="宋体"/>
                <w:kern w:val="0"/>
                <w:sz w:val="22"/>
                <w:szCs w:val="24"/>
              </w:rPr>
            </w:pPr>
            <w:r>
              <w:rPr>
                <w:rFonts w:hint="eastAsia" w:ascii="宋体" w:hAnsi="宋体" w:cs="宋体"/>
                <w:kern w:val="0"/>
                <w:sz w:val="22"/>
                <w:szCs w:val="24"/>
              </w:rPr>
              <w:t>（2）投标人曾获得省、市级“优秀课题”或“优秀研究成果”等奖项的，提供1项得20%；</w:t>
            </w:r>
          </w:p>
          <w:p w14:paraId="5CB9BEFA">
            <w:pPr>
              <w:spacing w:line="300" w:lineRule="exact"/>
              <w:rPr>
                <w:rFonts w:ascii="宋体" w:hAnsi="宋体" w:cs="宋体"/>
                <w:kern w:val="0"/>
                <w:sz w:val="22"/>
                <w:szCs w:val="24"/>
              </w:rPr>
            </w:pPr>
            <w:r>
              <w:rPr>
                <w:rFonts w:hint="eastAsia" w:ascii="宋体" w:hAnsi="宋体" w:cs="宋体"/>
                <w:kern w:val="0"/>
                <w:sz w:val="22"/>
                <w:szCs w:val="24"/>
              </w:rPr>
              <w:t>（3）最高得分不超过100%。</w:t>
            </w:r>
          </w:p>
          <w:p w14:paraId="5574AED4">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7AEBC80E">
            <w:pPr>
              <w:spacing w:line="300" w:lineRule="exact"/>
              <w:jc w:val="left"/>
              <w:rPr>
                <w:rFonts w:ascii="宋体" w:hAnsi="宋体" w:cs="宋体"/>
                <w:b/>
                <w:kern w:val="0"/>
                <w:sz w:val="22"/>
                <w:szCs w:val="24"/>
              </w:rPr>
            </w:pPr>
            <w:r>
              <w:rPr>
                <w:rFonts w:hint="eastAsia" w:ascii="宋体" w:hAnsi="宋体" w:cs="宋体"/>
                <w:kern w:val="0"/>
                <w:sz w:val="22"/>
                <w:szCs w:val="24"/>
              </w:rPr>
              <w:t>提供相关证书扫描件。未按要求提供相关材料或扫描件，不清晰导致无法识别的不得分。证书上须有“优秀课题”或“优秀研究成果”等字眼。</w:t>
            </w:r>
          </w:p>
        </w:tc>
        <w:tc>
          <w:tcPr>
            <w:tcW w:w="850" w:type="dxa"/>
            <w:tcBorders>
              <w:right w:val="single" w:color="auto" w:sz="4" w:space="0"/>
            </w:tcBorders>
            <w:vAlign w:val="center"/>
          </w:tcPr>
          <w:p w14:paraId="7B2D8681">
            <w:pPr>
              <w:jc w:val="center"/>
              <w:rPr>
                <w:rFonts w:ascii="宋体" w:hAnsi="宋体"/>
                <w:sz w:val="22"/>
                <w:szCs w:val="24"/>
              </w:rPr>
            </w:pPr>
            <w:r>
              <w:rPr>
                <w:rFonts w:hint="eastAsia" w:ascii="宋体" w:hAnsi="宋体"/>
                <w:sz w:val="22"/>
                <w:szCs w:val="24"/>
              </w:rPr>
              <w:t>10</w:t>
            </w:r>
          </w:p>
        </w:tc>
        <w:tc>
          <w:tcPr>
            <w:tcW w:w="851" w:type="dxa"/>
            <w:tcBorders>
              <w:left w:val="single" w:color="auto" w:sz="4" w:space="0"/>
            </w:tcBorders>
            <w:vAlign w:val="center"/>
          </w:tcPr>
          <w:p w14:paraId="3DC74397">
            <w:pPr>
              <w:jc w:val="center"/>
              <w:rPr>
                <w:rFonts w:ascii="宋体" w:hAnsi="宋体"/>
                <w:sz w:val="22"/>
                <w:szCs w:val="24"/>
              </w:rPr>
            </w:pPr>
            <w:r>
              <w:rPr>
                <w:rFonts w:hint="eastAsia" w:ascii="宋体" w:hAnsi="宋体"/>
                <w:sz w:val="22"/>
                <w:szCs w:val="24"/>
              </w:rPr>
              <w:t>10</w:t>
            </w:r>
          </w:p>
        </w:tc>
      </w:tr>
      <w:tr w14:paraId="3F23C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10E7C3A5">
            <w:pPr>
              <w:numPr>
                <w:ilvl w:val="0"/>
                <w:numId w:val="6"/>
              </w:numPr>
              <w:jc w:val="center"/>
              <w:rPr>
                <w:rFonts w:ascii="宋体" w:hAnsi="宋体"/>
                <w:sz w:val="22"/>
                <w:szCs w:val="24"/>
              </w:rPr>
            </w:pPr>
          </w:p>
        </w:tc>
        <w:tc>
          <w:tcPr>
            <w:tcW w:w="1202" w:type="dxa"/>
            <w:vAlign w:val="center"/>
          </w:tcPr>
          <w:p w14:paraId="40017ADD">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14:paraId="7CD47AB7">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2593ED8A">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（1）具有博士学位或高级职称的，得50%；具有硕士学位或中级职称的，得30%。</w:t>
            </w:r>
          </w:p>
          <w:p w14:paraId="2E0BD480">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（2）具有</w:t>
            </w:r>
            <w:r>
              <w:rPr>
                <w:rFonts w:hint="eastAsia" w:ascii="宋体" w:hAnsi="宋体" w:cs="宋体"/>
                <w:kern w:val="0"/>
                <w:sz w:val="22"/>
                <w:szCs w:val="24"/>
                <w:lang w:val="en-US" w:eastAsia="zh-CN"/>
              </w:rPr>
              <w:t>重大科技基础设施以及前沿交叉研究平台等重大科研平台项目管理、体制机制研究等</w:t>
            </w:r>
            <w:r>
              <w:rPr>
                <w:rFonts w:hint="eastAsia" w:ascii="宋体" w:hAnsi="宋体" w:cs="宋体"/>
                <w:kern w:val="0"/>
                <w:sz w:val="22"/>
                <w:szCs w:val="24"/>
              </w:rPr>
              <w:t>相关经验的，得50%；</w:t>
            </w:r>
          </w:p>
          <w:p w14:paraId="562B2C79">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以上累计最高得100%。</w:t>
            </w:r>
          </w:p>
          <w:p w14:paraId="010B0C99">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73517604">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（1）项目负责人学位及职称证书扫描件。</w:t>
            </w:r>
          </w:p>
          <w:p w14:paraId="42167070">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（2）提供通过投标人缴纳的近一个月社保证明作为本单位员工的证明依据。</w:t>
            </w:r>
          </w:p>
          <w:p w14:paraId="5A41A9B1">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（3）提供重大科研平台项目管理、体制机制研究</w:t>
            </w:r>
            <w:r>
              <w:rPr>
                <w:rFonts w:hint="eastAsia" w:ascii="宋体" w:hAnsi="宋体" w:cs="宋体"/>
                <w:kern w:val="0"/>
                <w:sz w:val="22"/>
                <w:szCs w:val="24"/>
                <w:lang w:val="en-US" w:eastAsia="zh-CN"/>
              </w:rPr>
              <w:t>等</w:t>
            </w:r>
            <w:r>
              <w:rPr>
                <w:rFonts w:hint="eastAsia" w:ascii="宋体" w:hAnsi="宋体" w:cs="宋体"/>
                <w:kern w:val="0"/>
                <w:sz w:val="22"/>
                <w:szCs w:val="24"/>
              </w:rPr>
              <w:t>相关证明材料；</w:t>
            </w:r>
          </w:p>
        </w:tc>
        <w:tc>
          <w:tcPr>
            <w:tcW w:w="850" w:type="dxa"/>
            <w:tcBorders>
              <w:right w:val="single" w:color="auto" w:sz="4" w:space="0"/>
            </w:tcBorders>
            <w:vAlign w:val="center"/>
          </w:tcPr>
          <w:p w14:paraId="607E0C01">
            <w:pPr>
              <w:jc w:val="center"/>
              <w:rPr>
                <w:rFonts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14:paraId="35208D86">
            <w:pPr>
              <w:jc w:val="center"/>
              <w:rPr>
                <w:rFonts w:ascii="宋体" w:hAnsi="宋体"/>
                <w:sz w:val="22"/>
                <w:szCs w:val="24"/>
              </w:rPr>
            </w:pPr>
            <w:r>
              <w:rPr>
                <w:rFonts w:hint="eastAsia" w:ascii="宋体" w:hAnsi="宋体"/>
                <w:sz w:val="22"/>
                <w:szCs w:val="24"/>
              </w:rPr>
              <w:t>5</w:t>
            </w:r>
          </w:p>
        </w:tc>
      </w:tr>
      <w:tr w14:paraId="67FA8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05144060">
            <w:pPr>
              <w:numPr>
                <w:ilvl w:val="0"/>
                <w:numId w:val="6"/>
              </w:numPr>
              <w:jc w:val="center"/>
              <w:rPr>
                <w:rFonts w:ascii="宋体" w:hAnsi="宋体"/>
                <w:sz w:val="22"/>
                <w:szCs w:val="24"/>
              </w:rPr>
            </w:pPr>
          </w:p>
        </w:tc>
        <w:tc>
          <w:tcPr>
            <w:tcW w:w="1202" w:type="dxa"/>
            <w:vAlign w:val="center"/>
          </w:tcPr>
          <w:p w14:paraId="799C10F4">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14:paraId="6F658AFB">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0CFC1615">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项目团队中每提供1位有博士学位或高级职称人员得20%，每提供1位有中级职称或硕士学位人员得10%，最高得分不超过100%。</w:t>
            </w:r>
          </w:p>
          <w:p w14:paraId="237CB2DA">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051B4FA7">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（1）提供通过投标人缴纳的近一个月社保证明、学位或职称文件等材料。</w:t>
            </w:r>
          </w:p>
          <w:p w14:paraId="7560AA63">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1C5CD044">
            <w:pPr>
              <w:jc w:val="center"/>
              <w:rPr>
                <w:rFonts w:ascii="宋体" w:hAnsi="宋体"/>
                <w:sz w:val="22"/>
                <w:szCs w:val="24"/>
              </w:rPr>
            </w:pPr>
            <w:r>
              <w:rPr>
                <w:rFonts w:ascii="宋体" w:hAnsi="宋体"/>
                <w:sz w:val="22"/>
                <w:szCs w:val="24"/>
              </w:rPr>
              <w:t>1</w:t>
            </w:r>
            <w:r>
              <w:rPr>
                <w:rFonts w:hint="eastAsia" w:ascii="宋体" w:hAnsi="宋体"/>
                <w:sz w:val="22"/>
                <w:szCs w:val="24"/>
              </w:rPr>
              <w:t>0</w:t>
            </w:r>
          </w:p>
        </w:tc>
        <w:tc>
          <w:tcPr>
            <w:tcW w:w="851" w:type="dxa"/>
            <w:tcBorders>
              <w:left w:val="single" w:color="auto" w:sz="4" w:space="0"/>
            </w:tcBorders>
            <w:vAlign w:val="center"/>
          </w:tcPr>
          <w:p w14:paraId="2EE0B675">
            <w:pPr>
              <w:jc w:val="center"/>
              <w:rPr>
                <w:rFonts w:ascii="宋体" w:hAnsi="宋体"/>
                <w:sz w:val="22"/>
                <w:szCs w:val="24"/>
              </w:rPr>
            </w:pPr>
            <w:r>
              <w:rPr>
                <w:rFonts w:ascii="宋体" w:hAnsi="宋体"/>
                <w:sz w:val="22"/>
                <w:szCs w:val="24"/>
              </w:rPr>
              <w:t>1</w:t>
            </w:r>
            <w:r>
              <w:rPr>
                <w:rFonts w:hint="eastAsia" w:ascii="宋体" w:hAnsi="宋体"/>
                <w:sz w:val="22"/>
                <w:szCs w:val="24"/>
              </w:rPr>
              <w:t>0</w:t>
            </w:r>
          </w:p>
        </w:tc>
      </w:tr>
      <w:tr w14:paraId="06894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59DD8C01">
            <w:pPr>
              <w:jc w:val="center"/>
              <w:rPr>
                <w:rFonts w:ascii="宋体" w:hAnsi="宋体"/>
                <w:b/>
                <w:sz w:val="22"/>
                <w:szCs w:val="24"/>
              </w:rPr>
            </w:pPr>
            <w:r>
              <w:rPr>
                <w:rFonts w:hint="eastAsia" w:ascii="宋体" w:hAnsi="宋体"/>
                <w:b/>
                <w:sz w:val="22"/>
                <w:szCs w:val="24"/>
              </w:rPr>
              <w:t>三</w:t>
            </w:r>
          </w:p>
        </w:tc>
        <w:tc>
          <w:tcPr>
            <w:tcW w:w="7581" w:type="dxa"/>
            <w:gridSpan w:val="4"/>
            <w:vAlign w:val="center"/>
          </w:tcPr>
          <w:p w14:paraId="4747125B">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价格部分（合计10分）</w:t>
            </w:r>
          </w:p>
        </w:tc>
      </w:tr>
      <w:tr w14:paraId="48D54D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14:paraId="6EFD32EB">
            <w:pPr>
              <w:numPr>
                <w:ilvl w:val="0"/>
                <w:numId w:val="7"/>
              </w:numPr>
              <w:jc w:val="center"/>
              <w:rPr>
                <w:rFonts w:ascii="宋体" w:hAnsi="宋体"/>
                <w:sz w:val="22"/>
                <w:szCs w:val="24"/>
              </w:rPr>
            </w:pPr>
          </w:p>
        </w:tc>
        <w:tc>
          <w:tcPr>
            <w:tcW w:w="1202" w:type="dxa"/>
            <w:vAlign w:val="center"/>
          </w:tcPr>
          <w:p w14:paraId="2863528A">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14:paraId="5CBF4DF3">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14:paraId="47D809C0">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14:paraId="1FFAAD11">
            <w:pPr>
              <w:spacing w:line="300" w:lineRule="exact"/>
              <w:jc w:val="left"/>
              <w:rPr>
                <w:rFonts w:ascii="宋体" w:hAnsi="宋体"/>
                <w:bCs/>
                <w:sz w:val="22"/>
                <w:szCs w:val="24"/>
              </w:rPr>
            </w:pPr>
            <w:r>
              <w:rPr>
                <w:rFonts w:hint="eastAsia" w:ascii="宋体" w:hAnsi="宋体"/>
                <w:bCs/>
                <w:sz w:val="22"/>
                <w:szCs w:val="24"/>
              </w:rPr>
              <w:t>备注：</w:t>
            </w:r>
          </w:p>
          <w:p w14:paraId="7D90926D">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14:paraId="4E19D3BA">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14:paraId="03481B1D">
            <w:pPr>
              <w:ind w:left="-78" w:leftChars="-37" w:right="-73" w:rightChars="-35"/>
              <w:jc w:val="center"/>
              <w:rPr>
                <w:rFonts w:ascii="宋体" w:hAnsi="宋体" w:cs="宋体"/>
                <w:sz w:val="22"/>
                <w:szCs w:val="24"/>
              </w:rPr>
            </w:pPr>
            <w:r>
              <w:rPr>
                <w:rFonts w:hint="eastAsia" w:ascii="宋体" w:hAnsi="宋体" w:cs="宋体"/>
                <w:sz w:val="22"/>
                <w:szCs w:val="24"/>
              </w:rPr>
              <w:t>10</w:t>
            </w:r>
          </w:p>
        </w:tc>
        <w:tc>
          <w:tcPr>
            <w:tcW w:w="851" w:type="dxa"/>
            <w:tcBorders>
              <w:left w:val="single" w:color="auto" w:sz="4" w:space="0"/>
            </w:tcBorders>
            <w:vAlign w:val="center"/>
          </w:tcPr>
          <w:p w14:paraId="53A37E96">
            <w:pPr>
              <w:ind w:left="-78" w:leftChars="-37" w:right="-73" w:rightChars="-35"/>
              <w:jc w:val="center"/>
              <w:rPr>
                <w:rFonts w:ascii="宋体" w:hAnsi="宋体" w:cs="宋体"/>
                <w:sz w:val="22"/>
                <w:szCs w:val="24"/>
              </w:rPr>
            </w:pPr>
            <w:r>
              <w:rPr>
                <w:rFonts w:hint="eastAsia" w:ascii="宋体" w:hAnsi="宋体"/>
                <w:sz w:val="22"/>
                <w:szCs w:val="24"/>
              </w:rPr>
              <w:t>10</w:t>
            </w:r>
          </w:p>
        </w:tc>
      </w:tr>
      <w:tr w14:paraId="7EB51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14:paraId="7770B510">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14:paraId="3D7BDD85">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14:paraId="25357E10">
            <w:pPr>
              <w:ind w:left="-78" w:leftChars="-37" w:right="-73" w:rightChars="-35"/>
              <w:jc w:val="center"/>
              <w:rPr>
                <w:rFonts w:ascii="宋体" w:hAnsi="宋体" w:cs="宋体"/>
                <w:sz w:val="22"/>
                <w:szCs w:val="24"/>
              </w:rPr>
            </w:pPr>
            <w:r>
              <w:rPr>
                <w:rFonts w:hint="eastAsia" w:ascii="宋体" w:hAnsi="宋体" w:cs="宋体"/>
                <w:sz w:val="22"/>
                <w:szCs w:val="24"/>
              </w:rPr>
              <w:t>100</w:t>
            </w:r>
          </w:p>
        </w:tc>
      </w:tr>
    </w:tbl>
    <w:p w14:paraId="27529EE4">
      <w:pPr>
        <w:spacing w:before="156" w:beforeLines="50" w:after="156" w:afterLines="50" w:line="560" w:lineRule="exact"/>
        <w:ind w:firstLine="640" w:firstLineChars="200"/>
        <w:outlineLvl w:val="0"/>
        <w:rPr>
          <w:rFonts w:hint="eastAsia" w:ascii="仿宋" w:hAnsi="仿宋" w:eastAsia="仿宋" w:cs="仿宋_GB2312"/>
          <w:sz w:val="32"/>
          <w:szCs w:val="32"/>
        </w:rPr>
      </w:pPr>
    </w:p>
    <w:p w14:paraId="6D3DFF1C">
      <w:pPr>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14:paraId="5D8F1833">
      <w:pPr>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14:paraId="4C41DC0C">
      <w:pPr>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14:paraId="1B960A10">
      <w:pPr>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14:paraId="4E9D969F">
      <w:pPr>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14:paraId="5FBF8BD6">
      <w:pPr>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14:paraId="4E79E9B7">
      <w:pPr>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14:paraId="4631A336">
      <w:pPr>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14:paraId="005D21D9">
      <w:pPr>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14:paraId="5AEE3B23">
      <w:pPr>
        <w:spacing w:line="540" w:lineRule="exact"/>
        <w:ind w:firstLine="600" w:firstLineChars="250"/>
        <w:rPr>
          <w:rFonts w:ascii="宋体" w:hAnsi="宋体" w:cs="宋体"/>
          <w:kern w:val="0"/>
          <w:sz w:val="24"/>
          <w:szCs w:val="24"/>
        </w:rPr>
      </w:pPr>
    </w:p>
    <w:p w14:paraId="4092C6B1">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附件：投标及履约承诺函</w:t>
      </w:r>
    </w:p>
    <w:p w14:paraId="028B9744">
      <w:pPr>
        <w:widowControl/>
        <w:jc w:val="left"/>
        <w:rPr>
          <w:rFonts w:ascii="仿宋" w:hAnsi="仿宋" w:eastAsia="仿宋" w:cs="仿宋_GB2312"/>
          <w:sz w:val="32"/>
          <w:szCs w:val="32"/>
        </w:rPr>
      </w:pPr>
      <w:r>
        <w:rPr>
          <w:rFonts w:ascii="仿宋" w:hAnsi="仿宋" w:eastAsia="仿宋" w:cs="仿宋_GB2312"/>
          <w:sz w:val="32"/>
          <w:szCs w:val="32"/>
        </w:rPr>
        <w:br w:type="page"/>
      </w:r>
    </w:p>
    <w:p w14:paraId="1436632C">
      <w:pPr>
        <w:adjustRightInd w:val="0"/>
        <w:snapToGrid w:val="0"/>
        <w:jc w:val="left"/>
        <w:rPr>
          <w:rFonts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zh-CN"/>
        </w:rPr>
        <w:t>附件</w:t>
      </w:r>
    </w:p>
    <w:p w14:paraId="694C9764">
      <w:pPr>
        <w:adjustRightInd w:val="0"/>
        <w:snapToGrid w:val="0"/>
        <w:jc w:val="center"/>
        <w:rPr>
          <w:rFonts w:ascii="宋体" w:hAnsi="宋体" w:cs="宋体"/>
          <w:b/>
          <w:bCs/>
          <w:sz w:val="44"/>
          <w:szCs w:val="44"/>
        </w:rPr>
      </w:pPr>
    </w:p>
    <w:p w14:paraId="2FE4D8B8">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14:paraId="6B9F47E8">
      <w:pPr>
        <w:adjustRightInd w:val="0"/>
        <w:snapToGrid w:val="0"/>
        <w:jc w:val="center"/>
        <w:rPr>
          <w:rFonts w:ascii="宋体" w:hAnsi="宋体" w:cs="宋体"/>
          <w:b/>
          <w:bCs/>
          <w:sz w:val="44"/>
          <w:szCs w:val="44"/>
        </w:rPr>
      </w:pPr>
    </w:p>
    <w:p w14:paraId="508E2B8D">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14:paraId="2D08C7BC">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14:paraId="7C2F2DD7">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14:paraId="2CD54FD7">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68205056">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6.如果中标，做到守信，不偷工减料，依照本项目招标文件需求内容、签署的采购合同及在投标中所作的一切承诺履约。项目验收达到全部指标合格，力争优良。</w:t>
      </w:r>
    </w:p>
    <w:p w14:paraId="38725F4A">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 xml:space="preserve">7.我单位已认真阅读本项目需求，我单位承诺按时递交标书。 </w:t>
      </w:r>
    </w:p>
    <w:p w14:paraId="5839DF49">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8.我单位承诺不非法转包或分包。</w:t>
      </w:r>
    </w:p>
    <w:p w14:paraId="62CF3D5E">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14:paraId="2B238352">
      <w:pPr>
        <w:adjustRightInd w:val="0"/>
        <w:snapToGrid w:val="0"/>
        <w:spacing w:line="480" w:lineRule="exact"/>
        <w:ind w:firstLine="640" w:firstLineChars="200"/>
        <w:rPr>
          <w:rFonts w:ascii="仿宋_GB2312" w:hAnsi="宋体" w:eastAsia="仿宋_GB2312"/>
          <w:sz w:val="32"/>
          <w:szCs w:val="22"/>
        </w:rPr>
      </w:pPr>
    </w:p>
    <w:p w14:paraId="26038A3C">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14:paraId="0C2A86AE">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14:paraId="54791A89">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14:paraId="0C5DFA05">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14:paraId="3C016BDF">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细等线简">
    <w:altName w:val="华文仿宋"/>
    <w:panose1 w:val="00000000000000000000"/>
    <w:charset w:val="86"/>
    <w:family w:val="auto"/>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09D7">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A9988C4">
                          <w:pPr>
                            <w:pStyle w:val="27"/>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14:paraId="6A9988C4">
                    <w:pPr>
                      <w:pStyle w:val="27"/>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D799">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7804E9">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C7804E9">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571"/>
    <w:rsid w:val="0004775A"/>
    <w:rsid w:val="00057629"/>
    <w:rsid w:val="0007094F"/>
    <w:rsid w:val="00087B33"/>
    <w:rsid w:val="0009025E"/>
    <w:rsid w:val="000943CB"/>
    <w:rsid w:val="000A2ECD"/>
    <w:rsid w:val="000A460A"/>
    <w:rsid w:val="000B0355"/>
    <w:rsid w:val="000B0357"/>
    <w:rsid w:val="000C24E4"/>
    <w:rsid w:val="000C4C90"/>
    <w:rsid w:val="000C72A3"/>
    <w:rsid w:val="000E057C"/>
    <w:rsid w:val="000E7D03"/>
    <w:rsid w:val="000F7AD1"/>
    <w:rsid w:val="00102E73"/>
    <w:rsid w:val="00104E04"/>
    <w:rsid w:val="001124E6"/>
    <w:rsid w:val="00121A5C"/>
    <w:rsid w:val="001275A8"/>
    <w:rsid w:val="001278AD"/>
    <w:rsid w:val="00142DE7"/>
    <w:rsid w:val="0014446E"/>
    <w:rsid w:val="001544E0"/>
    <w:rsid w:val="00155FBC"/>
    <w:rsid w:val="0017605A"/>
    <w:rsid w:val="0017760C"/>
    <w:rsid w:val="00180298"/>
    <w:rsid w:val="0018063F"/>
    <w:rsid w:val="001816F2"/>
    <w:rsid w:val="00186C5C"/>
    <w:rsid w:val="00197FDE"/>
    <w:rsid w:val="001B20D4"/>
    <w:rsid w:val="001B35A8"/>
    <w:rsid w:val="001C71B0"/>
    <w:rsid w:val="001D3DDB"/>
    <w:rsid w:val="001E3A97"/>
    <w:rsid w:val="001E510D"/>
    <w:rsid w:val="001F2F3C"/>
    <w:rsid w:val="001F6A98"/>
    <w:rsid w:val="001F7840"/>
    <w:rsid w:val="002121C1"/>
    <w:rsid w:val="00212BC7"/>
    <w:rsid w:val="00214268"/>
    <w:rsid w:val="00226951"/>
    <w:rsid w:val="00236C21"/>
    <w:rsid w:val="00247CC0"/>
    <w:rsid w:val="00264F3F"/>
    <w:rsid w:val="00275B1E"/>
    <w:rsid w:val="0029255E"/>
    <w:rsid w:val="002B2371"/>
    <w:rsid w:val="002B5A7D"/>
    <w:rsid w:val="002C23E7"/>
    <w:rsid w:val="002C410B"/>
    <w:rsid w:val="002C75A1"/>
    <w:rsid w:val="002D3E7B"/>
    <w:rsid w:val="002E3180"/>
    <w:rsid w:val="002F0A38"/>
    <w:rsid w:val="002F7D66"/>
    <w:rsid w:val="0030460A"/>
    <w:rsid w:val="00310166"/>
    <w:rsid w:val="003108AF"/>
    <w:rsid w:val="003109D9"/>
    <w:rsid w:val="00312DB9"/>
    <w:rsid w:val="003179F2"/>
    <w:rsid w:val="0032247C"/>
    <w:rsid w:val="00336A84"/>
    <w:rsid w:val="00342105"/>
    <w:rsid w:val="003443C6"/>
    <w:rsid w:val="00346AEE"/>
    <w:rsid w:val="00351547"/>
    <w:rsid w:val="00351C24"/>
    <w:rsid w:val="003614DA"/>
    <w:rsid w:val="00362DD6"/>
    <w:rsid w:val="003663D1"/>
    <w:rsid w:val="00386203"/>
    <w:rsid w:val="00387586"/>
    <w:rsid w:val="00397D57"/>
    <w:rsid w:val="003A5EBE"/>
    <w:rsid w:val="003A71FE"/>
    <w:rsid w:val="003B47C2"/>
    <w:rsid w:val="003C0F0F"/>
    <w:rsid w:val="003C550C"/>
    <w:rsid w:val="003C7DC7"/>
    <w:rsid w:val="003D0615"/>
    <w:rsid w:val="003D57C1"/>
    <w:rsid w:val="003E74A2"/>
    <w:rsid w:val="003E7BEF"/>
    <w:rsid w:val="003F7347"/>
    <w:rsid w:val="0040141D"/>
    <w:rsid w:val="00401F33"/>
    <w:rsid w:val="0040409B"/>
    <w:rsid w:val="0043443C"/>
    <w:rsid w:val="004346D9"/>
    <w:rsid w:val="0043764A"/>
    <w:rsid w:val="00455A2D"/>
    <w:rsid w:val="00461339"/>
    <w:rsid w:val="0046505B"/>
    <w:rsid w:val="004747A9"/>
    <w:rsid w:val="00482C77"/>
    <w:rsid w:val="00490843"/>
    <w:rsid w:val="00491ECF"/>
    <w:rsid w:val="00492143"/>
    <w:rsid w:val="004A018F"/>
    <w:rsid w:val="004A4844"/>
    <w:rsid w:val="004B3EFF"/>
    <w:rsid w:val="004B4044"/>
    <w:rsid w:val="004B72E2"/>
    <w:rsid w:val="004D140F"/>
    <w:rsid w:val="004D647F"/>
    <w:rsid w:val="004D69E2"/>
    <w:rsid w:val="004E6DC8"/>
    <w:rsid w:val="004F4EEB"/>
    <w:rsid w:val="00502316"/>
    <w:rsid w:val="00512272"/>
    <w:rsid w:val="00522B7F"/>
    <w:rsid w:val="005236DE"/>
    <w:rsid w:val="005250D0"/>
    <w:rsid w:val="0053239E"/>
    <w:rsid w:val="00533C56"/>
    <w:rsid w:val="00540773"/>
    <w:rsid w:val="00541A5D"/>
    <w:rsid w:val="00543EBC"/>
    <w:rsid w:val="00544137"/>
    <w:rsid w:val="00551C08"/>
    <w:rsid w:val="00551FCE"/>
    <w:rsid w:val="0055630F"/>
    <w:rsid w:val="00566FD7"/>
    <w:rsid w:val="00571748"/>
    <w:rsid w:val="005742E2"/>
    <w:rsid w:val="00574E9C"/>
    <w:rsid w:val="0057642D"/>
    <w:rsid w:val="005770EC"/>
    <w:rsid w:val="00581043"/>
    <w:rsid w:val="00591F8A"/>
    <w:rsid w:val="00592178"/>
    <w:rsid w:val="0059695D"/>
    <w:rsid w:val="005B045A"/>
    <w:rsid w:val="005B1504"/>
    <w:rsid w:val="005C1EA1"/>
    <w:rsid w:val="005D06B7"/>
    <w:rsid w:val="005D2DBD"/>
    <w:rsid w:val="005D5595"/>
    <w:rsid w:val="005F42B7"/>
    <w:rsid w:val="00614414"/>
    <w:rsid w:val="00625492"/>
    <w:rsid w:val="00626F53"/>
    <w:rsid w:val="00633239"/>
    <w:rsid w:val="00633C39"/>
    <w:rsid w:val="00642642"/>
    <w:rsid w:val="00667D11"/>
    <w:rsid w:val="00693E4E"/>
    <w:rsid w:val="006A2133"/>
    <w:rsid w:val="006C4AD8"/>
    <w:rsid w:val="006D34ED"/>
    <w:rsid w:val="006D43DB"/>
    <w:rsid w:val="006D7442"/>
    <w:rsid w:val="006E19C9"/>
    <w:rsid w:val="006E5EC1"/>
    <w:rsid w:val="006E64BB"/>
    <w:rsid w:val="006E6B64"/>
    <w:rsid w:val="00705EBC"/>
    <w:rsid w:val="00713126"/>
    <w:rsid w:val="00713D58"/>
    <w:rsid w:val="00737455"/>
    <w:rsid w:val="00741452"/>
    <w:rsid w:val="007414C6"/>
    <w:rsid w:val="00755554"/>
    <w:rsid w:val="00756219"/>
    <w:rsid w:val="00763343"/>
    <w:rsid w:val="00772977"/>
    <w:rsid w:val="00774EE4"/>
    <w:rsid w:val="00781E6C"/>
    <w:rsid w:val="0078257A"/>
    <w:rsid w:val="00785916"/>
    <w:rsid w:val="00792503"/>
    <w:rsid w:val="00796037"/>
    <w:rsid w:val="007A27DD"/>
    <w:rsid w:val="007B3AC8"/>
    <w:rsid w:val="007D0575"/>
    <w:rsid w:val="007D3A49"/>
    <w:rsid w:val="007D629B"/>
    <w:rsid w:val="007D7579"/>
    <w:rsid w:val="007E4380"/>
    <w:rsid w:val="007E537B"/>
    <w:rsid w:val="007F12AF"/>
    <w:rsid w:val="00800F5B"/>
    <w:rsid w:val="00803DE1"/>
    <w:rsid w:val="008111D2"/>
    <w:rsid w:val="008166EE"/>
    <w:rsid w:val="008346B8"/>
    <w:rsid w:val="0084013A"/>
    <w:rsid w:val="00843442"/>
    <w:rsid w:val="00843C62"/>
    <w:rsid w:val="008445CC"/>
    <w:rsid w:val="00856555"/>
    <w:rsid w:val="0087046C"/>
    <w:rsid w:val="00876D92"/>
    <w:rsid w:val="008836FE"/>
    <w:rsid w:val="00883B31"/>
    <w:rsid w:val="00884E21"/>
    <w:rsid w:val="008907C7"/>
    <w:rsid w:val="00893717"/>
    <w:rsid w:val="00897A19"/>
    <w:rsid w:val="008A79FD"/>
    <w:rsid w:val="008B4CAF"/>
    <w:rsid w:val="008D2D34"/>
    <w:rsid w:val="008D783E"/>
    <w:rsid w:val="008F443C"/>
    <w:rsid w:val="009107D4"/>
    <w:rsid w:val="00912182"/>
    <w:rsid w:val="00913B55"/>
    <w:rsid w:val="00915D94"/>
    <w:rsid w:val="00920BB7"/>
    <w:rsid w:val="009245E2"/>
    <w:rsid w:val="009274B6"/>
    <w:rsid w:val="00933256"/>
    <w:rsid w:val="009351C9"/>
    <w:rsid w:val="00935C24"/>
    <w:rsid w:val="00937757"/>
    <w:rsid w:val="009417F2"/>
    <w:rsid w:val="0094689E"/>
    <w:rsid w:val="00951D76"/>
    <w:rsid w:val="009634AF"/>
    <w:rsid w:val="009719CF"/>
    <w:rsid w:val="00976494"/>
    <w:rsid w:val="00977802"/>
    <w:rsid w:val="009910FD"/>
    <w:rsid w:val="0099769F"/>
    <w:rsid w:val="009A0980"/>
    <w:rsid w:val="009A62DE"/>
    <w:rsid w:val="009B1BCF"/>
    <w:rsid w:val="009B37E4"/>
    <w:rsid w:val="009B4668"/>
    <w:rsid w:val="009C378C"/>
    <w:rsid w:val="009C556B"/>
    <w:rsid w:val="009D0D39"/>
    <w:rsid w:val="009D0E3F"/>
    <w:rsid w:val="009D520A"/>
    <w:rsid w:val="009E0008"/>
    <w:rsid w:val="009F6E16"/>
    <w:rsid w:val="00A002CE"/>
    <w:rsid w:val="00A03C2D"/>
    <w:rsid w:val="00A305F8"/>
    <w:rsid w:val="00A31433"/>
    <w:rsid w:val="00A31463"/>
    <w:rsid w:val="00A44DD8"/>
    <w:rsid w:val="00A51B21"/>
    <w:rsid w:val="00A60F56"/>
    <w:rsid w:val="00A716A3"/>
    <w:rsid w:val="00A73054"/>
    <w:rsid w:val="00A76F81"/>
    <w:rsid w:val="00A9093A"/>
    <w:rsid w:val="00A94D28"/>
    <w:rsid w:val="00A97A05"/>
    <w:rsid w:val="00AA5CBE"/>
    <w:rsid w:val="00AA62E8"/>
    <w:rsid w:val="00AA6594"/>
    <w:rsid w:val="00AB432C"/>
    <w:rsid w:val="00AB5B09"/>
    <w:rsid w:val="00AC012B"/>
    <w:rsid w:val="00AC5C00"/>
    <w:rsid w:val="00AD11F7"/>
    <w:rsid w:val="00AD2C39"/>
    <w:rsid w:val="00AE74B1"/>
    <w:rsid w:val="00B01134"/>
    <w:rsid w:val="00B067EE"/>
    <w:rsid w:val="00B0798D"/>
    <w:rsid w:val="00B10467"/>
    <w:rsid w:val="00B25245"/>
    <w:rsid w:val="00B31182"/>
    <w:rsid w:val="00B35AF6"/>
    <w:rsid w:val="00B36FF2"/>
    <w:rsid w:val="00B56D2F"/>
    <w:rsid w:val="00B61338"/>
    <w:rsid w:val="00B61BFE"/>
    <w:rsid w:val="00B67D61"/>
    <w:rsid w:val="00B74AC0"/>
    <w:rsid w:val="00B7696A"/>
    <w:rsid w:val="00B82F55"/>
    <w:rsid w:val="00B86F7E"/>
    <w:rsid w:val="00B9388B"/>
    <w:rsid w:val="00B97382"/>
    <w:rsid w:val="00BA050C"/>
    <w:rsid w:val="00BA3A8C"/>
    <w:rsid w:val="00BB4B80"/>
    <w:rsid w:val="00BB7155"/>
    <w:rsid w:val="00BC680A"/>
    <w:rsid w:val="00BC6A39"/>
    <w:rsid w:val="00C13C74"/>
    <w:rsid w:val="00C3092A"/>
    <w:rsid w:val="00C44FAE"/>
    <w:rsid w:val="00C5185F"/>
    <w:rsid w:val="00C52D4D"/>
    <w:rsid w:val="00C53BC7"/>
    <w:rsid w:val="00C54474"/>
    <w:rsid w:val="00C57C32"/>
    <w:rsid w:val="00C655DD"/>
    <w:rsid w:val="00C96D23"/>
    <w:rsid w:val="00CB02DC"/>
    <w:rsid w:val="00CB7CA8"/>
    <w:rsid w:val="00CD16CE"/>
    <w:rsid w:val="00CF6F23"/>
    <w:rsid w:val="00D12A2B"/>
    <w:rsid w:val="00D1589D"/>
    <w:rsid w:val="00D24698"/>
    <w:rsid w:val="00D25868"/>
    <w:rsid w:val="00D25C47"/>
    <w:rsid w:val="00D2660C"/>
    <w:rsid w:val="00D30E9B"/>
    <w:rsid w:val="00D316F6"/>
    <w:rsid w:val="00D3519D"/>
    <w:rsid w:val="00D45768"/>
    <w:rsid w:val="00D45F2D"/>
    <w:rsid w:val="00D55F1E"/>
    <w:rsid w:val="00D6072F"/>
    <w:rsid w:val="00D64D20"/>
    <w:rsid w:val="00D75ED0"/>
    <w:rsid w:val="00D76346"/>
    <w:rsid w:val="00D7776E"/>
    <w:rsid w:val="00D9607B"/>
    <w:rsid w:val="00DA667C"/>
    <w:rsid w:val="00DB7BEE"/>
    <w:rsid w:val="00DC1D8B"/>
    <w:rsid w:val="00DD0471"/>
    <w:rsid w:val="00DD5C89"/>
    <w:rsid w:val="00DE41D0"/>
    <w:rsid w:val="00DE5F7D"/>
    <w:rsid w:val="00DF1F58"/>
    <w:rsid w:val="00E03217"/>
    <w:rsid w:val="00E055A3"/>
    <w:rsid w:val="00E05EDB"/>
    <w:rsid w:val="00E07E9C"/>
    <w:rsid w:val="00E11A28"/>
    <w:rsid w:val="00E20EC4"/>
    <w:rsid w:val="00E22750"/>
    <w:rsid w:val="00E250BB"/>
    <w:rsid w:val="00E30705"/>
    <w:rsid w:val="00E51483"/>
    <w:rsid w:val="00E51826"/>
    <w:rsid w:val="00E5351E"/>
    <w:rsid w:val="00E53656"/>
    <w:rsid w:val="00E65C2A"/>
    <w:rsid w:val="00E70DE8"/>
    <w:rsid w:val="00E764AB"/>
    <w:rsid w:val="00E820A7"/>
    <w:rsid w:val="00E83BC8"/>
    <w:rsid w:val="00E850EA"/>
    <w:rsid w:val="00E909BD"/>
    <w:rsid w:val="00E96829"/>
    <w:rsid w:val="00E97CC2"/>
    <w:rsid w:val="00EA349E"/>
    <w:rsid w:val="00EB2AB7"/>
    <w:rsid w:val="00EC337A"/>
    <w:rsid w:val="00EE0506"/>
    <w:rsid w:val="00EE2341"/>
    <w:rsid w:val="00EE23B4"/>
    <w:rsid w:val="00EE244A"/>
    <w:rsid w:val="00EE2D71"/>
    <w:rsid w:val="00F01E8C"/>
    <w:rsid w:val="00F02BFB"/>
    <w:rsid w:val="00F03D5C"/>
    <w:rsid w:val="00F07DB6"/>
    <w:rsid w:val="00F17CBD"/>
    <w:rsid w:val="00F20658"/>
    <w:rsid w:val="00F222DE"/>
    <w:rsid w:val="00F34F92"/>
    <w:rsid w:val="00F35096"/>
    <w:rsid w:val="00F51166"/>
    <w:rsid w:val="00F64707"/>
    <w:rsid w:val="00F82281"/>
    <w:rsid w:val="00FA2F56"/>
    <w:rsid w:val="00FA687C"/>
    <w:rsid w:val="00FA6B2D"/>
    <w:rsid w:val="00FB2C4D"/>
    <w:rsid w:val="00FB2E08"/>
    <w:rsid w:val="00FC012F"/>
    <w:rsid w:val="00FC043D"/>
    <w:rsid w:val="00FD3295"/>
    <w:rsid w:val="01FB42C6"/>
    <w:rsid w:val="02E52B28"/>
    <w:rsid w:val="03633F51"/>
    <w:rsid w:val="038B593F"/>
    <w:rsid w:val="03D32EAA"/>
    <w:rsid w:val="05C874C8"/>
    <w:rsid w:val="0A8C4462"/>
    <w:rsid w:val="0CB37BAF"/>
    <w:rsid w:val="0CE64A5E"/>
    <w:rsid w:val="0F1C3C95"/>
    <w:rsid w:val="10023959"/>
    <w:rsid w:val="105C0CB9"/>
    <w:rsid w:val="12F96422"/>
    <w:rsid w:val="154C74B7"/>
    <w:rsid w:val="164963A5"/>
    <w:rsid w:val="1AF0362E"/>
    <w:rsid w:val="1CD75A11"/>
    <w:rsid w:val="1D6614F4"/>
    <w:rsid w:val="208B5E57"/>
    <w:rsid w:val="20D356A6"/>
    <w:rsid w:val="227D1127"/>
    <w:rsid w:val="229159BD"/>
    <w:rsid w:val="231E3E45"/>
    <w:rsid w:val="23FE6FD1"/>
    <w:rsid w:val="244F2331"/>
    <w:rsid w:val="25ED7CFF"/>
    <w:rsid w:val="2C9F3729"/>
    <w:rsid w:val="2CE83633"/>
    <w:rsid w:val="2D560907"/>
    <w:rsid w:val="2DBF5D7B"/>
    <w:rsid w:val="2E452FC9"/>
    <w:rsid w:val="2E89DE1C"/>
    <w:rsid w:val="2F2E417E"/>
    <w:rsid w:val="310A79B3"/>
    <w:rsid w:val="31EE4784"/>
    <w:rsid w:val="33FF7B8B"/>
    <w:rsid w:val="344B04D7"/>
    <w:rsid w:val="36587F7A"/>
    <w:rsid w:val="3B530682"/>
    <w:rsid w:val="3C6F180D"/>
    <w:rsid w:val="3CAA0266"/>
    <w:rsid w:val="402D6C07"/>
    <w:rsid w:val="40760AAC"/>
    <w:rsid w:val="40DE0554"/>
    <w:rsid w:val="42553EE8"/>
    <w:rsid w:val="43397EAC"/>
    <w:rsid w:val="454F37FC"/>
    <w:rsid w:val="462C3E28"/>
    <w:rsid w:val="48934F74"/>
    <w:rsid w:val="4A9804CE"/>
    <w:rsid w:val="4C116304"/>
    <w:rsid w:val="4C1676C1"/>
    <w:rsid w:val="4D4D1E47"/>
    <w:rsid w:val="4D902EEE"/>
    <w:rsid w:val="4E273DF4"/>
    <w:rsid w:val="563D3583"/>
    <w:rsid w:val="571E4E32"/>
    <w:rsid w:val="587A2719"/>
    <w:rsid w:val="5A160C1F"/>
    <w:rsid w:val="5AFD6C6B"/>
    <w:rsid w:val="5B8E36FB"/>
    <w:rsid w:val="5C6A5252"/>
    <w:rsid w:val="5E1629CC"/>
    <w:rsid w:val="5F767D2F"/>
    <w:rsid w:val="620E16ED"/>
    <w:rsid w:val="6571514B"/>
    <w:rsid w:val="65FA522A"/>
    <w:rsid w:val="67195065"/>
    <w:rsid w:val="68740977"/>
    <w:rsid w:val="68AC4A92"/>
    <w:rsid w:val="6BF02543"/>
    <w:rsid w:val="6CB64147"/>
    <w:rsid w:val="6E9E14B7"/>
    <w:rsid w:val="71C22B21"/>
    <w:rsid w:val="729C4002"/>
    <w:rsid w:val="729D6DC9"/>
    <w:rsid w:val="73271770"/>
    <w:rsid w:val="734C7658"/>
    <w:rsid w:val="739509AF"/>
    <w:rsid w:val="744051D9"/>
    <w:rsid w:val="7562283E"/>
    <w:rsid w:val="76141AED"/>
    <w:rsid w:val="76397F86"/>
    <w:rsid w:val="76B65054"/>
    <w:rsid w:val="771C49A5"/>
    <w:rsid w:val="79856CB1"/>
    <w:rsid w:val="7A590988"/>
    <w:rsid w:val="7CEB3072"/>
    <w:rsid w:val="7D4B7D80"/>
    <w:rsid w:val="7D8A09E3"/>
    <w:rsid w:val="7D935861"/>
    <w:rsid w:val="7FB14B97"/>
    <w:rsid w:val="BBDDBAA3"/>
    <w:rsid w:val="FE2B37E8"/>
    <w:rsid w:val="FF71B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20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Char"/>
    <w:basedOn w:val="45"/>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34"/>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字符"/>
    <w:link w:val="56"/>
    <w:qFormat/>
    <w:uiPriority w:val="34"/>
    <w:rPr>
      <w:rFonts w:ascii="Calibri" w:hAnsi="Calibri"/>
      <w:kern w:val="2"/>
      <w:sz w:val="21"/>
      <w:szCs w:val="21"/>
    </w:rPr>
  </w:style>
  <w:style w:type="character" w:customStyle="1" w:styleId="204">
    <w:name w:val="纯文本 字符"/>
    <w:basedOn w:val="45"/>
    <w:link w:val="22"/>
    <w:qFormat/>
    <w:uiPriority w:val="0"/>
    <w:rPr>
      <w:rFonts w:hint="eastAsia" w:ascii="宋体" w:hAnsi="Courier New" w:eastAsia="宋体" w:cs="Courier New"/>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11</Pages>
  <Words>96</Words>
  <Characters>99</Characters>
  <Lines>33</Lines>
  <Paragraphs>9</Paragraphs>
  <TotalTime>182</TotalTime>
  <ScaleCrop>false</ScaleCrop>
  <LinksUpToDate>false</LinksUpToDate>
  <CharactersWithSpaces>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2021-07-22T09:15:00Z</dcterms:created>
  <dc:creator>李刚</dc:creator>
  <cp:lastModifiedBy>WPS_1581317969</cp:lastModifiedBy>
  <cp:lastPrinted>2025-07-11T07:21:00Z</cp:lastPrinted>
  <dcterms:modified xsi:type="dcterms:W3CDTF">2025-07-25T09:58:00Z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12B983D24A184FC4A7C8F2234321FD92_13</vt:lpwstr>
  </property>
  <property fmtid="{D5CDD505-2E9C-101B-9397-08002B2CF9AE}" pid="4" name="KSOTemplateDocerSaveRecord">
    <vt:lpwstr>eyJoZGlkIjoiMzdiNmUxNDc5NDMwOWU1ZjE5MWM5MTNhNDhjNDVmZTUiLCJ1c2VySWQiOiIzMDY1NTQxMzEifQ==</vt:lpwstr>
  </property>
</Properties>
</file>