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A186">
      <w:pPr>
        <w:adjustRightInd w:val="0"/>
        <w:snapToGrid w:val="0"/>
        <w:spacing w:line="560" w:lineRule="exact"/>
        <w:rPr>
          <w:rFonts w:hint="eastAsia" w:ascii="宋体" w:hAnsi="宋体" w:cs="Arial"/>
          <w:b/>
          <w:bCs/>
          <w:sz w:val="44"/>
          <w:szCs w:val="44"/>
        </w:rPr>
      </w:pPr>
    </w:p>
    <w:p w14:paraId="40E81319">
      <w:pPr>
        <w:adjustRightInd w:val="0"/>
        <w:snapToGrid w:val="0"/>
        <w:spacing w:line="560" w:lineRule="exact"/>
        <w:rPr>
          <w:rFonts w:hint="eastAsia" w:ascii="宋体" w:hAnsi="宋体" w:cs="Arial"/>
          <w:b/>
          <w:bCs/>
          <w:sz w:val="44"/>
          <w:szCs w:val="44"/>
        </w:rPr>
      </w:pPr>
    </w:p>
    <w:p w14:paraId="7F7B71CF">
      <w:pPr>
        <w:adjustRightInd w:val="0"/>
        <w:snapToGrid w:val="0"/>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深圳市“十四五”规划纲要实施情况</w:t>
      </w:r>
    </w:p>
    <w:p w14:paraId="6AD998C4">
      <w:pPr>
        <w:adjustRightInd w:val="0"/>
        <w:snapToGrid w:val="0"/>
        <w:spacing w:line="560" w:lineRule="exact"/>
        <w:jc w:val="cente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第三方评估研究</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课题项目</w:t>
      </w:r>
    </w:p>
    <w:p w14:paraId="5620B7A9">
      <w:pPr>
        <w:spacing w:line="560" w:lineRule="exact"/>
        <w:ind w:left="420" w:leftChars="200"/>
        <w:jc w:val="center"/>
        <w:rPr>
          <w:rFonts w:hint="eastAsia" w:ascii="宋体" w:hAnsi="宋体" w:cs="Arial"/>
          <w:b/>
          <w:bCs/>
          <w:sz w:val="44"/>
          <w:szCs w:val="44"/>
        </w:rPr>
      </w:pPr>
    </w:p>
    <w:p w14:paraId="1B83F44C">
      <w:pPr>
        <w:spacing w:line="600" w:lineRule="exact"/>
        <w:ind w:left="420" w:leftChars="200"/>
        <w:jc w:val="center"/>
        <w:rPr>
          <w:rFonts w:hint="eastAsia" w:ascii="黑体" w:hAnsi="宋体" w:eastAsia="黑体"/>
          <w:b/>
          <w:bCs/>
          <w:sz w:val="32"/>
          <w:szCs w:val="32"/>
        </w:rPr>
      </w:pPr>
    </w:p>
    <w:p w14:paraId="7BE2FB63">
      <w:pPr>
        <w:spacing w:line="800" w:lineRule="exact"/>
        <w:ind w:left="420" w:leftChars="200"/>
        <w:jc w:val="center"/>
        <w:rPr>
          <w:rFonts w:hint="eastAsia" w:ascii="黑体" w:hAnsi="宋体" w:eastAsia="黑体"/>
          <w:b/>
          <w:bCs/>
          <w:sz w:val="32"/>
          <w:szCs w:val="32"/>
        </w:rPr>
      </w:pPr>
    </w:p>
    <w:p w14:paraId="00AD2115">
      <w:pPr>
        <w:spacing w:line="800" w:lineRule="exact"/>
        <w:jc w:val="center"/>
        <w:rPr>
          <w:rFonts w:hint="eastAsia" w:ascii="黑体" w:hAnsi="宋体" w:eastAsia="黑体"/>
          <w:b/>
          <w:bCs/>
          <w:sz w:val="72"/>
          <w:szCs w:val="72"/>
        </w:rPr>
      </w:pPr>
      <w:r>
        <w:rPr>
          <w:rFonts w:hint="eastAsia" w:ascii="黑体" w:hAnsi="黑体" w:eastAsia="黑体"/>
          <w:b/>
          <w:bCs/>
          <w:sz w:val="72"/>
          <w:szCs w:val="72"/>
        </w:rPr>
        <w:t>招</w:t>
      </w:r>
    </w:p>
    <w:p w14:paraId="4A79119D">
      <w:pPr>
        <w:spacing w:line="800" w:lineRule="exact"/>
        <w:jc w:val="center"/>
        <w:rPr>
          <w:rFonts w:hint="eastAsia" w:ascii="黑体" w:hAnsi="宋体" w:eastAsia="黑体"/>
          <w:b/>
          <w:bCs/>
          <w:sz w:val="72"/>
          <w:szCs w:val="72"/>
        </w:rPr>
      </w:pPr>
    </w:p>
    <w:p w14:paraId="7727B6E7">
      <w:pPr>
        <w:spacing w:line="800" w:lineRule="exact"/>
        <w:jc w:val="center"/>
        <w:rPr>
          <w:rFonts w:hint="eastAsia" w:ascii="黑体" w:hAnsi="宋体" w:eastAsia="黑体"/>
          <w:b/>
          <w:bCs/>
          <w:sz w:val="72"/>
          <w:szCs w:val="72"/>
        </w:rPr>
      </w:pPr>
      <w:r>
        <w:rPr>
          <w:rFonts w:hint="eastAsia" w:ascii="黑体" w:hAnsi="黑体" w:eastAsia="黑体"/>
          <w:b/>
          <w:bCs/>
          <w:sz w:val="72"/>
          <w:szCs w:val="72"/>
        </w:rPr>
        <w:t>标</w:t>
      </w:r>
    </w:p>
    <w:p w14:paraId="18BFF9BF">
      <w:pPr>
        <w:spacing w:line="800" w:lineRule="exact"/>
        <w:jc w:val="center"/>
        <w:rPr>
          <w:rFonts w:hint="eastAsia" w:ascii="黑体" w:hAnsi="宋体" w:eastAsia="黑体"/>
          <w:b/>
          <w:bCs/>
          <w:sz w:val="48"/>
          <w:szCs w:val="48"/>
        </w:rPr>
      </w:pPr>
    </w:p>
    <w:p w14:paraId="0B7B1664">
      <w:pPr>
        <w:spacing w:line="800" w:lineRule="exact"/>
        <w:jc w:val="center"/>
        <w:rPr>
          <w:rFonts w:hint="eastAsia" w:ascii="黑体" w:hAnsi="宋体" w:eastAsia="黑体"/>
          <w:b/>
          <w:bCs/>
          <w:sz w:val="72"/>
          <w:szCs w:val="72"/>
        </w:rPr>
      </w:pPr>
      <w:r>
        <w:rPr>
          <w:rFonts w:hint="eastAsia" w:ascii="黑体" w:hAnsi="黑体" w:eastAsia="黑体"/>
          <w:b/>
          <w:bCs/>
          <w:sz w:val="72"/>
          <w:szCs w:val="72"/>
        </w:rPr>
        <w:t>书</w:t>
      </w:r>
    </w:p>
    <w:p w14:paraId="437E50D2">
      <w:pPr>
        <w:spacing w:line="600" w:lineRule="exact"/>
        <w:ind w:left="420" w:leftChars="200"/>
        <w:jc w:val="center"/>
        <w:rPr>
          <w:rFonts w:hint="eastAsia" w:ascii="宋体" w:hAnsi="宋体"/>
          <w:sz w:val="44"/>
          <w:szCs w:val="44"/>
        </w:rPr>
      </w:pPr>
    </w:p>
    <w:p w14:paraId="5570B37F">
      <w:pPr>
        <w:spacing w:line="560" w:lineRule="exact"/>
        <w:ind w:left="420" w:leftChars="200"/>
        <w:jc w:val="center"/>
        <w:rPr>
          <w:rFonts w:hint="eastAsia" w:ascii="微软雅黑" w:hAnsi="宋体" w:cs="Arial"/>
          <w:sz w:val="48"/>
          <w:szCs w:val="48"/>
        </w:rPr>
      </w:pPr>
    </w:p>
    <w:p w14:paraId="3FB04C35">
      <w:pPr>
        <w:spacing w:line="560" w:lineRule="exact"/>
        <w:rPr>
          <w:rFonts w:hint="eastAsia" w:ascii="微软雅黑" w:hAnsi="宋体" w:cs="Arial"/>
          <w:sz w:val="48"/>
          <w:szCs w:val="48"/>
        </w:rPr>
      </w:pPr>
    </w:p>
    <w:p w14:paraId="1ED9EC67">
      <w:pPr>
        <w:spacing w:line="560" w:lineRule="exact"/>
        <w:rPr>
          <w:rFonts w:hint="eastAsia" w:ascii="微软雅黑" w:hAnsi="宋体" w:cs="Arial"/>
          <w:sz w:val="48"/>
          <w:szCs w:val="48"/>
        </w:rPr>
      </w:pPr>
    </w:p>
    <w:p w14:paraId="29285FB3">
      <w:pPr>
        <w:spacing w:line="560" w:lineRule="exact"/>
        <w:rPr>
          <w:rFonts w:hint="eastAsia" w:ascii="微软雅黑" w:hAnsi="宋体" w:cs="Arial"/>
          <w:sz w:val="48"/>
          <w:szCs w:val="48"/>
        </w:rPr>
      </w:pPr>
    </w:p>
    <w:p w14:paraId="5FAD3DC0">
      <w:pPr>
        <w:spacing w:line="560" w:lineRule="exact"/>
        <w:rPr>
          <w:rFonts w:hint="eastAsia" w:ascii="微软雅黑" w:hAnsi="宋体" w:cs="Arial"/>
          <w:sz w:val="48"/>
          <w:szCs w:val="48"/>
        </w:rPr>
      </w:pPr>
    </w:p>
    <w:p w14:paraId="5B7A0389">
      <w:pPr>
        <w:adjustRightInd w:val="0"/>
        <w:snapToGrid w:val="0"/>
        <w:spacing w:line="560" w:lineRule="exact"/>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深圳市发展和改革委员会</w:t>
      </w:r>
    </w:p>
    <w:p w14:paraId="6C89B028">
      <w:pPr>
        <w:spacing w:line="56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w:t>
      </w:r>
      <w:r>
        <w:rPr>
          <w:rFonts w:hint="eastAsia" w:ascii="宋体" w:hAnsi="宋体"/>
          <w:b/>
          <w:bCs/>
          <w:sz w:val="32"/>
          <w:szCs w:val="32"/>
          <w:lang w:val="en-US" w:eastAsia="zh-CN"/>
        </w:rPr>
        <w:t>4</w:t>
      </w:r>
      <w:r>
        <w:rPr>
          <w:rFonts w:hint="eastAsia" w:ascii="宋体" w:hAnsi="宋体"/>
          <w:b/>
          <w:bCs/>
          <w:sz w:val="32"/>
          <w:szCs w:val="32"/>
        </w:rPr>
        <w:t>月</w:t>
      </w:r>
    </w:p>
    <w:p w14:paraId="008418AD">
      <w:pPr>
        <w:spacing w:line="560" w:lineRule="exact"/>
        <w:jc w:val="left"/>
        <w:rPr>
          <w:rFonts w:hint="eastAsia" w:ascii="宋体" w:hAnsi="宋体" w:cs="宋体"/>
          <w:b/>
          <w:bCs/>
          <w:sz w:val="44"/>
          <w:szCs w:val="44"/>
        </w:rPr>
        <w:sectPr>
          <w:pgSz w:w="11906" w:h="16838"/>
          <w:pgMar w:top="1400" w:right="1797" w:bottom="1089" w:left="1797" w:header="720" w:footer="720" w:gutter="0"/>
          <w:pgNumType w:fmt="decimal"/>
          <w:cols w:space="720" w:num="1"/>
          <w:docGrid w:type="lines" w:linePitch="312" w:charSpace="0"/>
        </w:sectPr>
      </w:pPr>
    </w:p>
    <w:p w14:paraId="5F1F8783">
      <w:pPr>
        <w:adjustRightInd w:val="0"/>
        <w:snapToGrid w:val="0"/>
        <w:spacing w:line="560" w:lineRule="exact"/>
        <w:jc w:val="center"/>
        <w:rPr>
          <w:rFonts w:hint="eastAsia" w:ascii="宋体" w:hAnsi="宋体" w:cs="Arial"/>
          <w:b/>
          <w:bCs/>
          <w:sz w:val="44"/>
          <w:szCs w:val="44"/>
        </w:rPr>
      </w:pPr>
    </w:p>
    <w:p w14:paraId="304969E3">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深圳市“十四五”规划纲要实施情况</w:t>
      </w:r>
    </w:p>
    <w:p w14:paraId="63854318">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第三方评估研究招标书</w:t>
      </w:r>
    </w:p>
    <w:p w14:paraId="5CEA693D">
      <w:pPr>
        <w:spacing w:line="560" w:lineRule="exact"/>
        <w:ind w:firstLine="643" w:firstLineChars="200"/>
        <w:rPr>
          <w:rFonts w:hint="eastAsia" w:ascii="黑体" w:hAnsi="黑体" w:eastAsia="黑体"/>
          <w:b/>
          <w:bCs/>
          <w:sz w:val="32"/>
          <w:szCs w:val="32"/>
        </w:rPr>
      </w:pPr>
    </w:p>
    <w:p w14:paraId="1815952E">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14:paraId="513FF121">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（一）项目名称：深圳市“十四五”规划纲要实施情况第三方评估研究。</w:t>
      </w:r>
    </w:p>
    <w:p w14:paraId="1AE52A58">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（二）服务期限：自合同签订之日起10个月。</w:t>
      </w:r>
    </w:p>
    <w:p w14:paraId="53FFA673">
      <w:pPr>
        <w:adjustRightInd w:val="0"/>
        <w:snapToGrid w:val="0"/>
        <w:spacing w:line="560" w:lineRule="exact"/>
        <w:ind w:firstLine="640" w:firstLineChars="200"/>
        <w:outlineLvl w:val="0"/>
        <w:rPr>
          <w:rFonts w:hint="eastAsia" w:ascii="仿宋_GB2312" w:hAnsi="仿宋" w:eastAsia="仿宋_GB2312" w:cs="仿宋_GB2312"/>
          <w:sz w:val="32"/>
          <w:szCs w:val="32"/>
          <w:highlight w:val="yellow"/>
        </w:rPr>
      </w:pPr>
      <w:r>
        <w:rPr>
          <w:rFonts w:hint="eastAsia" w:ascii="仿宋_GB2312" w:hAnsi="仿宋" w:eastAsia="仿宋_GB2312" w:cs="仿宋_GB2312"/>
          <w:sz w:val="32"/>
          <w:szCs w:val="32"/>
        </w:rPr>
        <w:t>（三）项目预算：</w:t>
      </w:r>
      <w:r>
        <w:rPr>
          <w:rFonts w:hint="eastAsia" w:ascii="仿宋_GB2312" w:hAnsi="仿宋" w:eastAsia="仿宋_GB2312" w:cs="仿宋_GB2312"/>
          <w:sz w:val="32"/>
          <w:szCs w:val="32"/>
          <w:lang w:val="en-US" w:eastAsia="zh-CN"/>
        </w:rPr>
        <w:t>不超过</w:t>
      </w:r>
      <w:r>
        <w:rPr>
          <w:rFonts w:hint="eastAsia" w:ascii="仿宋_GB2312" w:hAnsi="仿宋" w:eastAsia="仿宋_GB2312" w:cs="仿宋_GB2312"/>
          <w:sz w:val="32"/>
          <w:szCs w:val="32"/>
        </w:rPr>
        <w:t>70万元。</w:t>
      </w:r>
    </w:p>
    <w:p w14:paraId="5D33678C">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14:paraId="5596680A">
      <w:pPr>
        <w:adjustRightInd w:val="0"/>
        <w:snapToGrid w:val="0"/>
        <w:spacing w:line="560" w:lineRule="exact"/>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从第三方角度客观评价《深圳市国民经济和社会发展第十四个五年规划和二〇三五年远景目标纲要》（以下简称《规划纲要》）主要目标任务及国家、广东省“十四五”规划纲要涉深事项的完成情况，总结规划实施成效及存在问题，梳理重要经验与典型案例，</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内容主要包括以下三个方面。</w:t>
      </w:r>
    </w:p>
    <w:p w14:paraId="46033CC2">
      <w:pPr>
        <w:adjustRightInd w:val="0"/>
        <w:snapToGrid w:val="0"/>
        <w:spacing w:line="560" w:lineRule="exact"/>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（一）评估《规划纲要》重点任务、重大改革举措、主要指标、重大项目完成情况、完成进度，对规划期末能否达到目标作出研判，并分析存在问题及原因。</w:t>
      </w:r>
    </w:p>
    <w:p w14:paraId="75E9C9A6">
      <w:pPr>
        <w:adjustRightInd w:val="0"/>
        <w:snapToGrid w:val="0"/>
        <w:spacing w:line="560" w:lineRule="exact"/>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（二）科学评估国家和广东省“十四五”规划涉深事项进展情况，分析取得成效、存在问题。</w:t>
      </w:r>
    </w:p>
    <w:p w14:paraId="0EF90566">
      <w:pPr>
        <w:adjustRightInd w:val="0"/>
        <w:snapToGrid w:val="0"/>
        <w:spacing w:line="560" w:lineRule="exact"/>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（三）全面评价《规划纲要》整体实施情况，总结重要经验以及典型案例，为做好“十五五”规划编制实施提供参考。</w:t>
      </w:r>
    </w:p>
    <w:p w14:paraId="3E7F1DE7">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三、项目实施要求</w:t>
      </w:r>
    </w:p>
    <w:p w14:paraId="54A321D1">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14:paraId="12DA3C91">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14:paraId="7E4DE90A">
      <w:pPr>
        <w:pStyle w:val="2"/>
        <w:keepNext w:val="0"/>
        <w:keepLines w:val="0"/>
        <w:spacing w:before="0" w:after="0" w:line="560" w:lineRule="exact"/>
        <w:ind w:firstLine="640" w:firstLineChars="200"/>
      </w:pPr>
      <w:r>
        <w:rPr>
          <w:rFonts w:hint="eastAsia" w:ascii="仿宋_GB2312" w:hAnsi="Times New Roman" w:eastAsia="仿宋_GB2312"/>
          <w:b w:val="0"/>
        </w:rPr>
        <w:t>（三）研究成果要具有前瞻性，面向未来、视野开阔；具有系统性，体系完整、内容全面、材料丰富；具有实用性，符合深圳实际情况，针对性和可操作性强。</w:t>
      </w:r>
    </w:p>
    <w:p w14:paraId="22C59730">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14:paraId="2CE765FA">
      <w:pPr>
        <w:spacing w:line="560" w:lineRule="exact"/>
        <w:ind w:firstLine="640" w:firstLineChars="200"/>
        <w:rPr>
          <w:rFonts w:ascii="Times New Roman" w:hAnsi="Times New Roman"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提交研究成果纸</w:t>
      </w:r>
      <w:r>
        <w:rPr>
          <w:rFonts w:hint="eastAsia" w:ascii="仿宋_GB2312" w:hAnsi="仿宋_GB2312" w:eastAsia="仿宋_GB2312" w:cs="仿宋_GB2312"/>
          <w:color w:val="000000" w:themeColor="text1"/>
          <w:sz w:val="32"/>
          <w:szCs w:val="24"/>
          <w14:textFill>
            <w14:solidFill>
              <w14:schemeClr w14:val="tx1"/>
            </w14:solidFill>
          </w14:textFill>
        </w:rPr>
        <w:t>质版5份</w:t>
      </w:r>
      <w:r>
        <w:rPr>
          <w:rFonts w:hint="eastAsia" w:ascii="Times New Roman" w:hAnsi="Times New Roman" w:eastAsia="仿宋_GB2312"/>
          <w:color w:val="000000" w:themeColor="text1"/>
          <w:sz w:val="32"/>
          <w:szCs w:val="24"/>
          <w14:textFill>
            <w14:solidFill>
              <w14:schemeClr w14:val="tx1"/>
            </w14:solidFill>
          </w14:textFill>
        </w:rPr>
        <w:t>和电子版，文件能够简明扼要介绍成果核心内容与主要结论。</w:t>
      </w:r>
    </w:p>
    <w:p w14:paraId="5F6613CE">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五、投标资格要求</w:t>
      </w:r>
    </w:p>
    <w:p w14:paraId="0A7B3B81">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14:paraId="1F3BF348">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14:paraId="0E62D659">
      <w:pPr>
        <w:pStyle w:val="2"/>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（三）参加本次政府采购活动前</w:t>
      </w:r>
      <w:r>
        <w:rPr>
          <w:rFonts w:ascii="仿宋_GB2312" w:hAnsi="Times New Roman" w:eastAsia="仿宋_GB2312"/>
          <w:b w:val="0"/>
          <w:color w:val="auto"/>
        </w:rPr>
        <w:t>3年内在经营活动中没有重大违法记录（提供声明函，格式自拟）。</w:t>
      </w:r>
    </w:p>
    <w:p w14:paraId="3DF2E6C5">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六、投标时间、</w:t>
      </w:r>
      <w:r>
        <w:rPr>
          <w:rFonts w:hint="eastAsia" w:ascii="黑体" w:hAnsi="黑体" w:eastAsia="黑体"/>
          <w:sz w:val="32"/>
          <w:szCs w:val="32"/>
          <w:lang w:eastAsia="zh-CN"/>
        </w:rPr>
        <w:t>地点</w:t>
      </w:r>
      <w:r>
        <w:rPr>
          <w:rFonts w:hint="eastAsia" w:ascii="黑体" w:hAnsi="黑体" w:eastAsia="黑体"/>
          <w:sz w:val="32"/>
          <w:szCs w:val="32"/>
        </w:rPr>
        <w:t>及联系</w:t>
      </w:r>
      <w:r>
        <w:rPr>
          <w:rFonts w:hint="eastAsia" w:ascii="黑体" w:hAnsi="黑体" w:eastAsia="黑体"/>
          <w:sz w:val="32"/>
          <w:szCs w:val="32"/>
          <w:lang w:eastAsia="zh-CN"/>
        </w:rPr>
        <w:t>电话</w:t>
      </w:r>
    </w:p>
    <w:p w14:paraId="13E7E44C">
      <w:pPr>
        <w:spacing w:line="560" w:lineRule="exact"/>
        <w:ind w:firstLine="640" w:firstLineChars="200"/>
        <w:rPr>
          <w:rFonts w:ascii="Times New Roman" w:hAnsi="Times New Roman" w:eastAsia="仿宋_GB2312"/>
          <w:color w:val="0000FF"/>
          <w:sz w:val="32"/>
          <w:szCs w:val="24"/>
        </w:rPr>
      </w:pPr>
      <w:r>
        <w:rPr>
          <w:rFonts w:hint="eastAsia" w:ascii="Times New Roman" w:hAnsi="Times New Roman" w:eastAsia="仿宋_GB2312"/>
          <w:color w:val="000000" w:themeColor="text1"/>
          <w:sz w:val="32"/>
          <w:szCs w:val="24"/>
          <w14:textFill>
            <w14:solidFill>
              <w14:schemeClr w14:val="tx1"/>
            </w14:solidFill>
          </w14:textFill>
        </w:rPr>
        <w:t>（一）投标</w:t>
      </w:r>
      <w:r>
        <w:rPr>
          <w:rFonts w:ascii="仿宋_GB2312" w:hAnsi="仿宋_GB2312" w:eastAsia="仿宋_GB2312" w:cs="仿宋_GB2312"/>
          <w:color w:val="000000" w:themeColor="text1"/>
          <w:sz w:val="32"/>
          <w:szCs w:val="24"/>
          <w14:textFill>
            <w14:solidFill>
              <w14:schemeClr w14:val="tx1"/>
            </w14:solidFill>
          </w14:textFill>
        </w:rPr>
        <w:t>时间：202</w:t>
      </w:r>
      <w:r>
        <w:rPr>
          <w:rFonts w:hint="eastAsia" w:ascii="仿宋_GB2312" w:hAnsi="仿宋_GB2312" w:eastAsia="仿宋_GB2312" w:cs="仿宋_GB2312"/>
          <w:color w:val="000000" w:themeColor="text1"/>
          <w:sz w:val="32"/>
          <w:szCs w:val="24"/>
          <w14:textFill>
            <w14:solidFill>
              <w14:schemeClr w14:val="tx1"/>
            </w14:solidFill>
          </w14:textFill>
        </w:rPr>
        <w:t>5</w:t>
      </w:r>
      <w:r>
        <w:rPr>
          <w:rFonts w:ascii="仿宋_GB2312" w:hAnsi="仿宋_GB2312" w:eastAsia="仿宋_GB2312" w:cs="仿宋_GB2312"/>
          <w:color w:val="000000" w:themeColor="text1"/>
          <w:sz w:val="32"/>
          <w:szCs w:val="24"/>
          <w14:textFill>
            <w14:solidFill>
              <w14:schemeClr w14:val="tx1"/>
            </w14:solidFill>
          </w14:textFill>
        </w:rPr>
        <w:t>年</w:t>
      </w:r>
      <w:r>
        <w:rPr>
          <w:rFonts w:hint="eastAsia" w:ascii="仿宋_GB2312" w:hAnsi="仿宋_GB2312" w:eastAsia="仿宋_GB2312" w:cs="仿宋_GB2312"/>
          <w:color w:val="auto"/>
          <w:sz w:val="32"/>
          <w:szCs w:val="24"/>
          <w:highlight w:val="none"/>
          <w:lang w:val="en-US" w:eastAsia="zh-CN"/>
        </w:rPr>
        <w:t>4</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30</w:t>
      </w:r>
      <w:r>
        <w:rPr>
          <w:rFonts w:ascii="仿宋_GB2312" w:hAnsi="仿宋_GB2312" w:eastAsia="仿宋_GB2312" w:cs="仿宋_GB2312"/>
          <w:color w:val="auto"/>
          <w:sz w:val="32"/>
          <w:szCs w:val="24"/>
          <w:highlight w:val="none"/>
        </w:rPr>
        <w:t>日至20</w:t>
      </w:r>
      <w:r>
        <w:rPr>
          <w:rFonts w:hint="eastAsia" w:ascii="仿宋_GB2312" w:hAnsi="仿宋_GB2312" w:eastAsia="仿宋_GB2312" w:cs="仿宋_GB2312"/>
          <w:color w:val="auto"/>
          <w:sz w:val="32"/>
          <w:szCs w:val="24"/>
          <w:highlight w:val="none"/>
        </w:rPr>
        <w:t>25</w:t>
      </w:r>
      <w:r>
        <w:rPr>
          <w:rFonts w:ascii="仿宋_GB2312" w:hAnsi="仿宋_GB2312" w:eastAsia="仿宋_GB2312" w:cs="仿宋_GB2312"/>
          <w:color w:val="auto"/>
          <w:sz w:val="32"/>
          <w:szCs w:val="24"/>
          <w:highlight w:val="none"/>
        </w:rPr>
        <w:t>年</w:t>
      </w:r>
      <w:r>
        <w:rPr>
          <w:rFonts w:hint="eastAsia" w:ascii="仿宋_GB2312" w:hAnsi="仿宋_GB2312" w:eastAsia="仿宋_GB2312" w:cs="仿宋_GB2312"/>
          <w:color w:val="auto"/>
          <w:sz w:val="32"/>
          <w:szCs w:val="24"/>
          <w:highlight w:val="none"/>
          <w:lang w:val="en-US" w:eastAsia="zh-CN"/>
        </w:rPr>
        <w:t>5</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9</w:t>
      </w:r>
      <w:r>
        <w:rPr>
          <w:rFonts w:ascii="仿宋_GB2312" w:hAnsi="仿宋_GB2312" w:eastAsia="仿宋_GB2312" w:cs="仿宋_GB2312"/>
          <w:color w:val="auto"/>
          <w:sz w:val="32"/>
          <w:szCs w:val="24"/>
          <w:highlight w:val="none"/>
        </w:rPr>
        <w:t>日</w:t>
      </w:r>
      <w:r>
        <w:rPr>
          <w:rFonts w:ascii="仿宋_GB2312" w:hAnsi="仿宋_GB2312" w:eastAsia="仿宋_GB2312" w:cs="仿宋_GB2312"/>
          <w:color w:val="000000" w:themeColor="text1"/>
          <w:sz w:val="32"/>
          <w:szCs w:val="24"/>
          <w14:textFill>
            <w14:solidFill>
              <w14:schemeClr w14:val="tx1"/>
            </w14:solidFill>
          </w14:textFill>
        </w:rPr>
        <w:t>，每日上午9:00-12:00，下午2:00-5:45（节假日除外）。逾期未投标将不再受理</w:t>
      </w:r>
      <w:r>
        <w:rPr>
          <w:rFonts w:hint="eastAsia" w:ascii="Times New Roman" w:hAnsi="Times New Roman" w:eastAsia="仿宋_GB2312"/>
          <w:color w:val="000000" w:themeColor="text1"/>
          <w:sz w:val="32"/>
          <w:szCs w:val="24"/>
          <w14:textFill>
            <w14:solidFill>
              <w14:schemeClr w14:val="tx1"/>
            </w14:solidFill>
          </w14:textFill>
        </w:rPr>
        <w:t>。</w:t>
      </w:r>
    </w:p>
    <w:p w14:paraId="49649AEC">
      <w:pPr>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（二）投</w:t>
      </w:r>
      <w:r>
        <w:rPr>
          <w:rFonts w:ascii="仿宋_GB2312" w:hAnsi="仿宋_GB2312" w:eastAsia="仿宋_GB2312" w:cs="仿宋_GB2312"/>
          <w:color w:val="000000" w:themeColor="text1"/>
          <w:sz w:val="32"/>
          <w:szCs w:val="24"/>
          <w14:textFill>
            <w14:solidFill>
              <w14:schemeClr w14:val="tx1"/>
            </w14:solidFill>
          </w14:textFill>
        </w:rPr>
        <w:t>标地点：深圳市福田区福中三路市民中心B区行政服务大厅2号市发展和改革委卡座（可邮寄，以送达日期为投标日期）。</w:t>
      </w:r>
    </w:p>
    <w:p w14:paraId="15E12880">
      <w:pPr>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（三）联系</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电话</w:t>
      </w:r>
      <w:r>
        <w:rPr>
          <w:rFonts w:hint="eastAsia" w:ascii="仿宋_GB2312" w:hAnsi="仿宋_GB2312" w:eastAsia="仿宋_GB2312" w:cs="仿宋_GB2312"/>
          <w:color w:val="000000" w:themeColor="text1"/>
          <w:sz w:val="32"/>
          <w:szCs w:val="24"/>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0755-</w:t>
      </w:r>
      <w:r>
        <w:rPr>
          <w:rFonts w:hint="eastAsia" w:ascii="仿宋_GB2312" w:hAnsi="仿宋_GB2312" w:eastAsia="仿宋_GB2312" w:cs="仿宋_GB2312"/>
          <w:color w:val="000000" w:themeColor="text1"/>
          <w:sz w:val="32"/>
          <w:szCs w:val="32"/>
          <w:highlight w:val="none"/>
          <w14:textFill>
            <w14:solidFill>
              <w14:schemeClr w14:val="tx1"/>
            </w14:solidFill>
          </w14:textFill>
        </w:rPr>
        <w:t>8812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1840，0755-88125842</w:t>
      </w:r>
      <w:r>
        <w:rPr>
          <w:rFonts w:hint="eastAsia" w:ascii="仿宋_GB2312" w:hAnsi="仿宋_GB2312" w:eastAsia="仿宋_GB2312" w:cs="仿宋_GB2312"/>
          <w:color w:val="000000" w:themeColor="text1"/>
          <w:sz w:val="32"/>
          <w:szCs w:val="32"/>
          <w14:textFill>
            <w14:solidFill>
              <w14:schemeClr w14:val="tx1"/>
            </w14:solidFill>
          </w14:textFill>
        </w:rPr>
        <w:t>（窗口电话）</w:t>
      </w:r>
      <w:r>
        <w:rPr>
          <w:rFonts w:hint="eastAsia" w:ascii="仿宋_GB2312" w:hAnsi="仿宋_GB2312" w:eastAsia="仿宋_GB2312" w:cs="仿宋_GB2312"/>
          <w:color w:val="000000" w:themeColor="text1"/>
          <w:sz w:val="32"/>
          <w:szCs w:val="24"/>
          <w14:textFill>
            <w14:solidFill>
              <w14:schemeClr w14:val="tx1"/>
            </w14:solidFill>
          </w14:textFill>
        </w:rPr>
        <w:t>。</w:t>
      </w:r>
    </w:p>
    <w:p w14:paraId="4BFAD3DA">
      <w:pPr>
        <w:adjustRightInd w:val="0"/>
        <w:snapToGrid w:val="0"/>
        <w:spacing w:line="560" w:lineRule="exact"/>
        <w:ind w:firstLine="640" w:firstLineChars="200"/>
        <w:outlineLvl w:val="0"/>
        <w:rPr>
          <w:rFonts w:hint="eastAsia" w:ascii="黑体" w:hAnsi="黑体" w:eastAsia="黑体"/>
          <w:sz w:val="32"/>
          <w:szCs w:val="32"/>
        </w:rPr>
      </w:pPr>
      <w:r>
        <w:rPr>
          <w:rFonts w:ascii="黑体" w:hAnsi="黑体" w:eastAsia="黑体"/>
          <w:sz w:val="32"/>
          <w:szCs w:val="32"/>
        </w:rPr>
        <w:t>七</w:t>
      </w:r>
      <w:r>
        <w:rPr>
          <w:rFonts w:hint="eastAsia" w:ascii="黑体" w:hAnsi="黑体" w:eastAsia="黑体"/>
          <w:sz w:val="32"/>
          <w:szCs w:val="32"/>
        </w:rPr>
        <w:t>、投标文件递交内容</w:t>
      </w:r>
    </w:p>
    <w:p w14:paraId="0F1BDC54">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14:paraId="048ADF12">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14:paraId="79AF566A">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14:paraId="69DC2DED">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14:paraId="47FD1452">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（五）投标人相关领域/项目经验证明材料（复印件加盖公章）。</w:t>
      </w:r>
    </w:p>
    <w:p w14:paraId="7268E5F3">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14:paraId="7BC8477F">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14:paraId="33C43BDC">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14:paraId="2B1B9F32">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（九）投标人认为有必要提供的其他材料。</w:t>
      </w:r>
    </w:p>
    <w:p w14:paraId="731AB7D2">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投标文件纸质版一式六份（另附光盘拷贝电子版），整套材料密封并加盖骑缝章，封面注明投标人的名称、地址、联系人及手机号码。</w:t>
      </w:r>
    </w:p>
    <w:p w14:paraId="448BFA88">
      <w:pPr>
        <w:adjustRightInd w:val="0"/>
        <w:snapToGrid w:val="0"/>
        <w:spacing w:line="560" w:lineRule="exact"/>
        <w:ind w:firstLine="640" w:firstLineChars="200"/>
        <w:outlineLvl w:val="0"/>
        <w:rPr>
          <w:rFonts w:hint="eastAsia"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14:paraId="012016C5">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14:paraId="216747B4">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14:paraId="2997717B">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14:paraId="4601FA9B">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14:paraId="17A19B2C">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14:paraId="596227F3">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14:paraId="697C668B">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14:paraId="58CE0828">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27D60D92">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14:paraId="0861AC81">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（九）法律法规规定的其他情形。</w:t>
      </w:r>
    </w:p>
    <w:p w14:paraId="49FD396C">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九、评标方法</w:t>
      </w:r>
    </w:p>
    <w:p w14:paraId="4664FD5F">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评标方法为综合评分法，具体评分标准和规则为：投标文件从技术、商务和价格等三个评审因素进行评分，出现总分相同的，则总分相等投标人中最低价者中标。</w:t>
      </w:r>
    </w:p>
    <w:p w14:paraId="191B0707">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（二）综合评分表</w:t>
      </w:r>
    </w:p>
    <w:tbl>
      <w:tblPr>
        <w:tblStyle w:val="5"/>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1D43A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50D24A79">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14:paraId="10965455">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14:paraId="5D8025C1">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14:paraId="4769A79C">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14:paraId="7E8EC25D">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14:paraId="4009E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378C5585">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14:paraId="46CDA8BE">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hint="default" w:ascii="宋体" w:hAnsi="宋体"/>
                <w:b/>
                <w:sz w:val="22"/>
                <w:szCs w:val="24"/>
                <w:lang w:val="en-US"/>
              </w:rPr>
              <w:t>40</w:t>
            </w:r>
            <w:r>
              <w:rPr>
                <w:rFonts w:hint="eastAsia" w:ascii="宋体" w:hAnsi="宋体"/>
                <w:b/>
                <w:sz w:val="22"/>
                <w:szCs w:val="24"/>
              </w:rPr>
              <w:t>分）</w:t>
            </w:r>
          </w:p>
        </w:tc>
      </w:tr>
      <w:tr w14:paraId="2B70D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6D1DD0CC">
            <w:pPr>
              <w:numPr>
                <w:ilvl w:val="0"/>
                <w:numId w:val="1"/>
              </w:numPr>
              <w:spacing w:line="300" w:lineRule="exact"/>
              <w:jc w:val="right"/>
              <w:rPr>
                <w:rFonts w:hint="eastAsia" w:ascii="宋体" w:hAnsi="宋体"/>
                <w:sz w:val="22"/>
                <w:szCs w:val="24"/>
              </w:rPr>
            </w:pPr>
          </w:p>
        </w:tc>
        <w:tc>
          <w:tcPr>
            <w:tcW w:w="1202" w:type="dxa"/>
            <w:vAlign w:val="center"/>
          </w:tcPr>
          <w:p w14:paraId="36A039A8">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14:paraId="620E7BB9">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14:paraId="2D120A87">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14:paraId="25603D63">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14:paraId="4DE85B1E">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14:paraId="5323AEEB">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14:paraId="09C90062">
            <w:pPr>
              <w:spacing w:line="300" w:lineRule="exact"/>
              <w:jc w:val="center"/>
              <w:rPr>
                <w:rFonts w:hint="eastAsia" w:ascii="宋体" w:hAnsi="宋体"/>
                <w:sz w:val="22"/>
                <w:szCs w:val="24"/>
              </w:rPr>
            </w:pPr>
            <w:r>
              <w:rPr>
                <w:rFonts w:ascii="宋体" w:hAnsi="宋体"/>
                <w:sz w:val="22"/>
                <w:szCs w:val="24"/>
              </w:rPr>
              <w:t>2</w:t>
            </w:r>
            <w:r>
              <w:rPr>
                <w:rFonts w:hint="eastAsia" w:ascii="宋体" w:hAnsi="宋体"/>
                <w:sz w:val="22"/>
                <w:szCs w:val="24"/>
              </w:rPr>
              <w:t>5</w:t>
            </w:r>
          </w:p>
        </w:tc>
        <w:tc>
          <w:tcPr>
            <w:tcW w:w="851" w:type="dxa"/>
            <w:tcBorders>
              <w:left w:val="single" w:color="auto" w:sz="4" w:space="0"/>
            </w:tcBorders>
            <w:vAlign w:val="center"/>
          </w:tcPr>
          <w:p w14:paraId="671D5D2E">
            <w:pPr>
              <w:spacing w:line="300" w:lineRule="exact"/>
              <w:jc w:val="center"/>
              <w:rPr>
                <w:rFonts w:hint="eastAsia" w:ascii="宋体" w:hAnsi="宋体"/>
                <w:sz w:val="22"/>
                <w:szCs w:val="24"/>
              </w:rPr>
            </w:pPr>
            <w:r>
              <w:rPr>
                <w:rFonts w:hint="eastAsia" w:ascii="宋体" w:hAnsi="宋体"/>
                <w:sz w:val="22"/>
                <w:szCs w:val="24"/>
              </w:rPr>
              <w:t>25</w:t>
            </w:r>
          </w:p>
        </w:tc>
      </w:tr>
      <w:tr w14:paraId="36B5B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13F6F125">
            <w:pPr>
              <w:numPr>
                <w:ilvl w:val="0"/>
                <w:numId w:val="1"/>
              </w:numPr>
              <w:spacing w:line="300" w:lineRule="exact"/>
              <w:jc w:val="right"/>
              <w:rPr>
                <w:rFonts w:hint="eastAsia" w:ascii="宋体" w:hAnsi="宋体"/>
                <w:sz w:val="22"/>
                <w:szCs w:val="24"/>
              </w:rPr>
            </w:pPr>
          </w:p>
        </w:tc>
        <w:tc>
          <w:tcPr>
            <w:tcW w:w="1202" w:type="dxa"/>
            <w:vAlign w:val="center"/>
          </w:tcPr>
          <w:p w14:paraId="599B0D3C">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14:paraId="533E9566">
            <w:pPr>
              <w:spacing w:line="300" w:lineRule="exact"/>
              <w:jc w:val="left"/>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14:paraId="753B4514">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14:paraId="4E0F86F3">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14:paraId="19F6576B">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14:paraId="03478C7E">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14:paraId="2EA89E77">
            <w:pPr>
              <w:spacing w:line="300" w:lineRule="exact"/>
              <w:jc w:val="center"/>
              <w:rPr>
                <w:rFonts w:hint="default" w:ascii="宋体" w:hAnsi="宋体" w:eastAsia="宋体"/>
                <w:sz w:val="22"/>
                <w:szCs w:val="24"/>
                <w:lang w:val="en-US" w:eastAsia="zh-CN"/>
              </w:rPr>
            </w:pPr>
            <w:r>
              <w:rPr>
                <w:rFonts w:hint="default" w:ascii="宋体" w:hAnsi="宋体"/>
                <w:sz w:val="22"/>
                <w:szCs w:val="24"/>
                <w:lang w:val="en-US"/>
              </w:rPr>
              <w:t>10</w:t>
            </w:r>
          </w:p>
        </w:tc>
        <w:tc>
          <w:tcPr>
            <w:tcW w:w="851" w:type="dxa"/>
            <w:tcBorders>
              <w:left w:val="single" w:color="auto" w:sz="4" w:space="0"/>
            </w:tcBorders>
            <w:vAlign w:val="center"/>
          </w:tcPr>
          <w:p w14:paraId="246026EA">
            <w:pPr>
              <w:spacing w:line="300" w:lineRule="exact"/>
              <w:jc w:val="center"/>
              <w:rPr>
                <w:rFonts w:hint="default" w:ascii="宋体" w:hAnsi="宋体" w:eastAsia="宋体"/>
                <w:sz w:val="22"/>
                <w:szCs w:val="24"/>
                <w:lang w:val="en-US" w:eastAsia="zh-CN"/>
              </w:rPr>
            </w:pPr>
            <w:r>
              <w:rPr>
                <w:rFonts w:hint="default" w:ascii="宋体" w:hAnsi="宋体"/>
                <w:sz w:val="22"/>
                <w:szCs w:val="24"/>
                <w:lang w:val="en-US"/>
              </w:rPr>
              <w:t>10</w:t>
            </w:r>
          </w:p>
        </w:tc>
      </w:tr>
      <w:tr w14:paraId="48C14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681B1504">
            <w:pPr>
              <w:numPr>
                <w:ilvl w:val="0"/>
                <w:numId w:val="1"/>
              </w:numPr>
              <w:spacing w:line="300" w:lineRule="exact"/>
              <w:jc w:val="right"/>
              <w:rPr>
                <w:rFonts w:hint="eastAsia" w:ascii="宋体" w:hAnsi="宋体"/>
                <w:sz w:val="22"/>
                <w:szCs w:val="24"/>
              </w:rPr>
            </w:pPr>
          </w:p>
        </w:tc>
        <w:tc>
          <w:tcPr>
            <w:tcW w:w="1202" w:type="dxa"/>
            <w:vAlign w:val="center"/>
          </w:tcPr>
          <w:p w14:paraId="3DA0C90D">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14:paraId="2791B959">
            <w:pPr>
              <w:spacing w:line="300" w:lineRule="exact"/>
              <w:jc w:val="lef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14:paraId="0CD8F176">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投标人提供违约承诺</w:t>
            </w:r>
            <w:r>
              <w:rPr>
                <w:rFonts w:hint="eastAsia" w:ascii="宋体" w:hAnsi="宋体" w:cs="宋体"/>
                <w:kern w:val="0"/>
                <w:sz w:val="22"/>
                <w:szCs w:val="24"/>
                <w:lang w:eastAsia="zh-CN"/>
              </w:rPr>
              <w:t>得</w:t>
            </w:r>
            <w:r>
              <w:rPr>
                <w:rFonts w:hint="eastAsia" w:ascii="宋体" w:hAnsi="宋体" w:cs="宋体"/>
                <w:kern w:val="0"/>
                <w:sz w:val="22"/>
                <w:szCs w:val="24"/>
              </w:rPr>
              <w:t>100%。要求提供承诺（格式自定）作为得分依据，未提供承诺或承诺内容不满足要求不得分。</w:t>
            </w:r>
          </w:p>
        </w:tc>
        <w:tc>
          <w:tcPr>
            <w:tcW w:w="850" w:type="dxa"/>
            <w:tcBorders>
              <w:right w:val="single" w:color="auto" w:sz="4" w:space="0"/>
            </w:tcBorders>
            <w:vAlign w:val="center"/>
          </w:tcPr>
          <w:p w14:paraId="080BA896">
            <w:pPr>
              <w:spacing w:line="300" w:lineRule="exact"/>
              <w:jc w:val="center"/>
              <w:rPr>
                <w:rFonts w:hint="default" w:ascii="宋体" w:hAnsi="宋体" w:eastAsia="宋体"/>
                <w:sz w:val="22"/>
                <w:szCs w:val="24"/>
                <w:lang w:val="en-US" w:eastAsia="zh-CN"/>
              </w:rPr>
            </w:pPr>
            <w:r>
              <w:rPr>
                <w:rFonts w:hint="default" w:ascii="宋体" w:hAnsi="宋体"/>
                <w:sz w:val="22"/>
                <w:szCs w:val="24"/>
                <w:lang w:val="en-US"/>
              </w:rPr>
              <w:t>5</w:t>
            </w:r>
          </w:p>
        </w:tc>
        <w:tc>
          <w:tcPr>
            <w:tcW w:w="851" w:type="dxa"/>
            <w:tcBorders>
              <w:left w:val="single" w:color="auto" w:sz="4" w:space="0"/>
            </w:tcBorders>
            <w:vAlign w:val="center"/>
          </w:tcPr>
          <w:p w14:paraId="1E8A1397">
            <w:pPr>
              <w:spacing w:line="300" w:lineRule="exact"/>
              <w:jc w:val="center"/>
              <w:rPr>
                <w:rFonts w:hint="default" w:ascii="宋体" w:hAnsi="宋体" w:eastAsia="宋体"/>
                <w:sz w:val="22"/>
                <w:szCs w:val="24"/>
                <w:lang w:val="en-US" w:eastAsia="zh-CN"/>
              </w:rPr>
            </w:pPr>
            <w:r>
              <w:rPr>
                <w:rFonts w:hint="default" w:ascii="宋体" w:hAnsi="宋体"/>
                <w:sz w:val="22"/>
                <w:szCs w:val="24"/>
                <w:lang w:val="en-US"/>
              </w:rPr>
              <w:t>5</w:t>
            </w:r>
          </w:p>
        </w:tc>
      </w:tr>
      <w:tr w14:paraId="0E847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57EB6C9C">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14:paraId="0D501FB8">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default" w:ascii="宋体" w:hAnsi="宋体"/>
                <w:b/>
                <w:sz w:val="22"/>
                <w:szCs w:val="24"/>
                <w:lang w:val="en-US"/>
              </w:rPr>
              <w:t>5</w:t>
            </w:r>
            <w:r>
              <w:rPr>
                <w:rFonts w:hint="eastAsia" w:ascii="宋体" w:hAnsi="宋体"/>
                <w:b/>
                <w:sz w:val="22"/>
                <w:szCs w:val="24"/>
              </w:rPr>
              <w:t>0分）</w:t>
            </w:r>
          </w:p>
        </w:tc>
      </w:tr>
      <w:tr w14:paraId="47859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1293B2D4">
            <w:pPr>
              <w:numPr>
                <w:ilvl w:val="0"/>
                <w:numId w:val="2"/>
              </w:numPr>
              <w:spacing w:line="300" w:lineRule="exact"/>
              <w:jc w:val="center"/>
              <w:rPr>
                <w:rFonts w:hint="eastAsia" w:ascii="宋体" w:hAnsi="宋体"/>
                <w:sz w:val="22"/>
                <w:szCs w:val="24"/>
              </w:rPr>
            </w:pPr>
          </w:p>
        </w:tc>
        <w:tc>
          <w:tcPr>
            <w:tcW w:w="1202" w:type="dxa"/>
            <w:vAlign w:val="center"/>
          </w:tcPr>
          <w:p w14:paraId="0306CA2F">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14:paraId="0C7727C4">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599921A7">
            <w:pPr>
              <w:spacing w:line="300" w:lineRule="exact"/>
              <w:jc w:val="left"/>
              <w:rPr>
                <w:rFonts w:hint="eastAsia" w:ascii="宋体" w:hAnsi="宋体" w:cs="宋体"/>
                <w:kern w:val="0"/>
                <w:sz w:val="22"/>
                <w:szCs w:val="24"/>
              </w:rPr>
            </w:pPr>
            <w:r>
              <w:rPr>
                <w:rFonts w:hint="eastAsia" w:ascii="宋体" w:hAnsi="宋体" w:cs="宋体"/>
                <w:kern w:val="0"/>
                <w:sz w:val="22"/>
                <w:szCs w:val="24"/>
              </w:rPr>
              <w:t>牵头承担过国家、省或市级</w:t>
            </w:r>
            <w:r>
              <w:rPr>
                <w:rFonts w:hint="eastAsia" w:ascii="宋体" w:hAnsi="宋体" w:cs="宋体"/>
                <w:kern w:val="0"/>
                <w:sz w:val="22"/>
                <w:szCs w:val="24"/>
                <w:lang w:val="en-US" w:eastAsia="zh-CN"/>
              </w:rPr>
              <w:t>规划</w:t>
            </w:r>
            <w:r>
              <w:rPr>
                <w:rFonts w:hint="eastAsia" w:ascii="宋体" w:hAnsi="宋体" w:cs="宋体"/>
                <w:kern w:val="0"/>
                <w:sz w:val="22"/>
                <w:szCs w:val="24"/>
              </w:rPr>
              <w:t>评估</w:t>
            </w:r>
            <w:r>
              <w:rPr>
                <w:rFonts w:hint="eastAsia" w:ascii="宋体" w:hAnsi="宋体" w:cs="宋体"/>
                <w:kern w:val="0"/>
                <w:sz w:val="22"/>
                <w:szCs w:val="24"/>
                <w:lang w:eastAsia="zh-CN"/>
              </w:rPr>
              <w:t>、</w:t>
            </w:r>
            <w:r>
              <w:rPr>
                <w:rFonts w:hint="eastAsia" w:ascii="宋体" w:hAnsi="宋体" w:cs="宋体"/>
                <w:kern w:val="0"/>
                <w:sz w:val="22"/>
                <w:szCs w:val="24"/>
              </w:rPr>
              <w:t>规划编制、政策研究</w:t>
            </w:r>
            <w:r>
              <w:rPr>
                <w:rFonts w:hint="eastAsia" w:ascii="宋体" w:hAnsi="宋体" w:cs="宋体"/>
                <w:kern w:val="0"/>
                <w:sz w:val="22"/>
                <w:szCs w:val="24"/>
                <w:lang w:val="en-US" w:eastAsia="zh-CN"/>
              </w:rPr>
              <w:t>类政府课题</w:t>
            </w:r>
            <w:r>
              <w:rPr>
                <w:rFonts w:hint="eastAsia" w:ascii="宋体" w:hAnsi="宋体" w:cs="宋体"/>
                <w:kern w:val="0"/>
                <w:sz w:val="22"/>
                <w:szCs w:val="24"/>
              </w:rPr>
              <w:t>，按国家级每项20%、省级每项15%、市级每项10%进行计分，最高得分不超过100%。</w:t>
            </w:r>
          </w:p>
          <w:p w14:paraId="0481ED43">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6812D685">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（1）要求提供中标通知书、合同关键页或其他证明文件。</w:t>
            </w:r>
          </w:p>
          <w:p w14:paraId="0B1CD579">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14A1C042">
            <w:pPr>
              <w:spacing w:line="300" w:lineRule="exact"/>
              <w:jc w:val="center"/>
              <w:rPr>
                <w:rFonts w:hint="eastAsia" w:ascii="宋体" w:hAnsi="宋体" w:eastAsia="宋体"/>
                <w:sz w:val="22"/>
                <w:szCs w:val="24"/>
                <w:lang w:eastAsia="zh-CN"/>
              </w:rPr>
            </w:pPr>
            <w:r>
              <w:rPr>
                <w:rFonts w:hint="default" w:ascii="宋体" w:hAnsi="宋体"/>
                <w:sz w:val="22"/>
                <w:szCs w:val="24"/>
                <w:lang w:val="en-US"/>
              </w:rPr>
              <w:t>15</w:t>
            </w:r>
          </w:p>
        </w:tc>
        <w:tc>
          <w:tcPr>
            <w:tcW w:w="851" w:type="dxa"/>
            <w:tcBorders>
              <w:left w:val="single" w:color="auto" w:sz="4" w:space="0"/>
            </w:tcBorders>
            <w:vAlign w:val="center"/>
          </w:tcPr>
          <w:p w14:paraId="0E46C0F0">
            <w:pPr>
              <w:spacing w:line="300" w:lineRule="exact"/>
              <w:jc w:val="center"/>
              <w:rPr>
                <w:rFonts w:hint="eastAsia" w:ascii="宋体" w:hAnsi="宋体" w:eastAsia="宋体"/>
                <w:sz w:val="22"/>
                <w:szCs w:val="24"/>
                <w:lang w:eastAsia="zh-CN"/>
              </w:rPr>
            </w:pPr>
            <w:r>
              <w:rPr>
                <w:rFonts w:hint="default" w:ascii="宋体" w:hAnsi="宋体"/>
                <w:sz w:val="22"/>
                <w:szCs w:val="24"/>
                <w:lang w:val="en-US"/>
              </w:rPr>
              <w:t>15</w:t>
            </w:r>
          </w:p>
        </w:tc>
      </w:tr>
      <w:tr w14:paraId="24C6C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3DE1C030">
            <w:pPr>
              <w:numPr>
                <w:ilvl w:val="0"/>
                <w:numId w:val="2"/>
              </w:numPr>
              <w:spacing w:line="300" w:lineRule="exact"/>
              <w:jc w:val="center"/>
              <w:rPr>
                <w:rFonts w:hint="eastAsia" w:ascii="宋体" w:hAnsi="宋体"/>
                <w:sz w:val="22"/>
                <w:szCs w:val="24"/>
              </w:rPr>
            </w:pPr>
          </w:p>
        </w:tc>
        <w:tc>
          <w:tcPr>
            <w:tcW w:w="1202" w:type="dxa"/>
            <w:vAlign w:val="center"/>
          </w:tcPr>
          <w:p w14:paraId="642488AB">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14:paraId="50AE805C">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6DF2B917">
            <w:pPr>
              <w:spacing w:line="300" w:lineRule="exact"/>
              <w:jc w:val="left"/>
              <w:rPr>
                <w:rFonts w:hint="eastAsia" w:ascii="宋体" w:hAnsi="宋体" w:cs="宋体"/>
                <w:kern w:val="0"/>
                <w:sz w:val="22"/>
                <w:szCs w:val="24"/>
              </w:rPr>
            </w:pPr>
            <w:r>
              <w:rPr>
                <w:rFonts w:hint="eastAsia" w:ascii="宋体" w:hAnsi="宋体" w:cs="宋体"/>
                <w:kern w:val="0"/>
                <w:sz w:val="22"/>
                <w:szCs w:val="24"/>
              </w:rPr>
              <w:t>自2022年1月1日起至本项目投标截止之日</w:t>
            </w:r>
            <w:r>
              <w:rPr>
                <w:rFonts w:hint="eastAsia" w:ascii="宋体" w:hAnsi="宋体" w:cs="宋体"/>
                <w:kern w:val="0"/>
                <w:sz w:val="22"/>
                <w:szCs w:val="24"/>
                <w:lang w:eastAsia="zh-CN"/>
              </w:rPr>
              <w:t>，</w:t>
            </w:r>
            <w:r>
              <w:rPr>
                <w:rFonts w:hint="eastAsia" w:ascii="宋体" w:hAnsi="宋体" w:cs="宋体"/>
                <w:kern w:val="0"/>
                <w:sz w:val="22"/>
                <w:szCs w:val="24"/>
              </w:rPr>
              <w:t>投标人承担的研究项目获得</w:t>
            </w:r>
            <w:r>
              <w:rPr>
                <w:rFonts w:hint="eastAsia" w:ascii="宋体" w:hAnsi="宋体" w:cs="宋体"/>
                <w:kern w:val="0"/>
                <w:sz w:val="22"/>
                <w:szCs w:val="24"/>
                <w:lang w:val="en-US" w:eastAsia="zh-CN"/>
              </w:rPr>
              <w:t>政府颁发的奖项</w:t>
            </w:r>
            <w:r>
              <w:rPr>
                <w:rFonts w:hint="eastAsia" w:ascii="宋体" w:hAnsi="宋体" w:cs="宋体"/>
                <w:kern w:val="0"/>
                <w:sz w:val="22"/>
                <w:szCs w:val="24"/>
              </w:rPr>
              <w:t>（以获奖证书颁发时间为准），</w:t>
            </w:r>
            <w:r>
              <w:rPr>
                <w:rFonts w:hint="eastAsia" w:ascii="宋体" w:hAnsi="宋体" w:cs="宋体"/>
                <w:kern w:val="0"/>
                <w:sz w:val="22"/>
                <w:szCs w:val="24"/>
                <w:lang w:val="en-US" w:eastAsia="zh-CN"/>
              </w:rPr>
              <w:t>按国家级</w:t>
            </w:r>
            <w:r>
              <w:rPr>
                <w:rFonts w:hint="eastAsia" w:ascii="宋体" w:hAnsi="宋体" w:cs="宋体"/>
                <w:kern w:val="0"/>
                <w:sz w:val="22"/>
                <w:szCs w:val="24"/>
              </w:rPr>
              <w:t>每</w:t>
            </w:r>
            <w:r>
              <w:rPr>
                <w:rFonts w:hint="eastAsia" w:ascii="宋体" w:hAnsi="宋体" w:cs="宋体"/>
                <w:kern w:val="0"/>
                <w:sz w:val="22"/>
                <w:szCs w:val="24"/>
                <w:lang w:val="en-US" w:eastAsia="zh-CN"/>
              </w:rPr>
              <w:t>项30</w:t>
            </w:r>
            <w:r>
              <w:rPr>
                <w:rFonts w:hint="eastAsia" w:ascii="宋体" w:hAnsi="宋体" w:cs="宋体"/>
                <w:kern w:val="0"/>
                <w:sz w:val="22"/>
                <w:szCs w:val="24"/>
              </w:rPr>
              <w:t>%</w:t>
            </w:r>
            <w:r>
              <w:rPr>
                <w:rFonts w:hint="eastAsia" w:ascii="宋体" w:hAnsi="宋体" w:cs="宋体"/>
                <w:kern w:val="0"/>
                <w:sz w:val="22"/>
                <w:szCs w:val="24"/>
                <w:lang w:eastAsia="zh-CN"/>
              </w:rPr>
              <w:t>，</w:t>
            </w:r>
            <w:r>
              <w:rPr>
                <w:rFonts w:hint="eastAsia" w:ascii="宋体" w:hAnsi="宋体" w:cs="宋体"/>
                <w:kern w:val="0"/>
                <w:sz w:val="22"/>
                <w:szCs w:val="24"/>
                <w:lang w:val="en-US" w:eastAsia="zh-CN"/>
              </w:rPr>
              <w:t>省级每项20%进行计分</w:t>
            </w:r>
            <w:r>
              <w:rPr>
                <w:rFonts w:hint="eastAsia" w:ascii="宋体" w:hAnsi="宋体" w:cs="宋体"/>
                <w:kern w:val="0"/>
                <w:sz w:val="22"/>
                <w:szCs w:val="24"/>
              </w:rPr>
              <w:t>，最高得分不超过100%。</w:t>
            </w:r>
          </w:p>
          <w:p w14:paraId="22E6A23A">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5A8AB6F0">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14:paraId="35E4529C">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92D1E93">
            <w:pPr>
              <w:spacing w:line="300" w:lineRule="exact"/>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14:paraId="7F094CBE">
            <w:pPr>
              <w:spacing w:line="300" w:lineRule="exact"/>
              <w:jc w:val="center"/>
              <w:rPr>
                <w:rFonts w:hint="eastAsia" w:ascii="宋体" w:hAnsi="宋体"/>
                <w:sz w:val="22"/>
                <w:szCs w:val="24"/>
              </w:rPr>
            </w:pPr>
            <w:r>
              <w:rPr>
                <w:rFonts w:ascii="宋体" w:hAnsi="宋体"/>
                <w:sz w:val="22"/>
                <w:szCs w:val="24"/>
              </w:rPr>
              <w:t>10</w:t>
            </w:r>
          </w:p>
        </w:tc>
      </w:tr>
      <w:tr w14:paraId="1A4AC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742C06CA">
            <w:pPr>
              <w:numPr>
                <w:ilvl w:val="0"/>
                <w:numId w:val="2"/>
              </w:numPr>
              <w:spacing w:line="300" w:lineRule="exact"/>
              <w:jc w:val="center"/>
              <w:rPr>
                <w:rFonts w:hint="eastAsia" w:ascii="宋体" w:hAnsi="宋体"/>
                <w:sz w:val="22"/>
                <w:szCs w:val="24"/>
              </w:rPr>
            </w:pPr>
          </w:p>
        </w:tc>
        <w:tc>
          <w:tcPr>
            <w:tcW w:w="1202" w:type="dxa"/>
            <w:vAlign w:val="center"/>
          </w:tcPr>
          <w:p w14:paraId="00BCB4D4">
            <w:pPr>
              <w:spacing w:line="300" w:lineRule="exact"/>
              <w:jc w:val="center"/>
              <w:rPr>
                <w:rFonts w:hint="eastAsia" w:ascii="宋体" w:hAnsi="宋体"/>
                <w:sz w:val="22"/>
                <w:szCs w:val="24"/>
                <w:highlight w:val="yellow"/>
              </w:rPr>
            </w:pPr>
            <w:r>
              <w:rPr>
                <w:rFonts w:hint="eastAsia" w:ascii="宋体" w:hAnsi="宋体"/>
                <w:sz w:val="22"/>
                <w:szCs w:val="24"/>
              </w:rPr>
              <w:t>拟安排的项目负责人情况（仅限一人）</w:t>
            </w:r>
          </w:p>
        </w:tc>
        <w:tc>
          <w:tcPr>
            <w:tcW w:w="4678" w:type="dxa"/>
          </w:tcPr>
          <w:p w14:paraId="63484B71">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2D7A60E3">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lang w:val="en-US" w:eastAsia="zh-CN"/>
              </w:rPr>
              <w:t>项目负责人必须具有博士学位，否则不得分，在此基础上对其资质（资格）情况进行以下评分：</w:t>
            </w:r>
            <w:r>
              <w:rPr>
                <w:rFonts w:hint="eastAsia" w:ascii="宋体" w:hAnsi="宋体" w:cs="宋体"/>
                <w:kern w:val="0"/>
                <w:sz w:val="22"/>
                <w:szCs w:val="24"/>
              </w:rPr>
              <w:t>（1）项目负责人具有</w:t>
            </w:r>
            <w:r>
              <w:rPr>
                <w:rFonts w:hint="eastAsia" w:ascii="宋体" w:hAnsi="宋体" w:cs="宋体"/>
                <w:kern w:val="0"/>
                <w:sz w:val="22"/>
                <w:szCs w:val="24"/>
                <w:lang w:val="en-US" w:eastAsia="zh-CN"/>
              </w:rPr>
              <w:t>副</w:t>
            </w:r>
            <w:r>
              <w:rPr>
                <w:rFonts w:hint="eastAsia" w:ascii="宋体" w:hAnsi="宋体" w:cs="宋体"/>
                <w:kern w:val="0"/>
                <w:sz w:val="22"/>
                <w:szCs w:val="24"/>
                <w:shd w:val="clear"/>
                <w:lang w:val="en-US" w:eastAsia="zh-CN"/>
              </w:rPr>
              <w:t>高级及以上</w:t>
            </w:r>
            <w:r>
              <w:rPr>
                <w:rFonts w:hint="eastAsia" w:ascii="宋体" w:hAnsi="宋体" w:cs="宋体"/>
                <w:kern w:val="0"/>
                <w:sz w:val="22"/>
                <w:szCs w:val="24"/>
              </w:rPr>
              <w:t>职称得</w:t>
            </w:r>
            <w:r>
              <w:rPr>
                <w:rFonts w:hint="eastAsia" w:ascii="宋体" w:hAnsi="宋体" w:cs="宋体"/>
                <w:kern w:val="0"/>
                <w:sz w:val="22"/>
                <w:szCs w:val="24"/>
                <w:lang w:val="en-US" w:eastAsia="zh-CN"/>
              </w:rPr>
              <w:t>40</w:t>
            </w:r>
            <w:r>
              <w:rPr>
                <w:rFonts w:hint="eastAsia" w:ascii="宋体" w:hAnsi="宋体" w:cs="宋体"/>
                <w:kern w:val="0"/>
                <w:sz w:val="22"/>
                <w:szCs w:val="24"/>
              </w:rPr>
              <w:t>%，否则不得分。</w:t>
            </w:r>
          </w:p>
          <w:p w14:paraId="682D4293">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（2）项目负责人主持或参与过国家、省或市级</w:t>
            </w:r>
            <w:r>
              <w:rPr>
                <w:rFonts w:hint="eastAsia" w:ascii="宋体" w:hAnsi="宋体" w:cs="宋体"/>
                <w:kern w:val="0"/>
                <w:sz w:val="22"/>
                <w:szCs w:val="24"/>
                <w:lang w:val="en-US" w:eastAsia="zh-CN"/>
              </w:rPr>
              <w:t>规划</w:t>
            </w:r>
            <w:r>
              <w:rPr>
                <w:rFonts w:hint="eastAsia" w:ascii="宋体" w:hAnsi="宋体" w:cs="宋体"/>
                <w:kern w:val="0"/>
                <w:sz w:val="22"/>
                <w:szCs w:val="24"/>
              </w:rPr>
              <w:t>评估</w:t>
            </w:r>
            <w:r>
              <w:rPr>
                <w:rFonts w:hint="eastAsia" w:ascii="宋体" w:hAnsi="宋体" w:cs="宋体"/>
                <w:kern w:val="0"/>
                <w:sz w:val="22"/>
                <w:szCs w:val="24"/>
                <w:lang w:eastAsia="zh-CN"/>
              </w:rPr>
              <w:t>、</w:t>
            </w:r>
            <w:r>
              <w:rPr>
                <w:rFonts w:hint="eastAsia" w:ascii="宋体" w:hAnsi="宋体" w:cs="宋体"/>
                <w:kern w:val="0"/>
                <w:sz w:val="22"/>
                <w:szCs w:val="24"/>
              </w:rPr>
              <w:t>规划编制、政策研究</w:t>
            </w:r>
            <w:r>
              <w:rPr>
                <w:rFonts w:hint="eastAsia" w:ascii="宋体" w:hAnsi="宋体" w:cs="宋体"/>
                <w:kern w:val="0"/>
                <w:sz w:val="22"/>
                <w:szCs w:val="24"/>
                <w:lang w:val="en-US" w:eastAsia="zh-CN"/>
              </w:rPr>
              <w:t>类政府课题</w:t>
            </w:r>
            <w:r>
              <w:rPr>
                <w:rFonts w:hint="eastAsia" w:ascii="宋体" w:hAnsi="宋体" w:cs="宋体"/>
                <w:kern w:val="0"/>
                <w:sz w:val="22"/>
                <w:szCs w:val="24"/>
              </w:rPr>
              <w:t>，每提供1个得</w:t>
            </w:r>
            <w:r>
              <w:rPr>
                <w:rFonts w:hint="eastAsia" w:ascii="宋体" w:hAnsi="宋体" w:cs="宋体"/>
                <w:kern w:val="0"/>
                <w:sz w:val="22"/>
                <w:szCs w:val="24"/>
                <w:lang w:val="en-US" w:eastAsia="zh-CN"/>
              </w:rPr>
              <w:t>15</w:t>
            </w:r>
            <w:r>
              <w:rPr>
                <w:rFonts w:hint="eastAsia" w:ascii="宋体" w:hAnsi="宋体" w:cs="宋体"/>
                <w:kern w:val="0"/>
                <w:sz w:val="22"/>
                <w:szCs w:val="24"/>
              </w:rPr>
              <w:t>%，最高得分不超过</w:t>
            </w:r>
            <w:r>
              <w:rPr>
                <w:rFonts w:hint="eastAsia" w:ascii="宋体" w:hAnsi="宋体" w:cs="宋体"/>
                <w:kern w:val="0"/>
                <w:sz w:val="22"/>
                <w:szCs w:val="24"/>
                <w:lang w:val="en-US" w:eastAsia="zh-CN"/>
              </w:rPr>
              <w:t>60</w:t>
            </w:r>
            <w:r>
              <w:rPr>
                <w:rFonts w:hint="eastAsia" w:ascii="宋体" w:hAnsi="宋体" w:cs="宋体"/>
                <w:kern w:val="0"/>
                <w:sz w:val="22"/>
                <w:szCs w:val="24"/>
              </w:rPr>
              <w:t>%。</w:t>
            </w:r>
          </w:p>
          <w:p w14:paraId="5F9156C2">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26266C1E">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14:paraId="41C77A2C">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0A121198">
            <w:pPr>
              <w:spacing w:line="300" w:lineRule="exact"/>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14:paraId="413C86C1">
            <w:pPr>
              <w:spacing w:line="300" w:lineRule="exact"/>
              <w:jc w:val="center"/>
              <w:rPr>
                <w:rFonts w:hint="eastAsia" w:ascii="宋体" w:hAnsi="宋体"/>
                <w:sz w:val="22"/>
                <w:szCs w:val="24"/>
              </w:rPr>
            </w:pPr>
            <w:r>
              <w:rPr>
                <w:rFonts w:ascii="宋体" w:hAnsi="宋体"/>
                <w:sz w:val="22"/>
                <w:szCs w:val="24"/>
              </w:rPr>
              <w:t>10</w:t>
            </w:r>
          </w:p>
        </w:tc>
      </w:tr>
      <w:tr w14:paraId="60CDF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0FFDB0A0">
            <w:pPr>
              <w:numPr>
                <w:ilvl w:val="0"/>
                <w:numId w:val="2"/>
              </w:numPr>
              <w:spacing w:line="300" w:lineRule="exact"/>
              <w:jc w:val="center"/>
              <w:rPr>
                <w:rFonts w:hint="eastAsia" w:ascii="宋体" w:hAnsi="宋体"/>
                <w:sz w:val="22"/>
                <w:szCs w:val="24"/>
              </w:rPr>
            </w:pPr>
          </w:p>
        </w:tc>
        <w:tc>
          <w:tcPr>
            <w:tcW w:w="1202" w:type="dxa"/>
            <w:vAlign w:val="center"/>
          </w:tcPr>
          <w:p w14:paraId="3A2A8F0E">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14:paraId="7D878D6C">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60F563F8">
            <w:pPr>
              <w:spacing w:line="300" w:lineRule="exact"/>
              <w:jc w:val="left"/>
              <w:rPr>
                <w:rFonts w:hint="eastAsia" w:ascii="宋体" w:hAnsi="宋体" w:cs="宋体"/>
                <w:kern w:val="0"/>
                <w:sz w:val="22"/>
                <w:szCs w:val="24"/>
              </w:rPr>
            </w:pPr>
            <w:r>
              <w:rPr>
                <w:rFonts w:hint="eastAsia" w:ascii="宋体" w:hAnsi="宋体" w:cs="宋体"/>
                <w:kern w:val="0"/>
                <w:sz w:val="22"/>
                <w:szCs w:val="24"/>
              </w:rPr>
              <w:t>项目团队中每提供1位有高级职称</w:t>
            </w:r>
            <w:r>
              <w:rPr>
                <w:rFonts w:hint="eastAsia" w:ascii="宋体" w:hAnsi="宋体" w:cs="宋体"/>
                <w:kern w:val="0"/>
                <w:sz w:val="22"/>
                <w:szCs w:val="24"/>
                <w:lang w:val="en-US" w:eastAsia="zh-CN"/>
              </w:rPr>
              <w:t>且具备</w:t>
            </w:r>
            <w:r>
              <w:rPr>
                <w:rFonts w:hint="eastAsia" w:ascii="宋体" w:hAnsi="宋体" w:cs="宋体"/>
                <w:kern w:val="0"/>
                <w:sz w:val="22"/>
                <w:szCs w:val="24"/>
              </w:rPr>
              <w:t>博士学位人员得</w:t>
            </w:r>
            <w:r>
              <w:rPr>
                <w:rFonts w:hint="eastAsia" w:ascii="宋体" w:hAnsi="宋体" w:cs="宋体"/>
                <w:kern w:val="0"/>
                <w:sz w:val="22"/>
                <w:szCs w:val="24"/>
                <w:lang w:val="en-US" w:eastAsia="zh-CN"/>
              </w:rPr>
              <w:t>30</w:t>
            </w:r>
            <w:r>
              <w:rPr>
                <w:rFonts w:hint="eastAsia" w:ascii="宋体" w:hAnsi="宋体" w:cs="宋体"/>
                <w:kern w:val="0"/>
                <w:sz w:val="22"/>
                <w:szCs w:val="24"/>
              </w:rPr>
              <w:t>%，每提供1位有中级职称</w:t>
            </w:r>
            <w:r>
              <w:rPr>
                <w:rFonts w:hint="eastAsia" w:ascii="宋体" w:hAnsi="宋体" w:cs="宋体"/>
                <w:kern w:val="0"/>
                <w:sz w:val="22"/>
                <w:szCs w:val="24"/>
                <w:lang w:val="en-US" w:eastAsia="zh-CN"/>
              </w:rPr>
              <w:t>且具备</w:t>
            </w:r>
            <w:r>
              <w:rPr>
                <w:rFonts w:hint="eastAsia" w:ascii="宋体" w:hAnsi="宋体" w:cs="宋体"/>
                <w:kern w:val="0"/>
                <w:sz w:val="22"/>
                <w:szCs w:val="24"/>
              </w:rPr>
              <w:t>硕士学位人员得</w:t>
            </w:r>
            <w:r>
              <w:rPr>
                <w:rFonts w:hint="eastAsia" w:ascii="宋体" w:hAnsi="宋体" w:cs="宋体"/>
                <w:kern w:val="0"/>
                <w:sz w:val="22"/>
                <w:szCs w:val="24"/>
                <w:lang w:val="en-US" w:eastAsia="zh-CN"/>
              </w:rPr>
              <w:t>15</w:t>
            </w:r>
            <w:r>
              <w:rPr>
                <w:rFonts w:hint="eastAsia" w:ascii="宋体" w:hAnsi="宋体" w:cs="宋体"/>
                <w:kern w:val="0"/>
                <w:sz w:val="22"/>
                <w:szCs w:val="24"/>
              </w:rPr>
              <w:t>%，最高得分不超过100%。</w:t>
            </w:r>
          </w:p>
          <w:p w14:paraId="21EFDED1">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1062AADF">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14:paraId="36A43D8E">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0CA040FA">
            <w:pPr>
              <w:spacing w:line="300" w:lineRule="exact"/>
              <w:jc w:val="center"/>
              <w:rPr>
                <w:rFonts w:hint="eastAsia" w:ascii="宋体" w:hAnsi="宋体" w:eastAsia="宋体"/>
                <w:sz w:val="22"/>
                <w:szCs w:val="24"/>
                <w:lang w:eastAsia="zh-CN"/>
              </w:rPr>
            </w:pPr>
            <w:r>
              <w:rPr>
                <w:rFonts w:ascii="宋体" w:hAnsi="宋体"/>
                <w:sz w:val="22"/>
                <w:szCs w:val="24"/>
              </w:rPr>
              <w:t>1</w:t>
            </w:r>
            <w:r>
              <w:rPr>
                <w:rFonts w:hint="default" w:ascii="宋体" w:hAnsi="宋体"/>
                <w:sz w:val="22"/>
                <w:szCs w:val="24"/>
                <w:lang w:val="en-US"/>
              </w:rPr>
              <w:t>5</w:t>
            </w:r>
          </w:p>
        </w:tc>
        <w:tc>
          <w:tcPr>
            <w:tcW w:w="851" w:type="dxa"/>
            <w:tcBorders>
              <w:left w:val="single" w:color="auto" w:sz="4" w:space="0"/>
            </w:tcBorders>
            <w:vAlign w:val="center"/>
          </w:tcPr>
          <w:p w14:paraId="65016DBB">
            <w:pPr>
              <w:spacing w:line="300" w:lineRule="exact"/>
              <w:jc w:val="center"/>
              <w:rPr>
                <w:rFonts w:hint="eastAsia" w:ascii="宋体" w:hAnsi="宋体" w:eastAsia="宋体"/>
                <w:sz w:val="22"/>
                <w:szCs w:val="24"/>
                <w:lang w:eastAsia="zh-CN"/>
              </w:rPr>
            </w:pPr>
            <w:r>
              <w:rPr>
                <w:rFonts w:hint="eastAsia" w:ascii="宋体" w:hAnsi="宋体"/>
                <w:sz w:val="22"/>
                <w:szCs w:val="24"/>
              </w:rPr>
              <w:t>1</w:t>
            </w:r>
            <w:r>
              <w:rPr>
                <w:rFonts w:hint="default" w:ascii="宋体" w:hAnsi="宋体"/>
                <w:sz w:val="22"/>
                <w:szCs w:val="24"/>
                <w:lang w:val="en-US"/>
              </w:rPr>
              <w:t>5</w:t>
            </w:r>
          </w:p>
        </w:tc>
      </w:tr>
      <w:tr w14:paraId="1A109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023F820B">
            <w:pPr>
              <w:spacing w:line="300" w:lineRule="exact"/>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14:paraId="02827147">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价格部分（合计10分）</w:t>
            </w:r>
          </w:p>
        </w:tc>
      </w:tr>
      <w:tr w14:paraId="24F80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1CAF20AC">
            <w:pPr>
              <w:numPr>
                <w:ilvl w:val="0"/>
                <w:numId w:val="3"/>
              </w:numPr>
              <w:spacing w:line="300" w:lineRule="exact"/>
              <w:jc w:val="center"/>
              <w:rPr>
                <w:rFonts w:hint="eastAsia" w:ascii="宋体" w:hAnsi="宋体"/>
                <w:sz w:val="22"/>
                <w:szCs w:val="24"/>
              </w:rPr>
            </w:pPr>
          </w:p>
        </w:tc>
        <w:tc>
          <w:tcPr>
            <w:tcW w:w="1202" w:type="dxa"/>
            <w:vAlign w:val="center"/>
          </w:tcPr>
          <w:p w14:paraId="663E3B79">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14:paraId="3AD0DEC1">
            <w:pPr>
              <w:autoSpaceDE/>
              <w:autoSpaceDN/>
              <w:adjustRightInd/>
              <w:snapToGrid/>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14:paraId="4D9A3377">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14:paraId="14A1A70B">
            <w:pPr>
              <w:spacing w:line="300" w:lineRule="exact"/>
              <w:jc w:val="left"/>
              <w:rPr>
                <w:rFonts w:hint="eastAsia" w:ascii="宋体" w:hAnsi="宋体"/>
                <w:bCs/>
                <w:sz w:val="22"/>
                <w:szCs w:val="24"/>
              </w:rPr>
            </w:pPr>
            <w:r>
              <w:rPr>
                <w:rFonts w:hint="eastAsia" w:ascii="宋体" w:hAnsi="宋体"/>
                <w:bCs/>
                <w:sz w:val="22"/>
                <w:szCs w:val="24"/>
              </w:rPr>
              <w:t>备注：</w:t>
            </w:r>
          </w:p>
          <w:p w14:paraId="528E39B1">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14:paraId="328B9FB2">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14:paraId="74F0733D">
            <w:pPr>
              <w:spacing w:line="300" w:lineRule="exact"/>
              <w:jc w:val="center"/>
              <w:rPr>
                <w:rFonts w:hint="eastAsia"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14:paraId="7BB68134">
            <w:pPr>
              <w:spacing w:line="300" w:lineRule="exact"/>
              <w:jc w:val="center"/>
              <w:rPr>
                <w:rFonts w:hint="eastAsia" w:ascii="宋体" w:hAnsi="宋体"/>
                <w:sz w:val="22"/>
                <w:szCs w:val="24"/>
              </w:rPr>
            </w:pPr>
            <w:r>
              <w:rPr>
                <w:rFonts w:hint="eastAsia" w:ascii="宋体" w:hAnsi="宋体"/>
                <w:sz w:val="22"/>
                <w:szCs w:val="24"/>
              </w:rPr>
              <w:t>10</w:t>
            </w:r>
          </w:p>
        </w:tc>
      </w:tr>
      <w:tr w14:paraId="709B6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43B42BB6">
            <w:pPr>
              <w:spacing w:line="300" w:lineRule="exact"/>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14:paraId="2B009FF8">
            <w:pPr>
              <w:spacing w:line="300" w:lineRule="exact"/>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14:paraId="3F01AE40">
            <w:pPr>
              <w:spacing w:line="300" w:lineRule="exact"/>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14:paraId="645E0150">
      <w:pPr>
        <w:spacing w:line="400" w:lineRule="exact"/>
        <w:rPr>
          <w:rFonts w:hint="eastAsia" w:ascii="宋体" w:hAnsi="宋体"/>
          <w:b/>
          <w:sz w:val="24"/>
          <w:szCs w:val="24"/>
        </w:rPr>
      </w:pPr>
      <w:r>
        <w:rPr>
          <w:rFonts w:hint="eastAsia" w:ascii="宋体" w:hAnsi="宋体"/>
          <w:b/>
          <w:sz w:val="24"/>
          <w:szCs w:val="24"/>
        </w:rPr>
        <w:t>备注：</w:t>
      </w:r>
    </w:p>
    <w:p w14:paraId="183B2853">
      <w:pPr>
        <w:spacing w:line="380" w:lineRule="exact"/>
        <w:ind w:firstLine="720" w:firstLineChars="300"/>
        <w:rPr>
          <w:rFonts w:hint="eastAsia" w:ascii="宋体" w:hAnsi="宋体" w:cs="宋体"/>
          <w:kern w:val="0"/>
          <w:sz w:val="24"/>
          <w:szCs w:val="24"/>
        </w:rPr>
      </w:pPr>
      <w:r>
        <w:rPr>
          <w:rFonts w:hint="eastAsia" w:ascii="宋体" w:hAnsi="宋体" w:cs="宋体"/>
          <w:kern w:val="0"/>
          <w:sz w:val="24"/>
          <w:szCs w:val="24"/>
        </w:rPr>
        <w:t>1.评标信息内评分方法的说明：</w:t>
      </w:r>
    </w:p>
    <w:p w14:paraId="744CD16D">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14:paraId="3A1565FC">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14:paraId="7F1FBE30">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14:paraId="319BEDAE">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14:paraId="059EC806">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14:paraId="18A9DF62">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14:paraId="5669A593">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14:paraId="1B551BED">
      <w:pPr>
        <w:spacing w:line="380" w:lineRule="exact"/>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14:paraId="0159BA0B">
      <w:pPr>
        <w:spacing w:line="380" w:lineRule="exact"/>
        <w:ind w:firstLine="600" w:firstLineChars="250"/>
        <w:rPr>
          <w:rFonts w:hint="eastAsia" w:ascii="宋体" w:hAnsi="宋体" w:cs="宋体"/>
          <w:kern w:val="0"/>
          <w:sz w:val="24"/>
          <w:szCs w:val="24"/>
        </w:rPr>
      </w:pPr>
    </w:p>
    <w:p w14:paraId="11CED1AA">
      <w:pPr>
        <w:adjustRightInd w:val="0"/>
        <w:snapToGrid w:val="0"/>
        <w:spacing w:line="380" w:lineRule="exact"/>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14:paraId="40169884">
      <w:pPr>
        <w:adjustRightInd/>
        <w:snapToGrid/>
        <w:spacing w:line="520" w:lineRule="exact"/>
        <w:jc w:val="left"/>
        <w:rPr>
          <w:rFonts w:ascii="仿宋" w:hAnsi="仿宋" w:eastAsia="仿宋" w:cs="仿宋_GB2312"/>
          <w:sz w:val="32"/>
          <w:szCs w:val="32"/>
        </w:rPr>
        <w:sectPr>
          <w:footerReference r:id="rId4" w:type="first"/>
          <w:footerReference r:id="rId3" w:type="default"/>
          <w:pgSz w:w="11906" w:h="16838"/>
          <w:pgMar w:top="1440" w:right="1800" w:bottom="1440" w:left="1800" w:header="851" w:footer="992" w:gutter="0"/>
          <w:pgNumType w:fmt="decimal" w:start="1"/>
          <w:cols w:space="720" w:num="1"/>
          <w:titlePg/>
          <w:docGrid w:type="lines" w:linePitch="312" w:charSpace="0"/>
        </w:sectPr>
      </w:pPr>
    </w:p>
    <w:p w14:paraId="78B2A74F">
      <w:pPr>
        <w:adjustRightInd/>
        <w:snapToGrid/>
        <w:spacing w:line="520" w:lineRule="exact"/>
        <w:jc w:val="left"/>
        <w:rPr>
          <w:rFonts w:hint="eastAsia" w:ascii="宋体" w:hAnsi="宋体" w:cs="宋体"/>
          <w:b/>
          <w:bCs/>
          <w:sz w:val="44"/>
          <w:szCs w:val="44"/>
        </w:rPr>
      </w:pPr>
      <w:bookmarkStart w:id="0" w:name="_GoBack"/>
      <w:bookmarkEnd w:id="0"/>
    </w:p>
    <w:p w14:paraId="2F54898F">
      <w:pPr>
        <w:adjustRightInd w:val="0"/>
        <w:snapToGrid w:val="0"/>
        <w:spacing w:line="520" w:lineRule="exact"/>
        <w:jc w:val="center"/>
        <w:rPr>
          <w:rFonts w:hint="eastAsia" w:ascii="宋体" w:hAnsi="宋体" w:cs="宋体"/>
          <w:b/>
          <w:bCs/>
          <w:sz w:val="44"/>
          <w:szCs w:val="44"/>
        </w:rPr>
      </w:pPr>
      <w:r>
        <w:rPr>
          <w:rFonts w:hint="eastAsia" w:ascii="宋体" w:hAnsi="宋体" w:cs="宋体"/>
          <w:b/>
          <w:bCs/>
          <w:sz w:val="44"/>
          <w:szCs w:val="44"/>
        </w:rPr>
        <w:t>投标及履约承诺函</w:t>
      </w:r>
    </w:p>
    <w:p w14:paraId="739F3E84">
      <w:pPr>
        <w:adjustRightInd w:val="0"/>
        <w:snapToGrid w:val="0"/>
        <w:spacing w:line="520" w:lineRule="exact"/>
        <w:jc w:val="center"/>
        <w:rPr>
          <w:rFonts w:hint="eastAsia" w:ascii="宋体" w:hAnsi="宋体" w:cs="宋体"/>
          <w:b/>
          <w:bCs/>
          <w:sz w:val="32"/>
          <w:szCs w:val="32"/>
        </w:rPr>
      </w:pPr>
    </w:p>
    <w:p w14:paraId="5C77B44C">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14:paraId="7BB6CE41">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0856A620">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165D6C79">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1D92F666">
      <w:pPr>
        <w:adjustRightInd w:val="0"/>
        <w:snapToGrid w:val="0"/>
        <w:spacing w:line="52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.如果中标，做到守信，不偷工减料，依照本项目招标文件需求内容、签署的采购合同及在投标中所做的一切承诺履约。项目验收达到全部指标合格，力争优良。</w:t>
      </w:r>
    </w:p>
    <w:p w14:paraId="4F1234CB">
      <w:pPr>
        <w:adjustRightInd w:val="0"/>
        <w:snapToGrid w:val="0"/>
        <w:spacing w:line="52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14:paraId="6DED43C7">
      <w:pPr>
        <w:adjustRightInd w:val="0"/>
        <w:snapToGrid w:val="0"/>
        <w:spacing w:line="52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14:paraId="3BF302AB">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5FC0B2FF">
      <w:pPr>
        <w:adjustRightInd w:val="0"/>
        <w:snapToGrid w:val="0"/>
        <w:spacing w:line="52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14:paraId="788B43C2">
      <w:pPr>
        <w:adjustRightInd w:val="0"/>
        <w:snapToGrid w:val="0"/>
        <w:spacing w:line="52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14:paraId="7EA754CB">
      <w:pPr>
        <w:adjustRightInd w:val="0"/>
        <w:snapToGrid w:val="0"/>
        <w:spacing w:line="52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1568656E">
      <w:pPr>
        <w:adjustRightInd w:val="0"/>
        <w:snapToGrid w:val="0"/>
        <w:spacing w:line="52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14:paraId="574F5F44">
      <w:pPr>
        <w:adjustRightInd w:val="0"/>
        <w:snapToGrid w:val="0"/>
        <w:spacing w:line="520" w:lineRule="exact"/>
        <w:ind w:firstLine="640" w:firstLineChars="200"/>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6" w:type="first"/>
      <w:footerReference r:id="rId5"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83F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-154305</wp:posOffset>
              </wp:positionV>
              <wp:extent cx="60579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605790" cy="1828800"/>
                      </a:xfrm>
                      <a:prstGeom prst="rect">
                        <a:avLst/>
                      </a:prstGeom>
                      <a:noFill/>
                      <a:ln w="9525">
                        <a:noFill/>
                      </a:ln>
                      <a:effectLst/>
                    </wps:spPr>
                    <wps:txbx>
                      <w:txbxContent>
                        <w:p w14:paraId="652472EF">
                          <w:pPr>
                            <w:pStyle w:val="3"/>
                            <w:rPr>
                              <w:rFonts w:ascii="Times New Roman" w:hAnsi="Times New Roman"/>
                              <w:sz w:val="24"/>
                              <w:szCs w:val="24"/>
                            </w:rPr>
                          </w:pPr>
                          <w:r>
                            <w:rPr>
                              <w:rFonts w:ascii="Times New Roman" w:hAnsi="Times New Roman"/>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ascii="Times New Roman" w:hAnsi="Times New Roman"/>
                              <w:sz w:val="24"/>
                              <w:szCs w:val="24"/>
                            </w:rPr>
                            <w:t xml:space="preserve"> —</w:t>
                          </w:r>
                        </w:p>
                      </w:txbxContent>
                    </wps:txbx>
                    <wps:bodyPr vert="horz" wrap="square" lIns="0" tIns="0" rIns="0" bIns="0" anchor="t">
                      <a:spAutoFit/>
                    </wps:bodyPr>
                  </wps:wsp>
                </a:graphicData>
              </a:graphic>
            </wp:anchor>
          </w:drawing>
        </mc:Choice>
        <mc:Fallback>
          <w:pict>
            <v:shape id="文本框 1" o:spid="_x0000_s1026" o:spt="202" type="#_x0000_t202" style="position:absolute;left:0pt;margin-top:-12.15pt;height:144pt;width:47.7pt;mso-position-horizontal:center;mso-position-horizontal-relative:margin;z-index:251659264;mso-width-relative:page;mso-height-relative:page;" filled="f" stroked="f" coordsize="21600,21600" o:gfxdata="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n6Ok1QAAAAcB&#10;AAAPAAAAAAAAAAEAIAAAACIAAABkcnMvZG93bnJldi54bWxQSwECFAAUAAAACACHTuJADnXITOUB&#10;AAC8AwAADgAAAAAAAAABACAAAAAkAQAAZHJzL2Uyb0RvYy54bWxQSwUGAAAAAAYABgBZAQAAewUA&#10;AAAA&#10;">
              <v:fill on="f" focussize="0,0"/>
              <v:stroke on="f"/>
              <v:imagedata o:title=""/>
              <o:lock v:ext="edit" aspectratio="f"/>
              <v:textbox inset="0mm,0mm,0mm,0mm" style="mso-fit-shape-to-text:t;">
                <w:txbxContent>
                  <w:p w14:paraId="652472EF">
                    <w:pPr>
                      <w:pStyle w:val="3"/>
                      <w:rPr>
                        <w:rFonts w:ascii="Times New Roman" w:hAnsi="Times New Roman"/>
                        <w:sz w:val="24"/>
                        <w:szCs w:val="24"/>
                      </w:rPr>
                    </w:pPr>
                    <w:r>
                      <w:rPr>
                        <w:rFonts w:ascii="Times New Roman" w:hAnsi="Times New Roman"/>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ascii="Times New Roman" w:hAnsi="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8895">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-154305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96B6D7">
                          <w:pPr>
                            <w:pStyle w:val="3"/>
                          </w:pPr>
                          <w:r>
                            <w:t xml:space="preserve">— </w:t>
                          </w:r>
                          <w:r>
                            <w:rPr>
                              <w:rFonts w:hint="eastAsia" w:asciiTheme="majorEastAsia" w:hAnsiTheme="majorEastAsia" w:eastAsiaTheme="majorEastAsia" w:cstheme="majorEastAsia"/>
                              <w:color w:val="auto"/>
                              <w:sz w:val="24"/>
                              <w:szCs w:val="24"/>
                              <w:lang w:val="en-US" w:eastAsia="zh-CN"/>
                            </w:rPr>
                            <w:t>1</w:t>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center;mso-position-horizontal-relative:margin;mso-wrap-style:none;z-index:251660288;mso-width-relative:page;mso-height-relative:page;" filled="f" stroked="f" coordsize="21600,21600" o:gfxdata="UEsDBAoAAAAAAIdO4kAAAAAAAAAAAAAAAAAEAAAAZHJzL1BLAwQUAAAACACHTuJABMMZ+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wxn41gAAAAgBAAAPAAAAAAAAAAEAIAAAACIAAABkcnMvZG93bnJldi54bWxQ&#10;SwECFAAUAAAACACHTuJA2Zxg5DICAABjBAAADgAAAAAAAAABACAAAAAlAQAAZHJzL2Uyb0RvYy54&#10;bWxQSwUGAAAAAAYABgBZAQAAyQUAAAAA&#10;">
              <v:fill on="f" focussize="0,0"/>
              <v:stroke on="f" weight="0.5pt"/>
              <v:imagedata o:title=""/>
              <o:lock v:ext="edit" aspectratio="f"/>
              <v:textbox inset="0mm,0mm,0mm,0mm" style="mso-fit-shape-to-text:t;">
                <w:txbxContent>
                  <w:p w14:paraId="3196B6D7">
                    <w:pPr>
                      <w:pStyle w:val="3"/>
                    </w:pPr>
                    <w:r>
                      <w:t xml:space="preserve">— </w:t>
                    </w:r>
                    <w:r>
                      <w:rPr>
                        <w:rFonts w:hint="eastAsia" w:asciiTheme="majorEastAsia" w:hAnsiTheme="majorEastAsia" w:eastAsiaTheme="majorEastAsia" w:cstheme="majorEastAsia"/>
                        <w:color w:val="auto"/>
                        <w:sz w:val="24"/>
                        <w:szCs w:val="24"/>
                        <w:lang w:val="en-US" w:eastAsia="zh-CN"/>
                      </w:rPr>
                      <w:t>1</w:t>
                    </w:r>
                    <w:r>
                      <w:rPr>
                        <w:sz w:val="24"/>
                        <w:szCs w:val="24"/>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B84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67D5">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-154305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838F02">
                          <w:pPr>
                            <w:pStyle w:val="3"/>
                          </w:pPr>
                          <w:r>
                            <w:t xml:space="preserve">— </w:t>
                          </w:r>
                          <w:r>
                            <w:rPr>
                              <w:rFonts w:hint="eastAsia" w:asciiTheme="majorEastAsia" w:hAnsiTheme="majorEastAsia" w:eastAsiaTheme="majorEastAsia" w:cstheme="majorEastAsia"/>
                              <w:color w:val="auto"/>
                              <w:sz w:val="24"/>
                              <w:szCs w:val="24"/>
                              <w:lang w:val="en-US" w:eastAsia="zh-CN"/>
                            </w:rPr>
                            <w:t>1</w:t>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center;mso-position-horizontal-relative:margin;mso-wrap-style:none;z-index:251661312;mso-width-relative:page;mso-height-relative:page;" filled="f" stroked="f" coordsize="21600,21600" o:gfxdata="UEsDBAoAAAAAAIdO4kAAAAAAAAAAAAAAAAAEAAAAZHJzL1BLAwQUAAAACACHTuJABMMZ+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bQaC5TTP+XLmYZc9&#10;gKxK+b9A9QNQSwMEFAAAAAgAh07iQIbxmbQ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DGfjWAAAACAEAAA8AAAAAAAAAAQAgAAAAIgAAAGRycy9kb3ducmV2LnhtbFBL&#10;AQIUABQAAAAIAIdO4kCG8Zm0MQIAAGMEAAAOAAAAAAAAAAEAIAAAACUBAABkcnMvZTJvRG9jLnht&#10;bFBLBQYAAAAABgAGAFkBAADIBQAAAAA=&#10;">
              <v:fill on="f" focussize="0,0"/>
              <v:stroke on="f" weight="0.5pt"/>
              <v:imagedata o:title=""/>
              <o:lock v:ext="edit" aspectratio="f"/>
              <v:textbox inset="0mm,0mm,0mm,0mm" style="mso-fit-shape-to-text:t;">
                <w:txbxContent>
                  <w:p w14:paraId="6E838F02">
                    <w:pPr>
                      <w:pStyle w:val="3"/>
                    </w:pPr>
                    <w:r>
                      <w:t xml:space="preserve">— </w:t>
                    </w:r>
                    <w:r>
                      <w:rPr>
                        <w:rFonts w:hint="eastAsia" w:asciiTheme="majorEastAsia" w:hAnsiTheme="majorEastAsia" w:eastAsiaTheme="majorEastAsia" w:cstheme="majorEastAsia"/>
                        <w:color w:val="auto"/>
                        <w:sz w:val="24"/>
                        <w:szCs w:val="24"/>
                        <w:lang w:val="en-US" w:eastAsia="zh-CN"/>
                      </w:rPr>
                      <w:t>1</w:t>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A5EC0"/>
    <w:rsid w:val="002E2BC9"/>
    <w:rsid w:val="003C61E8"/>
    <w:rsid w:val="00450CD6"/>
    <w:rsid w:val="0045562B"/>
    <w:rsid w:val="00480C98"/>
    <w:rsid w:val="005158C1"/>
    <w:rsid w:val="005F62EF"/>
    <w:rsid w:val="00622218"/>
    <w:rsid w:val="00664587"/>
    <w:rsid w:val="0069356E"/>
    <w:rsid w:val="00695C0D"/>
    <w:rsid w:val="006E79BB"/>
    <w:rsid w:val="00722ECE"/>
    <w:rsid w:val="0072433F"/>
    <w:rsid w:val="008231A5"/>
    <w:rsid w:val="008E2C93"/>
    <w:rsid w:val="00907938"/>
    <w:rsid w:val="0098280C"/>
    <w:rsid w:val="009A6663"/>
    <w:rsid w:val="009A703B"/>
    <w:rsid w:val="009B62E1"/>
    <w:rsid w:val="00A27EEF"/>
    <w:rsid w:val="00AB173E"/>
    <w:rsid w:val="00B12DC6"/>
    <w:rsid w:val="00B17DDA"/>
    <w:rsid w:val="00CA7A3B"/>
    <w:rsid w:val="00CD4C71"/>
    <w:rsid w:val="00D1030E"/>
    <w:rsid w:val="00D27089"/>
    <w:rsid w:val="00F138F5"/>
    <w:rsid w:val="00F22E9F"/>
    <w:rsid w:val="05E713AD"/>
    <w:rsid w:val="07724207"/>
    <w:rsid w:val="09AE40E4"/>
    <w:rsid w:val="0CF12E49"/>
    <w:rsid w:val="0D083337"/>
    <w:rsid w:val="0D0E5130"/>
    <w:rsid w:val="0EE24651"/>
    <w:rsid w:val="0F6C03BE"/>
    <w:rsid w:val="0F9A4F2B"/>
    <w:rsid w:val="14665FD3"/>
    <w:rsid w:val="1CF71549"/>
    <w:rsid w:val="22B67E76"/>
    <w:rsid w:val="24530FB9"/>
    <w:rsid w:val="27F851AC"/>
    <w:rsid w:val="28277120"/>
    <w:rsid w:val="29C56BF1"/>
    <w:rsid w:val="2E4A3683"/>
    <w:rsid w:val="31CA58BC"/>
    <w:rsid w:val="32F466F4"/>
    <w:rsid w:val="462E7CDC"/>
    <w:rsid w:val="48DF26FF"/>
    <w:rsid w:val="491164F5"/>
    <w:rsid w:val="49641B2B"/>
    <w:rsid w:val="4A0C644A"/>
    <w:rsid w:val="4A1947CF"/>
    <w:rsid w:val="4C3C0410"/>
    <w:rsid w:val="4D985754"/>
    <w:rsid w:val="50B533E9"/>
    <w:rsid w:val="54D67D81"/>
    <w:rsid w:val="57B77FF4"/>
    <w:rsid w:val="5C52112B"/>
    <w:rsid w:val="5CB0535B"/>
    <w:rsid w:val="5E1E4878"/>
    <w:rsid w:val="5FCF5AF8"/>
    <w:rsid w:val="61E433B1"/>
    <w:rsid w:val="64CC2D30"/>
    <w:rsid w:val="684F54C3"/>
    <w:rsid w:val="6CA267A3"/>
    <w:rsid w:val="6D14124A"/>
    <w:rsid w:val="705213BE"/>
    <w:rsid w:val="70607562"/>
    <w:rsid w:val="71493FE5"/>
    <w:rsid w:val="7AEC6E06"/>
    <w:rsid w:val="7C6929D9"/>
    <w:rsid w:val="7ED7BC35"/>
    <w:rsid w:val="AAF6429C"/>
    <w:rsid w:val="AE7BFBFA"/>
    <w:rsid w:val="E3B71D73"/>
    <w:rsid w:val="E6EFB9BD"/>
    <w:rsid w:val="ED773BA7"/>
    <w:rsid w:val="FBF7692F"/>
    <w:rsid w:val="FFFF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eastAsia="宋体" w:cs="Times New Roman"/>
      <w:kern w:val="2"/>
      <w:sz w:val="18"/>
      <w:szCs w:val="18"/>
    </w:rPr>
  </w:style>
  <w:style w:type="paragraph" w:customStyle="1" w:styleId="8">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3808</Words>
  <Characters>3967</Characters>
  <Lines>28</Lines>
  <Paragraphs>7</Paragraphs>
  <TotalTime>0</TotalTime>
  <ScaleCrop>false</ScaleCrop>
  <LinksUpToDate>false</LinksUpToDate>
  <CharactersWithSpaces>3980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一一</cp:lastModifiedBy>
  <cp:lastPrinted>2025-04-28T02:46:00Z</cp:lastPrinted>
  <dcterms:modified xsi:type="dcterms:W3CDTF">2025-04-30T02:11:16Z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AE9C32303E474AB797143C98FEC14AB4_13</vt:lpwstr>
  </property>
  <property fmtid="{D5CDD505-2E9C-101B-9397-08002B2CF9AE}" pid="4" name="KSOTemplateDocerSaveRecord">
    <vt:lpwstr>eyJoZGlkIjoiMzM1YzQzODY5YTdlYzc4YWQxNmNiOTg3MzI3NmZhNDQiLCJ1c2VySWQiOiI0MDYzMzI3NTQifQ==</vt:lpwstr>
  </property>
</Properties>
</file>