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cs="Arial"/>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“十五五”时期深圳经济社会发展指标体系</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研究项目</w:t>
      </w:r>
    </w:p>
    <w:bookmarkEnd w:id="0"/>
    <w:p>
      <w:pPr>
        <w:spacing w:line="360" w:lineRule="auto"/>
        <w:ind w:left="420" w:leftChars="200"/>
        <w:jc w:val="center"/>
        <w:rPr>
          <w:rFonts w:hint="eastAsia" w:ascii="宋体" w:hAnsi="宋体" w:cs="Arial"/>
          <w:b/>
          <w:bCs/>
          <w:sz w:val="44"/>
          <w:szCs w:val="44"/>
        </w:rPr>
      </w:pPr>
    </w:p>
    <w:p>
      <w:pPr>
        <w:spacing w:line="360" w:lineRule="auto"/>
        <w:ind w:left="420" w:leftChars="200"/>
        <w:jc w:val="center"/>
        <w:rPr>
          <w:rFonts w:hint="eastAsia" w:ascii="黑体" w:hAnsi="宋体" w:eastAsia="黑体"/>
          <w:b/>
          <w:bCs/>
          <w:sz w:val="32"/>
          <w:szCs w:val="32"/>
        </w:rPr>
      </w:pPr>
    </w:p>
    <w:p>
      <w:pPr>
        <w:spacing w:line="360" w:lineRule="auto"/>
        <w:ind w:left="420" w:leftChars="200"/>
        <w:jc w:val="center"/>
        <w:rPr>
          <w:rFonts w:hint="eastAsia" w:ascii="黑体" w:hAnsi="宋体" w:eastAsia="黑体"/>
          <w:b/>
          <w:bCs/>
          <w:sz w:val="32"/>
          <w:szCs w:val="32"/>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招</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标</w:t>
      </w:r>
    </w:p>
    <w:p>
      <w:pPr>
        <w:spacing w:line="360" w:lineRule="auto"/>
        <w:jc w:val="center"/>
        <w:rPr>
          <w:rFonts w:hint="eastAsia" w:ascii="黑体" w:hAnsi="宋体" w:eastAsia="黑体"/>
          <w:b/>
          <w:bCs/>
          <w:sz w:val="48"/>
          <w:szCs w:val="48"/>
        </w:rPr>
      </w:pPr>
    </w:p>
    <w:p>
      <w:pPr>
        <w:spacing w:line="360" w:lineRule="auto"/>
        <w:jc w:val="center"/>
        <w:rPr>
          <w:rFonts w:hint="eastAsia" w:ascii="黑体" w:hAnsi="宋体" w:eastAsia="黑体"/>
          <w:b/>
          <w:bCs/>
          <w:sz w:val="72"/>
          <w:szCs w:val="72"/>
        </w:rPr>
      </w:pPr>
      <w:r>
        <w:rPr>
          <w:rFonts w:hint="eastAsia" w:ascii="黑体" w:hAnsi="黑体" w:eastAsia="黑体"/>
          <w:b/>
          <w:bCs/>
          <w:sz w:val="72"/>
          <w:szCs w:val="72"/>
        </w:rPr>
        <w:t>书</w:t>
      </w:r>
    </w:p>
    <w:p>
      <w:pPr>
        <w:spacing w:line="360" w:lineRule="auto"/>
        <w:ind w:left="420" w:leftChars="200"/>
        <w:jc w:val="center"/>
        <w:rPr>
          <w:rFonts w:hint="eastAsia" w:ascii="宋体" w:hAnsi="宋体"/>
          <w:sz w:val="44"/>
          <w:szCs w:val="44"/>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360" w:lineRule="auto"/>
        <w:rPr>
          <w:rFonts w:hint="eastAsia" w:ascii="方正小标宋简体" w:hAnsi="宋体" w:cs="Arial"/>
          <w:sz w:val="48"/>
          <w:szCs w:val="48"/>
        </w:rPr>
      </w:pPr>
    </w:p>
    <w:p>
      <w:pPr>
        <w:spacing w:line="60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深圳市发展和改革委员会</w:t>
      </w:r>
    </w:p>
    <w:p>
      <w:pPr>
        <w:spacing w:line="60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b w:val="0"/>
          <w:bCs w:val="0"/>
          <w:sz w:val="32"/>
          <w:szCs w:val="32"/>
        </w:rPr>
        <w:t>2024年</w:t>
      </w:r>
      <w:r>
        <w:rPr>
          <w:rFonts w:hint="eastAsia" w:ascii="方正小标宋简体" w:hAnsi="方正小标宋简体" w:eastAsia="方正小标宋简体" w:cs="方正小标宋简体"/>
          <w:b w:val="0"/>
          <w:bCs w:val="0"/>
          <w:sz w:val="32"/>
          <w:szCs w:val="32"/>
          <w:lang w:eastAsia="zh-CN"/>
        </w:rPr>
        <w:t>1</w:t>
      </w:r>
      <w:r>
        <w:rPr>
          <w:rFonts w:hint="eastAsia" w:ascii="方正小标宋简体" w:hAnsi="方正小标宋简体" w:eastAsia="方正小标宋简体" w:cs="方正小标宋简体"/>
          <w:b w:val="0"/>
          <w:bCs w:val="0"/>
          <w:sz w:val="32"/>
          <w:szCs w:val="32"/>
          <w:lang w:val="en-US" w:eastAsia="zh-CN"/>
        </w:rPr>
        <w:t>0</w:t>
      </w:r>
      <w:r>
        <w:rPr>
          <w:rFonts w:hint="eastAsia" w:ascii="方正小标宋简体" w:hAnsi="方正小标宋简体" w:eastAsia="方正小标宋简体" w:cs="方正小标宋简体"/>
          <w:b w:val="0"/>
          <w:bCs w:val="0"/>
          <w:sz w:val="32"/>
          <w:szCs w:val="32"/>
        </w:rPr>
        <w:t>月</w:t>
      </w:r>
    </w:p>
    <w:p>
      <w:pPr>
        <w:jc w:val="left"/>
        <w:rPr>
          <w:rFonts w:hint="eastAsia" w:ascii="宋体" w:hAnsi="宋体" w:cs="宋体"/>
          <w:b/>
          <w:bCs/>
          <w:sz w:val="44"/>
          <w:szCs w:val="44"/>
        </w:rPr>
        <w:sectPr>
          <w:pgSz w:w="11906" w:h="16838"/>
          <w:pgMar w:top="1400" w:right="1797" w:bottom="1089" w:left="1797" w:header="720" w:footer="720" w:gutter="0"/>
          <w:pgNumType w:fmt="decimal"/>
          <w:cols w:space="720" w:num="1"/>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“十五五”时期深圳经济社会发展</w:t>
      </w:r>
      <w:r>
        <w:rPr>
          <w:rFonts w:hint="eastAsia" w:ascii="方正小标宋简体" w:hAnsi="方正小标宋简体" w:eastAsia="方正小标宋简体" w:cs="方正小标宋简体"/>
          <w:b w:val="0"/>
          <w:bCs w:val="0"/>
          <w:sz w:val="44"/>
          <w:szCs w:val="44"/>
          <w:lang w:eastAsia="zh-CN"/>
        </w:rPr>
        <w:t>指标体系</w:t>
      </w:r>
      <w:r>
        <w:rPr>
          <w:rFonts w:hint="eastAsia" w:ascii="方正小标宋简体" w:hAnsi="方正小标宋简体" w:eastAsia="方正小标宋简体" w:cs="方正小标宋简体"/>
          <w:b w:val="0"/>
          <w:bCs w:val="0"/>
          <w:sz w:val="44"/>
          <w:szCs w:val="44"/>
        </w:rPr>
        <w:t>研究项目</w:t>
      </w:r>
      <w:r>
        <w:rPr>
          <w:rFonts w:hint="eastAsia" w:ascii="方正小标宋简体" w:hAnsi="方正小标宋简体" w:eastAsia="方正小标宋简体" w:cs="方正小标宋简体"/>
          <w:b w:val="0"/>
          <w:bCs w:val="0"/>
          <w:sz w:val="44"/>
          <w:szCs w:val="44"/>
          <w:lang w:eastAsia="zh-CN"/>
        </w:rPr>
        <w:t>招标书</w:t>
      </w:r>
    </w:p>
    <w:p>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rPr>
          <w:rFonts w:hint="eastAsia" w:ascii="黑体" w:hAnsi="黑体" w:eastAsia="黑体"/>
          <w:b/>
          <w:bCs/>
          <w:sz w:val="32"/>
          <w:szCs w:val="32"/>
        </w:rPr>
      </w:pP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一、项目概况</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（一）项目名称：“十五五”时期深圳经济社会发展</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研究项目。</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（二）服务期限：自合同签订之日起约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（三）项目预算：预算金额不超过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万元。</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二、项目内容</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“十五五”时期深圳经济社会发展</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研究，报告应包括：</w:t>
      </w:r>
    </w:p>
    <w:p>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（一）研究建立“十五五”备选指标池</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广泛梳理征集具有指导意义的重要指标，包括但不限于国家及广东省上位规划指标、国家赋予深圳重大使命任务相关指标、深圳市历年出台的各类中长期规划指标、深圳市委市政府有关重大文件提出的中长期发展指标、国际湾区及国内外先进城市有关规划指标、国际组织有关通用指标等。</w:t>
      </w:r>
    </w:p>
    <w:p>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（二）筛选构建“十五五”指标体系</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在总结评估“十四五”指标体系基础上，</w:t>
      </w:r>
      <w:r>
        <w:rPr>
          <w:rFonts w:hint="eastAsia" w:ascii="仿宋_GB2312" w:hAnsi="仿宋_GB2312" w:eastAsia="仿宋_GB2312" w:cs="仿宋_GB2312"/>
          <w:sz w:val="32"/>
          <w:szCs w:val="32"/>
        </w:rPr>
        <w:t>对照国家</w:t>
      </w:r>
      <w:r>
        <w:rPr>
          <w:rFonts w:hint="eastAsia" w:ascii="仿宋_GB2312" w:hAnsi="仿宋_GB2312" w:eastAsia="仿宋_GB2312" w:cs="仿宋_GB2312"/>
          <w:sz w:val="32"/>
          <w:szCs w:val="32"/>
          <w:lang w:eastAsia="zh-CN"/>
        </w:rPr>
        <w:t>赋予深圳的“五大战略定位”、“五个率先”重点任务等部署</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专家研讨、部门调研、政策推演、国际比较、案例分析等多种方式从备选指标池中筛选“十五五”指标体系，确保对深圳深化“双区”建设、全面深化改革扩大开放、构建高水平社会主义市场经济体制、实施创新驱动发展战略等重大任务具有引领作用，对解决当前及未来一段时间面临的产业链供应链安全韧性、公共服务供给、超大城市治理等问题具有指导意义，对贯彻落实国家、省重大规划指标具有支撑作用，符合新时代特征、具备深圳特色、可操作性较强。</w:t>
      </w:r>
    </w:p>
    <w:p>
      <w:pPr>
        <w:keepNext w:val="0"/>
        <w:keepLines w:val="0"/>
        <w:pageBreakBefore w:val="0"/>
        <w:widowControl w:val="0"/>
        <w:kinsoku/>
        <w:overflowPunct/>
        <w:topLinePunct w:val="0"/>
        <w:autoSpaceDE/>
        <w:autoSpaceDN/>
        <w:bidi w:val="0"/>
        <w:adjustRightInd w:val="0"/>
        <w:snapToGrid w:val="0"/>
        <w:spacing w:line="580" w:lineRule="exact"/>
        <w:ind w:firstLine="643" w:firstLineChars="200"/>
        <w:textAlignment w:val="auto"/>
        <w:outlineLvl w:val="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（三）研究测算“十五五”规划指标体系目标值</w:t>
      </w:r>
    </w:p>
    <w:p>
      <w:pPr>
        <w:keepNext w:val="0"/>
        <w:keepLines w:val="0"/>
        <w:pageBreakBefore w:val="0"/>
        <w:widowControl w:val="0"/>
        <w:numPr>
          <w:ilvl w:val="0"/>
          <w:numId w:val="0"/>
        </w:numPr>
        <w:kinsoku/>
        <w:overflowPunct/>
        <w:topLinePunct w:val="0"/>
        <w:autoSpaceDE/>
        <w:autoSpaceDN/>
        <w:bidi w:val="0"/>
        <w:adjustRightInd w:val="0"/>
        <w:snapToGrid w:val="0"/>
        <w:spacing w:line="580" w:lineRule="exact"/>
        <w:textAlignment w:val="auto"/>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测算规划指标体系“十四五”末完成情况基础上，科学合理设定“十五五”目标值，明确指标定义、来源、测算方法、创新特色等；对GDP等核心经济指标，需详细说明测算依据，目标需下钻到支撑经济增长的细分行业。纵向时间维度，需分析指标潜在增长率的变化，评估指标完成难度，梳理达成目标的潜在问题和困难，为有关部门提前应对提供参考。横向比较维度，就相关指标与国内外先进城市展开对比，明确当前及未来深圳在国际国内的水平地位。</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三、项目技术要求</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（一）项目成果应遵循国家颁布的有关法律、法规及政策要求，符合相关的技术规范和标准。</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（二）研究过程中应当广泛深入开展调查研究，准确把握“十五五”社会期盼、群众智慧、专家意见、基层经验等相关基础资料。</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（三）研究成果要具有前瞻性，面向未来、视野开阔，科学研判未来发展趋势；具有系统性，研究成果要体系完整、内容全面、材料丰富；具有实用性，研究成果符合深圳实际，针对性和可操作性强。</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四、项目成果交付要求</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提交研究成果纸质版5份和电子版，文件能够简明扼要介绍成果核心内容与主要结论。</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投标</w:t>
      </w:r>
      <w:r>
        <w:rPr>
          <w:rFonts w:hint="eastAsia" w:ascii="黑体" w:hAnsi="黑体" w:eastAsia="黑体"/>
          <w:sz w:val="32"/>
          <w:szCs w:val="32"/>
        </w:rPr>
        <w:t>资格要求</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（一）具有独立承担民事责任能力的在中华人民共和国境内注册的法人。</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（二）投标人必须具备相关经营范围（咨询服务等），具备开展本项目研究的基本条件和研究能力。</w:t>
      </w:r>
    </w:p>
    <w:p>
      <w:pPr>
        <w:keepNext w:val="0"/>
        <w:keepLines w:val="0"/>
        <w:pageBreakBefore w:val="0"/>
        <w:widowControl w:val="0"/>
        <w:kinsoku/>
        <w:overflowPunct/>
        <w:topLinePunct w:val="0"/>
        <w:autoSpaceDE/>
        <w:autoSpaceDN/>
        <w:bidi w:val="0"/>
        <w:adjustRightInd w:val="0"/>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（三）参加本次政府采购活动前3年内在经营活动中没有重大违法记录（提供声明函，格式自拟）。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六、投标时间、方式及联系人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24"/>
          <w:highlight w:val="none"/>
        </w:rPr>
      </w:pPr>
      <w:r>
        <w:rPr>
          <w:rFonts w:hint="eastAsia" w:ascii="仿宋_GB2312" w:hAnsi="仿宋_GB2312" w:eastAsia="仿宋_GB2312" w:cs="仿宋_GB2312"/>
          <w:sz w:val="32"/>
          <w:szCs w:val="24"/>
          <w:highlight w:val="none"/>
        </w:rPr>
        <w:t>（一）投标时间：2024年</w:t>
      </w:r>
      <w:r>
        <w:rPr>
          <w:rFonts w:hint="eastAsia" w:ascii="仿宋_GB2312" w:hAnsi="仿宋_GB2312" w:eastAsia="仿宋_GB2312" w:cs="仿宋_GB2312"/>
          <w:sz w:val="32"/>
          <w:szCs w:val="24"/>
          <w:highlight w:val="none"/>
          <w:lang w:val="en-US" w:eastAsia="zh-CN"/>
        </w:rPr>
        <w:t>10</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14</w:t>
      </w:r>
      <w:r>
        <w:rPr>
          <w:rFonts w:hint="eastAsia" w:ascii="仿宋_GB2312" w:hAnsi="仿宋_GB2312" w:eastAsia="仿宋_GB2312" w:cs="仿宋_GB2312"/>
          <w:sz w:val="32"/>
          <w:szCs w:val="24"/>
          <w:highlight w:val="none"/>
        </w:rPr>
        <w:t>日至20</w:t>
      </w:r>
      <w:r>
        <w:rPr>
          <w:rFonts w:hint="eastAsia" w:ascii="仿宋_GB2312" w:hAnsi="仿宋_GB2312" w:eastAsia="仿宋_GB2312" w:cs="仿宋_GB2312"/>
          <w:sz w:val="32"/>
          <w:szCs w:val="24"/>
          <w:highlight w:val="none"/>
          <w:lang w:val="en-US" w:eastAsia="zh-CN"/>
        </w:rPr>
        <w:t>2</w:t>
      </w:r>
      <w:r>
        <w:rPr>
          <w:rFonts w:hint="eastAsia" w:ascii="仿宋_GB2312" w:hAnsi="仿宋_GB2312" w:eastAsia="仿宋_GB2312" w:cs="仿宋_GB2312"/>
          <w:sz w:val="32"/>
          <w:szCs w:val="24"/>
          <w:highlight w:val="none"/>
        </w:rPr>
        <w:t>4年</w:t>
      </w:r>
      <w:r>
        <w:rPr>
          <w:rFonts w:hint="eastAsia" w:ascii="仿宋_GB2312" w:hAnsi="仿宋_GB2312" w:eastAsia="仿宋_GB2312" w:cs="仿宋_GB2312"/>
          <w:sz w:val="32"/>
          <w:szCs w:val="24"/>
          <w:highlight w:val="none"/>
          <w:lang w:val="en-US" w:eastAsia="zh-CN"/>
        </w:rPr>
        <w:t>10</w:t>
      </w:r>
      <w:r>
        <w:rPr>
          <w:rFonts w:hint="eastAsia" w:ascii="仿宋_GB2312" w:hAnsi="仿宋_GB2312" w:eastAsia="仿宋_GB2312" w:cs="仿宋_GB2312"/>
          <w:sz w:val="32"/>
          <w:szCs w:val="24"/>
          <w:highlight w:val="none"/>
        </w:rPr>
        <w:t>月</w:t>
      </w:r>
      <w:r>
        <w:rPr>
          <w:rFonts w:hint="eastAsia" w:ascii="仿宋_GB2312" w:hAnsi="仿宋_GB2312" w:eastAsia="仿宋_GB2312" w:cs="仿宋_GB2312"/>
          <w:sz w:val="32"/>
          <w:szCs w:val="24"/>
          <w:highlight w:val="none"/>
          <w:lang w:val="en-US" w:eastAsia="zh-CN"/>
        </w:rPr>
        <w:t>24</w:t>
      </w:r>
      <w:r>
        <w:rPr>
          <w:rFonts w:hint="eastAsia" w:ascii="仿宋_GB2312" w:hAnsi="仿宋_GB2312" w:eastAsia="仿宋_GB2312" w:cs="仿宋_GB2312"/>
          <w:sz w:val="32"/>
          <w:szCs w:val="24"/>
          <w:highlight w:val="none"/>
        </w:rPr>
        <w:t>日，每日上午9:00-12:00，下午2:00-5:45（节假日除外）。逾期未投标将不再受理。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（二）投标地点：深圳市福田区福中三路市民中心B区行政服务大厅2号市发展和改革委卡座（可邮寄，以送达日期为投标日期）。</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24"/>
        </w:rPr>
        <w:t>（三）联系人：</w:t>
      </w:r>
      <w:r>
        <w:rPr>
          <w:rFonts w:hint="eastAsia" w:ascii="仿宋_GB2312" w:hAnsi="仿宋_GB2312" w:eastAsia="仿宋_GB2312" w:cs="仿宋_GB2312"/>
          <w:sz w:val="32"/>
          <w:szCs w:val="24"/>
          <w:lang w:val="en-US" w:eastAsia="zh-CN"/>
        </w:rPr>
        <w:t>杨鸿杰</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13058169924</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七、投标文件递交内容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（一）投标单位简介、投标人营业执照及相关证照（提供加盖公章的复印件，原件备查）。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（二）法定代表人证明书及授权委托书（原件加盖公章）。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（三）法定代表人及受委托人身份证复印件（复印件加盖公章）。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（四）项目方案及报价单（原件加盖公章）。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（五）投标人相关领域/项目经验证明材料（复印件加盖公章）。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（六）投标人无重大违法记录声明函（原件加盖公章，格式自拟）。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（七）投标及履约承诺函原件（格式见附件）。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）投标人认为有必要提供</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投标文件一式三份，整套材料密封并加盖骑缝章，封面注明投标人的名称、地址、联系人及手机号码。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八、重要提示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投标单位有下列情况之一的，其投标将被拒绝或作无效投标处理：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（一）未在规定时间内将投标文件送达规定地点的。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（二）投标人不具备投标资格要求，或未提交相应资格证明材料。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（三）投标文件未按规定密封、签字、盖章。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（四）投标文件无法定代表人签字或无法定代表人有效授权委托的。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（五）分项报价或投标总价高于预算金额（最高投标限价）的。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（六）同一项目出现两个及以上报价，且按规定无法确定哪个是有效报价。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（八）所投服务在质量、技术、方案等方面没有实质性满足招标文件要求。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（九）法律、法规规定的其他情形。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黑体" w:hAnsi="黑体" w:eastAsia="黑体"/>
          <w:sz w:val="32"/>
          <w:szCs w:val="32"/>
        </w:rPr>
      </w:pPr>
      <w:r>
        <w:rPr>
          <w:rFonts w:hint="eastAsia" w:ascii="黑体" w:hAnsi="黑体" w:eastAsia="黑体"/>
          <w:sz w:val="32"/>
          <w:szCs w:val="32"/>
        </w:rPr>
        <w:t>九、评标方法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（一）评标方法为综合评分法，具体评分标准和规则为：投标文件从技术、商务和价格等三个评审因素进行评分，出现总分相同的，则总分相等投标人中最低价者中标。</w:t>
      </w:r>
    </w:p>
    <w:p>
      <w:pPr>
        <w:adjustRightInd w:val="0"/>
        <w:snapToGrid w:val="0"/>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（二）综合评分表</w:t>
      </w:r>
    </w:p>
    <w:tbl>
      <w:tblPr>
        <w:tblStyle w:val="6"/>
        <w:tblW w:w="826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0"/>
        <w:gridCol w:w="1202"/>
        <w:gridCol w:w="4678"/>
        <w:gridCol w:w="850"/>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tblHeader/>
        </w:trPr>
        <w:tc>
          <w:tcPr>
            <w:tcW w:w="680" w:type="dxa"/>
            <w:shd w:val="clear" w:color="auto" w:fill="E7E6E6" w:themeFill="background2"/>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评审部分</w:t>
            </w:r>
          </w:p>
        </w:tc>
        <w:tc>
          <w:tcPr>
            <w:tcW w:w="1202" w:type="dxa"/>
            <w:shd w:val="clear" w:color="auto" w:fill="E7E6E6" w:themeFill="background2"/>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评审因素</w:t>
            </w:r>
          </w:p>
        </w:tc>
        <w:tc>
          <w:tcPr>
            <w:tcW w:w="4678" w:type="dxa"/>
            <w:shd w:val="clear" w:color="auto" w:fill="E7E6E6" w:themeFill="background2"/>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评分细则</w:t>
            </w:r>
          </w:p>
        </w:tc>
        <w:tc>
          <w:tcPr>
            <w:tcW w:w="850" w:type="dxa"/>
            <w:tcBorders>
              <w:right w:val="single" w:color="auto" w:sz="4" w:space="0"/>
            </w:tcBorders>
            <w:shd w:val="clear" w:color="auto" w:fill="E7E6E6" w:themeFill="background2"/>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权重（%）</w:t>
            </w:r>
          </w:p>
        </w:tc>
        <w:tc>
          <w:tcPr>
            <w:tcW w:w="851" w:type="dxa"/>
            <w:tcBorders>
              <w:left w:val="single" w:color="auto" w:sz="4" w:space="0"/>
            </w:tcBorders>
            <w:shd w:val="clear" w:color="auto" w:fill="E7E6E6" w:themeFill="background2"/>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分值（分）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 w:hRule="atLeast"/>
        </w:trPr>
        <w:tc>
          <w:tcPr>
            <w:tcW w:w="680" w:type="dxa"/>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一</w:t>
            </w:r>
          </w:p>
        </w:tc>
        <w:tc>
          <w:tcPr>
            <w:tcW w:w="7581" w:type="dxa"/>
            <w:gridSpan w:val="4"/>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技术部分（合计</w:t>
            </w:r>
            <w:r>
              <w:rPr>
                <w:rFonts w:hint="eastAsia" w:ascii="仿宋_GB2312" w:hAnsi="仿宋_GB2312" w:eastAsia="仿宋_GB2312" w:cs="仿宋_GB2312"/>
                <w:b/>
                <w:sz w:val="21"/>
                <w:szCs w:val="22"/>
                <w:lang w:val="en-US" w:eastAsia="zh-CN"/>
              </w:rPr>
              <w:t>5</w:t>
            </w:r>
            <w:r>
              <w:rPr>
                <w:rFonts w:hint="eastAsia" w:ascii="仿宋_GB2312" w:hAnsi="仿宋_GB2312" w:eastAsia="仿宋_GB2312" w:cs="仿宋_GB2312"/>
                <w:b/>
                <w:sz w:val="21"/>
                <w:szCs w:val="22"/>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1"/>
              </w:numPr>
              <w:jc w:val="right"/>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实施方案</w:t>
            </w:r>
          </w:p>
        </w:tc>
        <w:tc>
          <w:tcPr>
            <w:tcW w:w="4678" w:type="dxa"/>
          </w:tcPr>
          <w:p>
            <w:pPr>
              <w:spacing w:line="300" w:lineRule="exact"/>
              <w:ind w:left="-78" w:leftChars="-37" w:right="-73" w:rightChars="-35"/>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根据投标人提供的项目实施方案的全面性、针对性、可操作性等进行分档评审：</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1.评价为优，得100%；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2.评价为良，得70%；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3.评价为中，得40%；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4.评价为差，得10%。</w:t>
            </w:r>
          </w:p>
        </w:tc>
        <w:tc>
          <w:tcPr>
            <w:tcW w:w="850" w:type="dxa"/>
            <w:tcBorders>
              <w:right w:val="single" w:color="auto" w:sz="4" w:space="0"/>
            </w:tcBorders>
            <w:vAlign w:val="center"/>
          </w:tcPr>
          <w:p>
            <w:pPr>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35</w:t>
            </w:r>
          </w:p>
        </w:tc>
        <w:tc>
          <w:tcPr>
            <w:tcW w:w="851" w:type="dxa"/>
            <w:tcBorders>
              <w:left w:val="single" w:color="auto" w:sz="4" w:space="0"/>
            </w:tcBorders>
            <w:vAlign w:val="center"/>
          </w:tcPr>
          <w:p>
            <w:pPr>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1"/>
              </w:numPr>
              <w:jc w:val="right"/>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质量保障措施及方案</w:t>
            </w:r>
          </w:p>
        </w:tc>
        <w:tc>
          <w:tcPr>
            <w:tcW w:w="4678" w:type="dxa"/>
          </w:tcPr>
          <w:p>
            <w:pPr>
              <w:spacing w:line="300" w:lineRule="exact"/>
              <w:ind w:left="-78" w:leftChars="-37" w:right="-73" w:rightChars="-35"/>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根据投标人对项目进度计划和人员安排、质量和进度保障措施是否合理、可行等进行分档评审：</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1.评价为优，得100%；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2.评价为良，得70%；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3.评价为中，得40%；</w:t>
            </w:r>
          </w:p>
          <w:p>
            <w:pPr>
              <w:spacing w:line="300" w:lineRule="exact"/>
              <w:ind w:left="-78" w:leftChars="-37" w:right="-73" w:rightChars="-35"/>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4.评价为差，得10%。</w:t>
            </w:r>
          </w:p>
        </w:tc>
        <w:tc>
          <w:tcPr>
            <w:tcW w:w="850" w:type="dxa"/>
            <w:tcBorders>
              <w:right w:val="single" w:color="auto" w:sz="4" w:space="0"/>
            </w:tcBorders>
            <w:vAlign w:val="center"/>
          </w:tcPr>
          <w:p>
            <w:pPr>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10</w:t>
            </w:r>
          </w:p>
        </w:tc>
        <w:tc>
          <w:tcPr>
            <w:tcW w:w="851" w:type="dxa"/>
            <w:tcBorders>
              <w:left w:val="single" w:color="auto" w:sz="4" w:space="0"/>
            </w:tcBorders>
            <w:vAlign w:val="center"/>
          </w:tcPr>
          <w:p>
            <w:pPr>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tcBorders>
            <w:vAlign w:val="center"/>
          </w:tcPr>
          <w:p>
            <w:pPr>
              <w:numPr>
                <w:ilvl w:val="0"/>
                <w:numId w:val="1"/>
              </w:numPr>
              <w:jc w:val="right"/>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违约承诺</w:t>
            </w:r>
          </w:p>
        </w:tc>
        <w:tc>
          <w:tcPr>
            <w:tcW w:w="4678" w:type="dxa"/>
          </w:tcPr>
          <w:p>
            <w:pPr>
              <w:spacing w:line="300" w:lineRule="exac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提供违约承诺，承诺满足招标文件要求，保证措施合理且有针对性，有具体的违约责任承诺。</w:t>
            </w:r>
          </w:p>
          <w:p>
            <w:pPr>
              <w:spacing w:line="300" w:lineRule="exac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投标人提供违约承诺</w:t>
            </w:r>
            <w:r>
              <w:rPr>
                <w:rFonts w:hint="eastAsia" w:ascii="仿宋_GB2312" w:hAnsi="仿宋_GB2312" w:eastAsia="仿宋_GB2312" w:cs="仿宋_GB2312"/>
                <w:kern w:val="0"/>
                <w:sz w:val="21"/>
                <w:szCs w:val="22"/>
                <w:lang w:eastAsia="zh-CN"/>
              </w:rPr>
              <w:t>的</w:t>
            </w:r>
            <w:r>
              <w:rPr>
                <w:rFonts w:hint="eastAsia" w:ascii="仿宋_GB2312" w:hAnsi="仿宋_GB2312" w:eastAsia="仿宋_GB2312" w:cs="仿宋_GB2312"/>
                <w:kern w:val="0"/>
                <w:sz w:val="21"/>
                <w:szCs w:val="22"/>
              </w:rPr>
              <w:t>100%。要求提供承诺（格式自定）作为得分依据，未提供承诺或承诺内容不满足要求不得分。</w:t>
            </w:r>
          </w:p>
        </w:tc>
        <w:tc>
          <w:tcPr>
            <w:tcW w:w="850" w:type="dxa"/>
            <w:tcBorders>
              <w:righ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5</w:t>
            </w:r>
          </w:p>
        </w:tc>
        <w:tc>
          <w:tcPr>
            <w:tcW w:w="851" w:type="dxa"/>
            <w:tcBorders>
              <w:lef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7" w:hRule="atLeast"/>
        </w:trPr>
        <w:tc>
          <w:tcPr>
            <w:tcW w:w="680" w:type="dxa"/>
            <w:tcBorders>
              <w:top w:val="single" w:color="auto" w:sz="4" w:space="0"/>
            </w:tcBorders>
            <w:vAlign w:val="center"/>
          </w:tcPr>
          <w:p>
            <w:pPr>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二</w:t>
            </w:r>
          </w:p>
        </w:tc>
        <w:tc>
          <w:tcPr>
            <w:tcW w:w="7581" w:type="dxa"/>
            <w:gridSpan w:val="4"/>
            <w:vAlign w:val="center"/>
          </w:tcPr>
          <w:p>
            <w:pPr>
              <w:spacing w:line="300" w:lineRule="exact"/>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商务部分（合计40分）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bottom w:val="single" w:color="auto" w:sz="4" w:space="0"/>
            </w:tcBorders>
            <w:vAlign w:val="center"/>
          </w:tcPr>
          <w:p>
            <w:pPr>
              <w:numPr>
                <w:ilvl w:val="0"/>
                <w:numId w:val="2"/>
              </w:numPr>
              <w:jc w:val="center"/>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b/>
                <w:bCs/>
                <w:sz w:val="21"/>
                <w:szCs w:val="28"/>
              </w:rPr>
            </w:pPr>
            <w:r>
              <w:rPr>
                <w:rFonts w:hint="eastAsia" w:ascii="仿宋_GB2312" w:hAnsi="仿宋_GB2312" w:eastAsia="仿宋_GB2312" w:cs="仿宋_GB2312"/>
                <w:sz w:val="21"/>
                <w:szCs w:val="22"/>
              </w:rPr>
              <w:t>投标人经验</w:t>
            </w:r>
          </w:p>
        </w:tc>
        <w:tc>
          <w:tcPr>
            <w:tcW w:w="4678" w:type="dxa"/>
            <w:vAlign w:val="center"/>
          </w:tcPr>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1.评分内容：</w:t>
            </w:r>
          </w:p>
          <w:p>
            <w:pPr>
              <w:spacing w:line="300" w:lineRule="exac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牵头承担过国家、省或市级规划编制、</w:t>
            </w:r>
            <w:r>
              <w:rPr>
                <w:rFonts w:hint="eastAsia" w:ascii="仿宋_GB2312" w:hAnsi="仿宋_GB2312" w:eastAsia="仿宋_GB2312" w:cs="仿宋_GB2312"/>
                <w:kern w:val="0"/>
                <w:sz w:val="21"/>
                <w:szCs w:val="22"/>
                <w:lang w:eastAsia="zh-CN"/>
              </w:rPr>
              <w:t>宏观经济研究、</w:t>
            </w:r>
            <w:r>
              <w:rPr>
                <w:rFonts w:hint="eastAsia" w:ascii="仿宋_GB2312" w:hAnsi="仿宋_GB2312" w:eastAsia="仿宋_GB2312" w:cs="仿宋_GB2312"/>
                <w:kern w:val="0"/>
                <w:sz w:val="21"/>
                <w:szCs w:val="22"/>
              </w:rPr>
              <w:t>产业研究、政策研究等相关领域政府课题的，按国家级每项15%、省级每项10%、市级每项5%进行计分，最高得分不超过100%。</w:t>
            </w:r>
          </w:p>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2.评分依据：</w:t>
            </w:r>
          </w:p>
          <w:p>
            <w:pPr>
              <w:spacing w:line="300" w:lineRule="exact"/>
              <w:ind w:left="-63" w:leftChars="-30" w:right="-88" w:rightChars="-42"/>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（1）要求提供合同关键页或其他证明文件。</w:t>
            </w:r>
          </w:p>
          <w:p>
            <w:pPr>
              <w:spacing w:line="300" w:lineRule="exact"/>
              <w:ind w:left="-63" w:leftChars="-30" w:right="-88" w:rightChars="-42"/>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（2）以上资料均要求提供扫描件（或官方网站截图）。评分中出现无证明资料或专家无法凭所提供资料判断是否得分的情况，一律作不得分处理。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投标人获奖情况</w:t>
            </w:r>
          </w:p>
        </w:tc>
        <w:tc>
          <w:tcPr>
            <w:tcW w:w="4678" w:type="dxa"/>
          </w:tcPr>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1.评分内容：</w:t>
            </w:r>
          </w:p>
          <w:p>
            <w:pPr>
              <w:spacing w:line="300" w:lineRule="exact"/>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投标人承担的研究课题，获得市级及以上级别的奖励，或作为市级及以上级别政策文件进行公开发布的，每提供1个得20%，最高得分不超过100%。</w:t>
            </w:r>
          </w:p>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2.评分依据：</w:t>
            </w:r>
          </w:p>
          <w:p>
            <w:pPr>
              <w:spacing w:line="300" w:lineRule="exact"/>
              <w:ind w:left="-63" w:leftChars="-30" w:right="-88" w:rightChars="-42"/>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（1）要求提供相关证明文件。</w:t>
            </w:r>
          </w:p>
          <w:p>
            <w:pPr>
              <w:spacing w:line="300" w:lineRule="exact"/>
              <w:ind w:left="-63" w:leftChars="-30" w:right="-88" w:rightChars="-42"/>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 w:hRule="atLeast"/>
        </w:trPr>
        <w:tc>
          <w:tcPr>
            <w:tcW w:w="680" w:type="dxa"/>
            <w:tcBorders>
              <w:top w:val="single" w:color="auto" w:sz="4" w:space="0"/>
              <w:bottom w:val="single" w:color="auto" w:sz="4" w:space="0"/>
            </w:tcBorders>
            <w:vAlign w:val="center"/>
          </w:tcPr>
          <w:p>
            <w:pPr>
              <w:numPr>
                <w:ilvl w:val="0"/>
                <w:numId w:val="2"/>
              </w:numPr>
              <w:jc w:val="center"/>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拟安排的项目负责人情况（仅限一人）</w:t>
            </w:r>
          </w:p>
        </w:tc>
        <w:tc>
          <w:tcPr>
            <w:tcW w:w="4678" w:type="dxa"/>
          </w:tcPr>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1.评分内容：</w:t>
            </w:r>
          </w:p>
          <w:p>
            <w:pPr>
              <w:spacing w:line="300" w:lineRule="exact"/>
              <w:ind w:left="-63" w:leftChars="-30" w:right="-88" w:rightChars="-42"/>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（1）项目负责人具有中高级职称或博士学位，得25%，否则不得分。</w:t>
            </w:r>
          </w:p>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kern w:val="0"/>
                <w:sz w:val="21"/>
                <w:szCs w:val="22"/>
              </w:rPr>
              <w:t>（2）项目负责人主持或参与过相关领域市级以上政府课题的，每提供1个得25%，最高得分不超过75%。</w:t>
            </w:r>
          </w:p>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2.评分依据：</w:t>
            </w:r>
          </w:p>
          <w:p>
            <w:pPr>
              <w:spacing w:line="300" w:lineRule="exact"/>
              <w:ind w:left="-63" w:leftChars="-30" w:right="-88" w:rightChars="-42"/>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（1）要求提供通过投标人购买的项目负责人近三个月社保，学位或职称文件，业绩合同关键页或其他证明文件（需要体现人员信息，若无人员信息，须提供工作单位出具的证明材料）。</w:t>
            </w:r>
          </w:p>
          <w:p>
            <w:pPr>
              <w:spacing w:line="300" w:lineRule="exact"/>
              <w:ind w:left="-63" w:leftChars="-30" w:right="-88" w:rightChars="-42"/>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trPr>
        <w:tc>
          <w:tcPr>
            <w:tcW w:w="680" w:type="dxa"/>
            <w:tcBorders>
              <w:top w:val="single" w:color="auto" w:sz="4" w:space="0"/>
              <w:bottom w:val="single" w:color="auto" w:sz="4" w:space="0"/>
            </w:tcBorders>
            <w:vAlign w:val="center"/>
          </w:tcPr>
          <w:p>
            <w:pPr>
              <w:numPr>
                <w:ilvl w:val="0"/>
                <w:numId w:val="2"/>
              </w:numPr>
              <w:jc w:val="center"/>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拟安排的项目主要团队成员（主要技术人员）情况（项目负责人除外）</w:t>
            </w:r>
          </w:p>
        </w:tc>
        <w:tc>
          <w:tcPr>
            <w:tcW w:w="4678" w:type="dxa"/>
          </w:tcPr>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1.评分内容：</w:t>
            </w:r>
          </w:p>
          <w:p>
            <w:pPr>
              <w:spacing w:line="300" w:lineRule="exac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项目团队中每提供1位有中高级职称或博士学位人员得50%，每提供1位有硕士学位人员得25%，最高得分不超过100%。</w:t>
            </w:r>
          </w:p>
          <w:p>
            <w:pPr>
              <w:spacing w:line="300" w:lineRule="exact"/>
              <w:jc w:val="left"/>
              <w:rPr>
                <w:rFonts w:hint="eastAsia" w:ascii="仿宋_GB2312" w:hAnsi="仿宋_GB2312" w:eastAsia="仿宋_GB2312" w:cs="仿宋_GB2312"/>
                <w:b/>
                <w:kern w:val="0"/>
                <w:sz w:val="21"/>
                <w:szCs w:val="22"/>
              </w:rPr>
            </w:pPr>
            <w:r>
              <w:rPr>
                <w:rFonts w:hint="eastAsia" w:ascii="仿宋_GB2312" w:hAnsi="仿宋_GB2312" w:eastAsia="仿宋_GB2312" w:cs="仿宋_GB2312"/>
                <w:b/>
                <w:kern w:val="0"/>
                <w:sz w:val="21"/>
                <w:szCs w:val="22"/>
              </w:rPr>
              <w:t>2.评分依据：</w:t>
            </w:r>
          </w:p>
          <w:p>
            <w:pPr>
              <w:spacing w:line="300" w:lineRule="exact"/>
              <w:ind w:left="-63" w:leftChars="-30" w:right="-88" w:rightChars="-42"/>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（1）要求提供通过投标人购买的团队成员近三个月社保，学位或职称文件等。</w:t>
            </w:r>
          </w:p>
          <w:p>
            <w:pPr>
              <w:spacing w:line="300" w:lineRule="exact"/>
              <w:ind w:left="-63" w:leftChars="-30" w:right="-88" w:rightChars="-42"/>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（2）以上资料均要求提供扫描件（或官方网站截图），原件备查。评分中出现无证明资料或专家无法凭所提供资料判断是否得分的情况，一律作不得分处理。</w:t>
            </w:r>
          </w:p>
        </w:tc>
        <w:tc>
          <w:tcPr>
            <w:tcW w:w="850" w:type="dxa"/>
            <w:tcBorders>
              <w:righ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c>
          <w:tcPr>
            <w:tcW w:w="851" w:type="dxa"/>
            <w:tcBorders>
              <w:left w:val="single" w:color="auto" w:sz="4" w:space="0"/>
            </w:tcBorders>
            <w:vAlign w:val="center"/>
          </w:tcPr>
          <w:p>
            <w:pPr>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680" w:type="dxa"/>
            <w:tcBorders>
              <w:top w:val="single" w:color="auto" w:sz="4" w:space="0"/>
            </w:tcBorders>
            <w:vAlign w:val="center"/>
          </w:tcPr>
          <w:p>
            <w:pPr>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三</w:t>
            </w:r>
          </w:p>
        </w:tc>
        <w:tc>
          <w:tcPr>
            <w:tcW w:w="7581" w:type="dxa"/>
            <w:gridSpan w:val="4"/>
            <w:vAlign w:val="center"/>
          </w:tcPr>
          <w:p>
            <w:pPr>
              <w:spacing w:line="300" w:lineRule="exact"/>
              <w:ind w:left="-78" w:leftChars="-37" w:right="-73" w:rightChars="-35"/>
              <w:jc w:val="center"/>
              <w:rPr>
                <w:rFonts w:hint="eastAsia" w:ascii="仿宋_GB2312" w:hAnsi="仿宋_GB2312" w:eastAsia="仿宋_GB2312" w:cs="仿宋_GB2312"/>
                <w:b/>
                <w:sz w:val="21"/>
                <w:szCs w:val="22"/>
              </w:rPr>
            </w:pPr>
            <w:r>
              <w:rPr>
                <w:rFonts w:hint="eastAsia" w:ascii="仿宋_GB2312" w:hAnsi="仿宋_GB2312" w:eastAsia="仿宋_GB2312" w:cs="仿宋_GB2312"/>
                <w:b/>
                <w:sz w:val="21"/>
                <w:szCs w:val="22"/>
              </w:rPr>
              <w:t>价格部分（合计</w:t>
            </w:r>
            <w:r>
              <w:rPr>
                <w:rFonts w:hint="eastAsia" w:ascii="仿宋_GB2312" w:hAnsi="仿宋_GB2312" w:eastAsia="仿宋_GB2312" w:cs="仿宋_GB2312"/>
                <w:b/>
                <w:sz w:val="21"/>
                <w:szCs w:val="22"/>
                <w:lang w:val="en-US" w:eastAsia="zh-CN"/>
              </w:rPr>
              <w:t>1</w:t>
            </w:r>
            <w:r>
              <w:rPr>
                <w:rFonts w:hint="eastAsia" w:ascii="仿宋_GB2312" w:hAnsi="仿宋_GB2312" w:eastAsia="仿宋_GB2312" w:cs="仿宋_GB2312"/>
                <w:b/>
                <w:sz w:val="21"/>
                <w:szCs w:val="22"/>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1" w:hRule="atLeast"/>
        </w:trPr>
        <w:tc>
          <w:tcPr>
            <w:tcW w:w="680" w:type="dxa"/>
            <w:vAlign w:val="center"/>
          </w:tcPr>
          <w:p>
            <w:pPr>
              <w:numPr>
                <w:ilvl w:val="0"/>
                <w:numId w:val="3"/>
              </w:numPr>
              <w:jc w:val="center"/>
              <w:rPr>
                <w:rFonts w:hint="eastAsia" w:ascii="仿宋_GB2312" w:hAnsi="仿宋_GB2312" w:eastAsia="仿宋_GB2312" w:cs="仿宋_GB2312"/>
                <w:sz w:val="21"/>
                <w:szCs w:val="22"/>
              </w:rPr>
            </w:pPr>
          </w:p>
        </w:tc>
        <w:tc>
          <w:tcPr>
            <w:tcW w:w="1202" w:type="dxa"/>
            <w:vAlign w:val="center"/>
          </w:tcPr>
          <w:p>
            <w:pPr>
              <w:spacing w:line="300" w:lineRule="exact"/>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投标报价</w:t>
            </w:r>
          </w:p>
        </w:tc>
        <w:tc>
          <w:tcPr>
            <w:tcW w:w="4678" w:type="dxa"/>
            <w:vAlign w:val="center"/>
          </w:tcPr>
          <w:p>
            <w:pPr>
              <w:autoSpaceDE w:val="0"/>
              <w:autoSpaceDN w:val="0"/>
              <w:adjustRightInd w:val="0"/>
              <w:snapToGrid w:val="0"/>
              <w:spacing w:line="300" w:lineRule="exac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价格分应当采用低价优先法计算，即满足招标文件要求且投标价格最低的投标报价为评标基准价，其价格分为满分。其他投标人的价格分统一按照下列公式计算：</w:t>
            </w:r>
          </w:p>
          <w:p>
            <w:pPr>
              <w:spacing w:line="300" w:lineRule="exact"/>
              <w:jc w:val="left"/>
              <w:rPr>
                <w:rFonts w:hint="eastAsia" w:ascii="仿宋_GB2312" w:hAnsi="仿宋_GB2312" w:eastAsia="仿宋_GB2312" w:cs="仿宋_GB2312"/>
                <w:kern w:val="0"/>
                <w:sz w:val="21"/>
                <w:szCs w:val="22"/>
              </w:rPr>
            </w:pPr>
            <w:r>
              <w:rPr>
                <w:rFonts w:hint="eastAsia" w:ascii="仿宋_GB2312" w:hAnsi="仿宋_GB2312" w:eastAsia="仿宋_GB2312" w:cs="仿宋_GB2312"/>
                <w:kern w:val="0"/>
                <w:sz w:val="21"/>
                <w:szCs w:val="22"/>
              </w:rPr>
              <w:t>投标报价得分=(评标基准价／投标报价)×100×权重</w:t>
            </w:r>
          </w:p>
          <w:p>
            <w:pPr>
              <w:spacing w:line="300" w:lineRule="exact"/>
              <w:jc w:val="left"/>
              <w:rPr>
                <w:rFonts w:hint="eastAsia" w:ascii="仿宋_GB2312" w:hAnsi="仿宋_GB2312" w:eastAsia="仿宋_GB2312" w:cs="仿宋_GB2312"/>
                <w:bCs/>
                <w:sz w:val="21"/>
                <w:szCs w:val="22"/>
              </w:rPr>
            </w:pPr>
            <w:r>
              <w:rPr>
                <w:rFonts w:hint="eastAsia" w:ascii="仿宋_GB2312" w:hAnsi="仿宋_GB2312" w:eastAsia="仿宋_GB2312" w:cs="仿宋_GB2312"/>
                <w:bCs/>
                <w:sz w:val="21"/>
                <w:szCs w:val="22"/>
              </w:rPr>
              <w:t>备注：</w:t>
            </w:r>
          </w:p>
          <w:p>
            <w:pPr>
              <w:spacing w:line="300" w:lineRule="exact"/>
              <w:jc w:val="left"/>
              <w:rPr>
                <w:rFonts w:hint="eastAsia" w:ascii="仿宋_GB2312" w:hAnsi="仿宋_GB2312" w:eastAsia="仿宋_GB2312" w:cs="仿宋_GB2312"/>
                <w:sz w:val="21"/>
                <w:szCs w:val="22"/>
              </w:rPr>
            </w:pPr>
            <w:r>
              <w:rPr>
                <w:rFonts w:hint="eastAsia" w:ascii="仿宋_GB2312" w:hAnsi="仿宋_GB2312" w:eastAsia="仿宋_GB2312" w:cs="仿宋_GB2312"/>
                <w:bCs/>
                <w:sz w:val="21"/>
                <w:szCs w:val="22"/>
              </w:rPr>
              <w:t>1.因落实政府采购政策进行价格调整的，以调整后的价格计算评标基准价和投标报价</w:t>
            </w:r>
            <w:r>
              <w:rPr>
                <w:rFonts w:hint="eastAsia" w:ascii="仿宋_GB2312" w:hAnsi="仿宋_GB2312" w:eastAsia="仿宋_GB2312" w:cs="仿宋_GB2312"/>
                <w:bCs/>
                <w:sz w:val="21"/>
                <w:szCs w:val="22"/>
                <w:lang w:eastAsia="zh-CN"/>
              </w:rPr>
              <w:t>，</w:t>
            </w:r>
            <w:r>
              <w:rPr>
                <w:rFonts w:hint="eastAsia" w:ascii="仿宋_GB2312" w:hAnsi="仿宋_GB2312" w:eastAsia="仿宋_GB2312" w:cs="仿宋_GB2312"/>
                <w:sz w:val="21"/>
                <w:szCs w:val="22"/>
              </w:rPr>
              <w:t>详见“价格扣除”。</w:t>
            </w:r>
          </w:p>
          <w:p>
            <w:pPr>
              <w:spacing w:line="300" w:lineRule="exact"/>
              <w:rPr>
                <w:rFonts w:hint="eastAsia" w:ascii="仿宋_GB2312" w:hAnsi="仿宋_GB2312" w:eastAsia="仿宋_GB2312" w:cs="仿宋_GB2312"/>
                <w:b/>
                <w:bCs/>
                <w:sz w:val="21"/>
                <w:szCs w:val="22"/>
                <w:u w:val="double"/>
              </w:rPr>
            </w:pPr>
            <w:r>
              <w:rPr>
                <w:rFonts w:hint="eastAsia" w:ascii="仿宋_GB2312" w:hAnsi="仿宋_GB2312" w:eastAsia="仿宋_GB2312" w:cs="仿宋_GB2312"/>
                <w:bCs/>
                <w:sz w:val="21"/>
                <w:szCs w:val="22"/>
              </w:rPr>
              <w:t>2.投标报价得分四舍五入后，</w:t>
            </w:r>
            <w:r>
              <w:rPr>
                <w:rFonts w:hint="eastAsia" w:ascii="仿宋_GB2312" w:hAnsi="仿宋_GB2312" w:eastAsia="仿宋_GB2312" w:cs="仿宋_GB2312"/>
                <w:sz w:val="21"/>
                <w:szCs w:val="22"/>
              </w:rPr>
              <w:t>小数点后保留两位有效数</w:t>
            </w:r>
            <w:r>
              <w:rPr>
                <w:rFonts w:hint="eastAsia" w:ascii="仿宋_GB2312" w:hAnsi="仿宋_GB2312" w:eastAsia="仿宋_GB2312" w:cs="仿宋_GB2312"/>
                <w:bCs/>
                <w:sz w:val="21"/>
                <w:szCs w:val="22"/>
              </w:rPr>
              <w:t>。</w:t>
            </w:r>
          </w:p>
        </w:tc>
        <w:tc>
          <w:tcPr>
            <w:tcW w:w="850" w:type="dxa"/>
            <w:tcBorders>
              <w:right w:val="single" w:color="auto" w:sz="4" w:space="0"/>
            </w:tcBorders>
            <w:vAlign w:val="center"/>
          </w:tcPr>
          <w:p>
            <w:pPr>
              <w:ind w:left="-78" w:leftChars="-37" w:right="-73" w:rightChars="-35"/>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10</w:t>
            </w:r>
          </w:p>
        </w:tc>
        <w:tc>
          <w:tcPr>
            <w:tcW w:w="851" w:type="dxa"/>
            <w:tcBorders>
              <w:left w:val="single" w:color="auto" w:sz="4" w:space="0"/>
            </w:tcBorders>
            <w:vAlign w:val="center"/>
          </w:tcPr>
          <w:p>
            <w:pPr>
              <w:ind w:left="-78" w:leftChars="-37" w:right="-73" w:rightChars="-35"/>
              <w:jc w:val="center"/>
              <w:rPr>
                <w:rFonts w:hint="default" w:ascii="仿宋_GB2312" w:hAnsi="仿宋_GB2312" w:eastAsia="仿宋_GB2312" w:cs="仿宋_GB2312"/>
                <w:sz w:val="21"/>
                <w:szCs w:val="22"/>
                <w:lang w:val="en-US" w:eastAsia="zh-CN"/>
              </w:rPr>
            </w:pPr>
            <w:r>
              <w:rPr>
                <w:rFonts w:hint="eastAsia" w:ascii="仿宋_GB2312" w:hAnsi="仿宋_GB2312" w:eastAsia="仿宋_GB2312" w:cs="仿宋_GB2312"/>
                <w:sz w:val="21"/>
                <w:szCs w:val="22"/>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trPr>
        <w:tc>
          <w:tcPr>
            <w:tcW w:w="6560" w:type="dxa"/>
            <w:gridSpan w:val="3"/>
            <w:vAlign w:val="center"/>
          </w:tcPr>
          <w:p>
            <w:pPr>
              <w:ind w:left="-78" w:leftChars="-37" w:right="-73" w:rightChars="-35"/>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合计</w:t>
            </w:r>
          </w:p>
        </w:tc>
        <w:tc>
          <w:tcPr>
            <w:tcW w:w="850" w:type="dxa"/>
            <w:tcBorders>
              <w:right w:val="single" w:color="auto" w:sz="4" w:space="0"/>
            </w:tcBorders>
            <w:vAlign w:val="center"/>
          </w:tcPr>
          <w:p>
            <w:pPr>
              <w:ind w:left="-78" w:leftChars="-37" w:right="-73" w:rightChars="-35"/>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100</w:t>
            </w:r>
          </w:p>
        </w:tc>
        <w:tc>
          <w:tcPr>
            <w:tcW w:w="851" w:type="dxa"/>
            <w:tcBorders>
              <w:left w:val="single" w:color="auto" w:sz="4" w:space="0"/>
            </w:tcBorders>
            <w:vAlign w:val="center"/>
          </w:tcPr>
          <w:p>
            <w:pPr>
              <w:ind w:left="-78" w:leftChars="-37" w:right="-73" w:rightChars="-35"/>
              <w:jc w:val="center"/>
              <w:rPr>
                <w:rFonts w:hint="eastAsia" w:ascii="仿宋_GB2312" w:hAnsi="仿宋_GB2312" w:eastAsia="仿宋_GB2312" w:cs="仿宋_GB2312"/>
                <w:sz w:val="21"/>
                <w:szCs w:val="22"/>
              </w:rPr>
            </w:pPr>
            <w:r>
              <w:rPr>
                <w:rFonts w:hint="eastAsia" w:ascii="仿宋_GB2312" w:hAnsi="仿宋_GB2312" w:eastAsia="仿宋_GB2312" w:cs="仿宋_GB2312"/>
                <w:sz w:val="21"/>
                <w:szCs w:val="22"/>
              </w:rPr>
              <w:t>100</w:t>
            </w:r>
          </w:p>
        </w:tc>
      </w:tr>
    </w:tbl>
    <w:p>
      <w:pPr>
        <w:spacing w:line="240" w:lineRule="auto"/>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备注：</w:t>
      </w:r>
      <w:r>
        <w:rPr>
          <w:rFonts w:hint="eastAsia" w:ascii="仿宋_GB2312" w:hAnsi="仿宋_GB2312" w:eastAsia="仿宋_GB2312" w:cs="仿宋_GB2312"/>
          <w:kern w:val="0"/>
          <w:sz w:val="24"/>
          <w:szCs w:val="24"/>
        </w:rPr>
        <w:t>1.评标信息内评分方法的说明：</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（1）权重：按百分比进行设置。</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（2）评分准则：按照评标系统设置要求，每项“评分准则”皆按百分制打分。</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（3）每项“评分因素”的得分=对应“评分准则”的分值×对应权重%。</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2.价格扣除</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（1）根据财政部、工业和信息化部印发的《政府采购促进中小企业发展管理办法》（财库〔2020〕46号）的规定，对小型和微型企业产品的价格给予6%的扣除，用扣除后的价格参与评审。</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（2）组成联合体（如允许）或者接受分包的小微企业与联合体内其他企业、分包企业之间存在直接控股、管理关系的，不享受价格扣除优惠政策。</w:t>
      </w:r>
    </w:p>
    <w:p>
      <w:pPr>
        <w:spacing w:line="240" w:lineRule="auto"/>
        <w:ind w:firstLine="600" w:firstLineChars="25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（3）监狱企业产品价格扣除：监狱企业视同小微企业，按上述第（1）、（2）条款享受评审中价格扣除。</w:t>
      </w:r>
    </w:p>
    <w:p>
      <w:pPr>
        <w:spacing w:line="240" w:lineRule="auto"/>
        <w:ind w:firstLine="600" w:firstLineChars="250"/>
        <w:rPr>
          <w:rFonts w:hint="eastAsia" w:ascii="宋体" w:hAnsi="宋体" w:cs="宋体"/>
          <w:kern w:val="0"/>
          <w:sz w:val="24"/>
          <w:szCs w:val="24"/>
        </w:rPr>
      </w:pPr>
      <w:r>
        <w:rPr>
          <w:rFonts w:hint="eastAsia" w:ascii="仿宋_GB2312" w:hAnsi="仿宋_GB2312" w:eastAsia="仿宋_GB2312" w:cs="仿宋_GB2312"/>
          <w:kern w:val="0"/>
          <w:sz w:val="24"/>
          <w:szCs w:val="24"/>
        </w:rPr>
        <w:t>（4）残疾人福利性单位产品价格扣除：残疾人福利性单位视同小微企业，按上述第（1）、（2）条款享受评审中价格扣除。</w:t>
      </w:r>
    </w:p>
    <w:p>
      <w:pPr>
        <w:spacing w:line="540" w:lineRule="exact"/>
        <w:ind w:firstLine="600" w:firstLineChars="250"/>
        <w:rPr>
          <w:rFonts w:hint="eastAsia" w:ascii="宋体" w:hAnsi="宋体" w:cs="宋体"/>
          <w:kern w:val="0"/>
          <w:sz w:val="24"/>
          <w:szCs w:val="24"/>
        </w:rPr>
      </w:pPr>
    </w:p>
    <w:p>
      <w:pPr>
        <w:adjustRightInd w:val="0"/>
        <w:snapToGrid w:val="0"/>
        <w:spacing w:line="48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附件：投标及履约承诺函</w:t>
      </w:r>
    </w:p>
    <w:p>
      <w:pPr>
        <w:jc w:val="left"/>
        <w:rPr>
          <w:rFonts w:hint="eastAsia" w:ascii="仿宋_GB2312" w:hAnsi="宋体" w:eastAsia="仿宋_GB2312" w:cs="仿宋_GB2312"/>
          <w:sz w:val="32"/>
          <w:szCs w:val="22"/>
        </w:rPr>
      </w:pPr>
      <w:r>
        <w:rPr>
          <w:rFonts w:ascii="仿宋" w:hAnsi="仿宋" w:eastAsia="仿宋" w:cs="仿宋_GB2312"/>
          <w:sz w:val="32"/>
          <w:szCs w:val="32"/>
        </w:rPr>
        <w:br w:type="page"/>
      </w:r>
      <w:r>
        <w:rPr>
          <w:rFonts w:hint="eastAsia" w:ascii="黑体" w:hAnsi="黑体" w:eastAsia="黑体" w:cs="黑体"/>
          <w:sz w:val="32"/>
          <w:szCs w:val="22"/>
        </w:rPr>
        <w:t>附件</w:t>
      </w:r>
    </w:p>
    <w:p>
      <w:pPr>
        <w:adjustRightInd w:val="0"/>
        <w:snapToGrid w:val="0"/>
        <w:spacing w:line="600" w:lineRule="exact"/>
        <w:jc w:val="center"/>
        <w:rPr>
          <w:rFonts w:hint="eastAsia" w:ascii="宋体" w:hAnsi="宋体" w:cs="宋体"/>
          <w:b/>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投标及履约承诺函</w:t>
      </w:r>
    </w:p>
    <w:p>
      <w:pPr>
        <w:adjustRightInd w:val="0"/>
        <w:snapToGrid w:val="0"/>
        <w:spacing w:line="600" w:lineRule="exact"/>
        <w:jc w:val="center"/>
        <w:rPr>
          <w:rFonts w:hint="eastAsia" w:ascii="宋体" w:hAnsi="宋体" w:cs="宋体"/>
          <w:b/>
          <w:bCs/>
          <w:sz w:val="32"/>
          <w:szCs w:val="32"/>
        </w:rPr>
      </w:pP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w:t>
      </w:r>
      <w:r>
        <w:rPr>
          <w:rFonts w:hint="eastAsia" w:ascii="仿宋_GB2312" w:hAnsi="宋体" w:eastAsia="仿宋_GB2312" w:cs="仿宋_GB2312"/>
          <w:sz w:val="32"/>
          <w:szCs w:val="22"/>
          <w:lang w:eastAsia="zh-CN"/>
        </w:rPr>
        <w:t>所做的</w:t>
      </w:r>
      <w:r>
        <w:rPr>
          <w:rFonts w:hint="eastAsia" w:ascii="仿宋_GB2312" w:hAnsi="宋体" w:eastAsia="仿宋_GB2312" w:cs="仿宋_GB2312"/>
          <w:sz w:val="32"/>
          <w:szCs w:val="22"/>
        </w:rPr>
        <w:t>一切承诺履约。项目验收达到全部指标合格，力争优良。</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hint="eastAsia"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hint="eastAsia" w:ascii="仿宋_GB2312" w:hAnsi="宋体" w:eastAsia="仿宋_GB2312"/>
          <w:sz w:val="32"/>
          <w:szCs w:val="22"/>
        </w:rPr>
      </w:pP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 xml:space="preserve">承诺投标人： </w:t>
      </w:r>
    </w:p>
    <w:p>
      <w:pPr>
        <w:adjustRightInd w:val="0"/>
        <w:snapToGrid w:val="0"/>
        <w:spacing w:line="480" w:lineRule="exact"/>
        <w:ind w:firstLine="640" w:firstLineChars="200"/>
        <w:rPr>
          <w:rFonts w:hint="eastAsia"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hint="eastAsia"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eastAsia" w:ascii="仿宋" w:hAnsi="仿宋" w:eastAsia="仿宋" w:cs="仿宋_GB2312"/>
          <w:sz w:val="32"/>
          <w:szCs w:val="32"/>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3" w:type="default"/>
      <w:pgSz w:w="11906" w:h="16838"/>
      <w:pgMar w:top="1440" w:right="1800" w:bottom="1440" w:left="1800"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2475865</wp:posOffset>
              </wp:positionH>
              <wp:positionV relativeFrom="paragraph">
                <wp:posOffset>-26035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4.95pt;margin-top:-2.05pt;height:144pt;width:144pt;mso-position-horizontal-relative:margin;mso-wrap-style:none;z-index:251659264;mso-width-relative:page;mso-height-relative:page;" filled="f" stroked="f" coordsize="21600,21600" o:gfxdata="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5KTCtgAAAAK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F41E8C"/>
    <w:multiLevelType w:val="multilevel"/>
    <w:tmpl w:val="47F41E8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2D25F0"/>
    <w:multiLevelType w:val="multilevel"/>
    <w:tmpl w:val="7C2D25F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3165D"/>
    <w:rsid w:val="02AE31C9"/>
    <w:rsid w:val="0315776F"/>
    <w:rsid w:val="066322A5"/>
    <w:rsid w:val="1A704813"/>
    <w:rsid w:val="236F7CD9"/>
    <w:rsid w:val="27F7751F"/>
    <w:rsid w:val="2A7E0C7C"/>
    <w:rsid w:val="2C3F7504"/>
    <w:rsid w:val="2D545D8C"/>
    <w:rsid w:val="2E447961"/>
    <w:rsid w:val="32F00E92"/>
    <w:rsid w:val="35441766"/>
    <w:rsid w:val="37C01E22"/>
    <w:rsid w:val="3AF8566C"/>
    <w:rsid w:val="3C1749BF"/>
    <w:rsid w:val="46A121D7"/>
    <w:rsid w:val="487E5E43"/>
    <w:rsid w:val="4B2B36EF"/>
    <w:rsid w:val="4EB67B09"/>
    <w:rsid w:val="50577DCD"/>
    <w:rsid w:val="56714A0D"/>
    <w:rsid w:val="58D20E03"/>
    <w:rsid w:val="5AA35C89"/>
    <w:rsid w:val="767F7A83"/>
    <w:rsid w:val="77B72B5B"/>
    <w:rsid w:val="7C4C0B46"/>
    <w:rsid w:val="7D361146"/>
    <w:rsid w:val="7E52614D"/>
    <w:rsid w:val="7F2F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2024-10-10T09:21:00Z</dcterms:created>
  <dc:creator>杨鸿杰</dc:creator>
  <cp:lastModifiedBy>小陈</cp:lastModifiedBy>
  <cp:lastPrinted>2024-10-11T09:42:00Z</cp:lastPrinted>
  <dcterms:modified xsi:type="dcterms:W3CDTF">2024-10-14T06:53:51Z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18B0EC357D2842E2AC0526D737BA9355_13</vt:lpwstr>
  </property>
</Properties>
</file>