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0" w:firstLineChars="0"/>
        <w:jc w:val="center"/>
        <w:rPr>
          <w:rFonts w:hint="eastAsia" w:asciiTheme="minorEastAsia" w:hAnsiTheme="minorEastAsia" w:eastAsiaTheme="minorEastAsia" w:cstheme="minorEastAsia"/>
          <w:b/>
          <w:bCs w:val="0"/>
          <w:color w:val="000000" w:themeColor="text1"/>
          <w:sz w:val="44"/>
          <w:szCs w:val="44"/>
          <w:highlight w:val="none"/>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44"/>
          <w:szCs w:val="44"/>
          <w:highlight w:val="none"/>
          <w14:textFill>
            <w14:solidFill>
              <w14:schemeClr w14:val="tx1"/>
            </w14:solidFill>
          </w14:textFill>
        </w:rPr>
        <w:t>深圳市基本公共服务全覆盖</w:t>
      </w:r>
      <w:r>
        <w:rPr>
          <w:rFonts w:hint="eastAsia" w:asciiTheme="minorEastAsia" w:hAnsiTheme="minorEastAsia" w:eastAsiaTheme="minorEastAsia" w:cstheme="minorEastAsia"/>
          <w:b/>
          <w:bCs w:val="0"/>
          <w:color w:val="000000" w:themeColor="text1"/>
          <w:sz w:val="44"/>
          <w:szCs w:val="44"/>
          <w:highlight w:val="none"/>
          <w:lang w:eastAsia="zh-CN"/>
          <w14:textFill>
            <w14:solidFill>
              <w14:schemeClr w14:val="tx1"/>
            </w14:solidFill>
          </w14:textFill>
        </w:rPr>
        <w:t>评估</w:t>
      </w:r>
    </w:p>
    <w:p>
      <w:pPr>
        <w:spacing w:line="360" w:lineRule="auto"/>
        <w:ind w:left="420" w:leftChars="200"/>
        <w:jc w:val="center"/>
        <w:rPr>
          <w:rFonts w:ascii="宋体" w:hAnsi="宋体" w:cs="Arial"/>
          <w:b/>
          <w:bCs/>
          <w:sz w:val="44"/>
          <w:szCs w:val="44"/>
        </w:rPr>
      </w:pPr>
    </w:p>
    <w:p>
      <w:pPr>
        <w:spacing w:line="360" w:lineRule="auto"/>
        <w:ind w:left="420" w:leftChars="200"/>
        <w:jc w:val="center"/>
        <w:rPr>
          <w:rFonts w:ascii="黑体" w:hAnsi="宋体" w:eastAsia="黑体"/>
          <w:b/>
          <w:bCs/>
          <w:sz w:val="32"/>
          <w:szCs w:val="32"/>
        </w:rPr>
      </w:pPr>
    </w:p>
    <w:p>
      <w:pPr>
        <w:spacing w:line="360" w:lineRule="auto"/>
        <w:ind w:left="420" w:leftChars="200"/>
        <w:jc w:val="center"/>
        <w:rPr>
          <w:rFonts w:ascii="黑体" w:hAnsi="宋体" w:eastAsia="黑体"/>
          <w:b/>
          <w:bCs/>
          <w:sz w:val="32"/>
          <w:szCs w:val="32"/>
        </w:rPr>
      </w:pPr>
    </w:p>
    <w:p>
      <w:pPr>
        <w:spacing w:line="360" w:lineRule="auto"/>
        <w:jc w:val="center"/>
        <w:rPr>
          <w:rFonts w:ascii="黑体" w:hAnsi="宋体" w:eastAsia="黑体"/>
          <w:b/>
          <w:bCs/>
          <w:sz w:val="72"/>
          <w:szCs w:val="72"/>
        </w:rPr>
      </w:pPr>
      <w:r>
        <w:rPr>
          <w:rFonts w:hint="eastAsia" w:ascii="黑体" w:hAnsi="黑体" w:eastAsia="黑体"/>
          <w:b/>
          <w:bCs/>
          <w:sz w:val="72"/>
          <w:szCs w:val="72"/>
        </w:rPr>
        <w:t>招</w:t>
      </w:r>
    </w:p>
    <w:p>
      <w:pPr>
        <w:spacing w:line="360" w:lineRule="auto"/>
        <w:jc w:val="center"/>
        <w:rPr>
          <w:rFonts w:ascii="黑体" w:hAnsi="宋体" w:eastAsia="黑体"/>
          <w:b/>
          <w:bCs/>
          <w:sz w:val="72"/>
          <w:szCs w:val="72"/>
        </w:rPr>
      </w:pPr>
    </w:p>
    <w:p>
      <w:pPr>
        <w:spacing w:line="360" w:lineRule="auto"/>
        <w:jc w:val="center"/>
        <w:rPr>
          <w:rFonts w:ascii="黑体" w:hAnsi="宋体" w:eastAsia="黑体"/>
          <w:b/>
          <w:bCs/>
          <w:sz w:val="72"/>
          <w:szCs w:val="72"/>
        </w:rPr>
      </w:pPr>
      <w:r>
        <w:rPr>
          <w:rFonts w:hint="eastAsia" w:ascii="黑体" w:hAnsi="黑体" w:eastAsia="黑体"/>
          <w:b/>
          <w:bCs/>
          <w:sz w:val="72"/>
          <w:szCs w:val="72"/>
        </w:rPr>
        <w:t>标</w:t>
      </w:r>
    </w:p>
    <w:p>
      <w:pPr>
        <w:spacing w:line="360" w:lineRule="auto"/>
        <w:jc w:val="center"/>
        <w:rPr>
          <w:rFonts w:ascii="黑体" w:hAnsi="宋体" w:eastAsia="黑体"/>
          <w:b/>
          <w:bCs/>
          <w:sz w:val="48"/>
          <w:szCs w:val="48"/>
        </w:rPr>
      </w:pPr>
    </w:p>
    <w:p>
      <w:pPr>
        <w:spacing w:line="360" w:lineRule="auto"/>
        <w:jc w:val="center"/>
        <w:rPr>
          <w:rFonts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ascii="宋体" w:hAnsi="宋体"/>
          <w:sz w:val="44"/>
          <w:szCs w:val="44"/>
        </w:rPr>
      </w:pPr>
      <w:bookmarkStart w:id="0" w:name="_GoBack"/>
      <w:bookmarkEnd w:id="0"/>
    </w:p>
    <w:p>
      <w:pPr>
        <w:spacing w:line="360" w:lineRule="auto"/>
        <w:ind w:left="420" w:leftChars="200"/>
        <w:jc w:val="center"/>
        <w:rPr>
          <w:rFonts w:ascii="微软雅黑" w:hAnsi="宋体" w:cs="Arial"/>
          <w:sz w:val="48"/>
          <w:szCs w:val="48"/>
        </w:rPr>
      </w:pPr>
    </w:p>
    <w:p>
      <w:pPr>
        <w:spacing w:line="360" w:lineRule="auto"/>
        <w:rPr>
          <w:rFonts w:ascii="微软雅黑" w:hAnsi="宋体" w:cs="Arial"/>
          <w:sz w:val="48"/>
          <w:szCs w:val="48"/>
        </w:rPr>
      </w:pPr>
    </w:p>
    <w:p>
      <w:pPr>
        <w:adjustRightInd w:val="0"/>
        <w:snapToGrid w:val="0"/>
        <w:spacing w:line="600" w:lineRule="exact"/>
        <w:ind w:firstLine="0" w:firstLineChars="0"/>
        <w:jc w:val="center"/>
        <w:rPr>
          <w:rFonts w:hint="eastAsia" w:asciiTheme="minorEastAsia" w:hAnsiTheme="minorEastAsia" w:eastAsiaTheme="minorEastAsia" w:cstheme="minorEastAsia"/>
          <w:b/>
          <w:bCs w:val="0"/>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32"/>
          <w:szCs w:val="32"/>
          <w:highlight w:val="none"/>
          <w:lang w:eastAsia="zh-CN"/>
          <w14:textFill>
            <w14:solidFill>
              <w14:schemeClr w14:val="tx1"/>
            </w14:solidFill>
          </w14:textFill>
        </w:rPr>
        <w:t>深圳市发展和改革委员会</w:t>
      </w:r>
    </w:p>
    <w:p>
      <w:pPr>
        <w:spacing w:line="600" w:lineRule="exact"/>
        <w:jc w:val="center"/>
      </w:pPr>
      <w:r>
        <w:rPr>
          <w:rFonts w:hint="eastAsia" w:ascii="宋体" w:hAnsi="宋体"/>
          <w:b/>
          <w:bCs/>
          <w:sz w:val="32"/>
          <w:szCs w:val="32"/>
        </w:rPr>
        <w:t>20</w:t>
      </w:r>
      <w:r>
        <w:rPr>
          <w:rFonts w:ascii="宋体" w:hAnsi="宋体"/>
          <w:b/>
          <w:bCs/>
          <w:sz w:val="32"/>
          <w:szCs w:val="32"/>
        </w:rPr>
        <w:t>2</w:t>
      </w:r>
      <w:r>
        <w:rPr>
          <w:rFonts w:hint="eastAsia" w:ascii="宋体" w:hAnsi="宋体"/>
          <w:b/>
          <w:bCs/>
          <w:sz w:val="32"/>
          <w:szCs w:val="32"/>
        </w:rPr>
        <w:t>4年</w:t>
      </w:r>
      <w:r>
        <w:rPr>
          <w:rFonts w:hint="eastAsia" w:ascii="宋体" w:hAnsi="宋体"/>
          <w:b/>
          <w:bCs/>
          <w:sz w:val="32"/>
          <w:szCs w:val="32"/>
          <w:lang w:val="en-US" w:eastAsia="zh-CN"/>
        </w:rPr>
        <w:t>4</w:t>
      </w:r>
      <w:r>
        <w:rPr>
          <w:rFonts w:hint="eastAsia" w:ascii="宋体" w:hAnsi="宋体"/>
          <w:b/>
          <w:bCs/>
          <w:sz w:val="32"/>
          <w:szCs w:val="32"/>
        </w:rPr>
        <w:t>月</w:t>
      </w:r>
    </w:p>
    <w:p>
      <w:pPr>
        <w:jc w:val="left"/>
        <w:rPr>
          <w:rFonts w:ascii="宋体" w:hAnsi="宋体" w:cs="宋体"/>
          <w:b/>
          <w:bCs/>
          <w:sz w:val="44"/>
          <w:szCs w:val="44"/>
        </w:rPr>
        <w:sectPr>
          <w:pgSz w:w="11906" w:h="16838"/>
          <w:pgMar w:top="1400" w:right="1797" w:bottom="1089" w:left="1797" w:header="720" w:footer="720" w:gutter="0"/>
          <w:pgNumType w:fmt="decimal"/>
          <w:cols w:space="720" w:num="1"/>
          <w:docGrid w:type="lines" w:linePitch="312" w:charSpace="0"/>
        </w:sectPr>
      </w:pPr>
    </w:p>
    <w:p>
      <w:pPr>
        <w:adjustRightInd w:val="0"/>
        <w:snapToGrid w:val="0"/>
        <w:jc w:val="center"/>
        <w:rPr>
          <w:rFonts w:ascii="宋体" w:hAnsi="宋体" w:cs="Arial"/>
          <w:b/>
          <w:bCs/>
          <w:sz w:val="44"/>
          <w:szCs w:val="44"/>
        </w:rPr>
      </w:pPr>
    </w:p>
    <w:p>
      <w:pPr>
        <w:adjustRightInd w:val="0"/>
        <w:snapToGrid w:val="0"/>
        <w:jc w:val="center"/>
        <w:rPr>
          <w:rFonts w:ascii="宋体" w:hAnsi="宋体" w:cs="Arial"/>
          <w:b/>
          <w:bCs/>
          <w:sz w:val="44"/>
          <w:szCs w:val="44"/>
        </w:rPr>
      </w:pPr>
      <w:r>
        <w:rPr>
          <w:rFonts w:hint="eastAsia" w:ascii="宋体" w:hAnsi="宋体" w:cs="Arial"/>
          <w:b/>
          <w:bCs/>
          <w:sz w:val="44"/>
          <w:szCs w:val="44"/>
        </w:rPr>
        <w:t>深圳市基本公共服务全覆盖</w:t>
      </w:r>
      <w:r>
        <w:rPr>
          <w:rFonts w:hint="eastAsia" w:ascii="宋体" w:hAnsi="宋体" w:cs="Arial"/>
          <w:b/>
          <w:bCs/>
          <w:sz w:val="44"/>
          <w:szCs w:val="44"/>
          <w:lang w:eastAsia="zh-CN"/>
        </w:rPr>
        <w:t>评估</w:t>
      </w:r>
      <w:r>
        <w:rPr>
          <w:rFonts w:hint="eastAsia" w:ascii="宋体" w:hAnsi="宋体" w:cs="Arial"/>
          <w:b/>
          <w:bCs/>
          <w:sz w:val="44"/>
          <w:szCs w:val="44"/>
        </w:rPr>
        <w:t>招标书</w:t>
      </w:r>
    </w:p>
    <w:p>
      <w:pPr>
        <w:spacing w:line="560" w:lineRule="exact"/>
        <w:ind w:firstLine="642" w:firstLineChars="200"/>
        <w:rPr>
          <w:rFonts w:ascii="黑体" w:hAnsi="黑体" w:eastAsia="黑体"/>
          <w:b/>
          <w:bCs/>
          <w:sz w:val="32"/>
          <w:szCs w:val="32"/>
        </w:rPr>
      </w:pP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一、项目概况</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（一）项目名称：深圳市基本公共服务全覆盖</w:t>
      </w:r>
      <w:r>
        <w:rPr>
          <w:rFonts w:hint="eastAsia" w:ascii="仿宋_GB2312" w:hAnsi="仿宋" w:eastAsia="仿宋_GB2312" w:cs="仿宋_GB2312"/>
          <w:sz w:val="32"/>
          <w:szCs w:val="32"/>
          <w:lang w:eastAsia="zh-CN"/>
        </w:rPr>
        <w:t>评估</w:t>
      </w:r>
      <w:r>
        <w:rPr>
          <w:rFonts w:hint="eastAsia" w:ascii="仿宋_GB2312" w:hAnsi="仿宋" w:eastAsia="仿宋_GB2312" w:cs="仿宋_GB2312"/>
          <w:sz w:val="32"/>
          <w:szCs w:val="32"/>
        </w:rPr>
        <w:t>。</w:t>
      </w:r>
    </w:p>
    <w:p>
      <w:pPr>
        <w:adjustRightInd w:val="0"/>
        <w:snapToGrid w:val="0"/>
        <w:spacing w:line="560" w:lineRule="exact"/>
        <w:ind w:firstLine="640" w:firstLineChars="200"/>
        <w:outlineLvl w:val="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（二）服务期限：自合同签订之日起</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个月</w:t>
      </w:r>
      <w:r>
        <w:rPr>
          <w:rFonts w:hint="eastAsia" w:ascii="仿宋_GB2312" w:hAnsi="仿宋" w:eastAsia="仿宋_GB2312" w:cs="仿宋_GB2312"/>
          <w:sz w:val="32"/>
          <w:szCs w:val="32"/>
          <w:lang w:eastAsia="zh-CN"/>
        </w:rPr>
        <w:t>。</w:t>
      </w:r>
    </w:p>
    <w:p>
      <w:pPr>
        <w:adjustRightInd w:val="0"/>
        <w:snapToGrid w:val="0"/>
        <w:spacing w:line="560" w:lineRule="exact"/>
        <w:ind w:firstLine="640" w:firstLineChars="200"/>
        <w:outlineLvl w:val="0"/>
        <w:rPr>
          <w:rFonts w:hint="eastAsia" w:ascii="仿宋_GB2312" w:hAnsi="仿宋" w:eastAsia="仿宋_GB2312" w:cs="仿宋_GB2312"/>
          <w:sz w:val="32"/>
          <w:szCs w:val="32"/>
          <w:highlight w:val="yellow"/>
          <w:lang w:eastAsia="zh-CN"/>
        </w:rPr>
      </w:pPr>
      <w:r>
        <w:rPr>
          <w:rFonts w:hint="eastAsia" w:ascii="仿宋_GB2312" w:hAnsi="仿宋" w:eastAsia="仿宋_GB2312" w:cs="仿宋_GB2312"/>
          <w:sz w:val="32"/>
          <w:szCs w:val="32"/>
        </w:rPr>
        <w:t>（三）项目预算：</w:t>
      </w:r>
      <w:r>
        <w:rPr>
          <w:rFonts w:hint="eastAsia" w:ascii="仿宋_GB2312" w:hAnsi="仿宋" w:eastAsia="仿宋_GB2312" w:cs="仿宋_GB2312"/>
          <w:sz w:val="32"/>
          <w:szCs w:val="32"/>
          <w:lang w:eastAsia="zh-CN"/>
        </w:rPr>
        <w:t>上限</w:t>
      </w:r>
      <w:r>
        <w:rPr>
          <w:rFonts w:hint="eastAsia" w:ascii="仿宋_GB2312" w:hAnsi="仿宋" w:eastAsia="仿宋_GB2312" w:cs="仿宋_GB2312"/>
          <w:sz w:val="32"/>
          <w:szCs w:val="32"/>
          <w:lang w:val="en-US" w:eastAsia="zh-CN"/>
        </w:rPr>
        <w:t>27</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w:t>
      </w: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二、项目内容</w:t>
      </w:r>
    </w:p>
    <w:p>
      <w:pPr>
        <w:adjustRightInd w:val="0"/>
        <w:snapToGrid w:val="0"/>
        <w:spacing w:line="560" w:lineRule="exact"/>
        <w:ind w:firstLine="640" w:firstLineChars="200"/>
        <w:outlineLvl w:val="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一是对照国家、省基本公共服务标准，综合评估深圳市落实情况。二是借鉴先进城市经验做法，结合深圳人口特点和财力因素等实际情况，研究提出深圳市稳步推进基本公共服务常住人口全覆盖的总体思路和举措建议。</w:t>
      </w: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三、项目实施要求</w:t>
      </w:r>
    </w:p>
    <w:p>
      <w:pPr>
        <w:pStyle w:val="2"/>
        <w:keepNext w:val="0"/>
        <w:keepLines w:val="0"/>
        <w:spacing w:before="0" w:after="0" w:line="560" w:lineRule="exact"/>
        <w:ind w:firstLine="640" w:firstLineChars="200"/>
        <w:rPr>
          <w:rFonts w:ascii="仿宋_GB2312" w:hAnsi="Times New Roman" w:eastAsia="仿宋_GB2312"/>
          <w:color w:val="auto"/>
        </w:rPr>
      </w:pPr>
      <w:r>
        <w:rPr>
          <w:rFonts w:hint="eastAsia" w:ascii="仿宋_GB2312" w:hAnsi="Times New Roman" w:eastAsia="仿宋_GB2312"/>
          <w:b w:val="0"/>
          <w:color w:val="auto"/>
        </w:rPr>
        <w:t>（一）项目成果应遵循国家颁布的有关</w:t>
      </w:r>
      <w:r>
        <w:rPr>
          <w:rFonts w:hint="eastAsia" w:ascii="仿宋_GB2312" w:hAnsi="Times New Roman" w:eastAsia="仿宋_GB2312"/>
          <w:b w:val="0"/>
          <w:color w:val="auto"/>
          <w:lang w:eastAsia="zh-CN"/>
        </w:rPr>
        <w:t>法律法规</w:t>
      </w:r>
      <w:r>
        <w:rPr>
          <w:rFonts w:hint="eastAsia" w:ascii="仿宋_GB2312" w:hAnsi="Times New Roman" w:eastAsia="仿宋_GB2312"/>
          <w:b w:val="0"/>
          <w:color w:val="auto"/>
        </w:rPr>
        <w:t>及政策要求，符合相关的技术规范和标准。</w:t>
      </w:r>
    </w:p>
    <w:p>
      <w:pPr>
        <w:pStyle w:val="2"/>
        <w:keepNext w:val="0"/>
        <w:keepLines w:val="0"/>
        <w:spacing w:before="0" w:after="0" w:line="560" w:lineRule="exact"/>
        <w:ind w:firstLine="640" w:firstLineChars="200"/>
        <w:rPr>
          <w:rFonts w:ascii="仿宋_GB2312" w:hAnsi="Times New Roman" w:eastAsia="仿宋_GB2312"/>
          <w:color w:val="auto"/>
        </w:rPr>
      </w:pPr>
      <w:r>
        <w:rPr>
          <w:rFonts w:hint="eastAsia" w:ascii="仿宋_GB2312" w:hAnsi="Times New Roman" w:eastAsia="仿宋_GB2312"/>
          <w:b w:val="0"/>
          <w:color w:val="auto"/>
        </w:rPr>
        <w:t>（二）研究过程中应当进行深入调查研究，充分把握深圳现有基础条件、存在问题等相关信息和基础资料。</w:t>
      </w:r>
    </w:p>
    <w:p>
      <w:pPr>
        <w:pStyle w:val="2"/>
        <w:keepNext w:val="0"/>
        <w:keepLines w:val="0"/>
        <w:spacing w:before="0" w:after="0" w:line="560" w:lineRule="exact"/>
        <w:ind w:firstLine="640" w:firstLineChars="200"/>
        <w:rPr>
          <w:color w:val="auto"/>
        </w:rPr>
      </w:pPr>
      <w:r>
        <w:rPr>
          <w:rFonts w:hint="eastAsia" w:ascii="仿宋_GB2312" w:hAnsi="Times New Roman" w:eastAsia="仿宋_GB2312"/>
          <w:b w:val="0"/>
          <w:color w:val="auto"/>
        </w:rPr>
        <w:t>（三）研究成果要具有前瞻性，面向未来、视野开阔；具有系统性，体系完整、内容全面、材料丰富；具有实用性，符合深圳实际情况，针对性和可操作性强。</w:t>
      </w: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四、项目成果交付要求</w:t>
      </w:r>
    </w:p>
    <w:p>
      <w:pPr>
        <w:spacing w:line="560" w:lineRule="exact"/>
        <w:ind w:firstLine="640" w:firstLineChars="200"/>
        <w:rPr>
          <w:rFonts w:ascii="Times New Roman" w:hAnsi="Times New Roman" w:eastAsia="仿宋_GB2312"/>
          <w:color w:val="000000" w:themeColor="text1"/>
          <w:sz w:val="32"/>
          <w:szCs w:val="24"/>
          <w14:textFill>
            <w14:solidFill>
              <w14:schemeClr w14:val="tx1"/>
            </w14:solidFill>
          </w14:textFill>
        </w:rPr>
      </w:pPr>
      <w:r>
        <w:rPr>
          <w:rFonts w:hint="eastAsia" w:ascii="Times New Roman" w:hAnsi="Times New Roman" w:eastAsia="仿宋_GB2312"/>
          <w:color w:val="000000" w:themeColor="text1"/>
          <w:sz w:val="32"/>
          <w:szCs w:val="24"/>
          <w14:textFill>
            <w14:solidFill>
              <w14:schemeClr w14:val="tx1"/>
            </w14:solidFill>
          </w14:textFill>
        </w:rPr>
        <w:t>提交研究成果纸</w:t>
      </w:r>
      <w:r>
        <w:rPr>
          <w:rFonts w:hint="eastAsia" w:ascii="仿宋_GB2312" w:hAnsi="仿宋_GB2312" w:eastAsia="仿宋_GB2312" w:cs="仿宋_GB2312"/>
          <w:color w:val="000000" w:themeColor="text1"/>
          <w:sz w:val="32"/>
          <w:szCs w:val="24"/>
          <w14:textFill>
            <w14:solidFill>
              <w14:schemeClr w14:val="tx1"/>
            </w14:solidFill>
          </w14:textFill>
        </w:rPr>
        <w:t>质版</w:t>
      </w: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24"/>
          <w14:textFill>
            <w14:solidFill>
              <w14:schemeClr w14:val="tx1"/>
            </w14:solidFill>
          </w14:textFill>
        </w:rPr>
        <w:t>份</w:t>
      </w:r>
      <w:r>
        <w:rPr>
          <w:rFonts w:hint="eastAsia" w:ascii="Times New Roman" w:hAnsi="Times New Roman" w:eastAsia="仿宋_GB2312"/>
          <w:color w:val="000000" w:themeColor="text1"/>
          <w:sz w:val="32"/>
          <w:szCs w:val="24"/>
          <w14:textFill>
            <w14:solidFill>
              <w14:schemeClr w14:val="tx1"/>
            </w14:solidFill>
          </w14:textFill>
        </w:rPr>
        <w:t>和电子版，文件能够简明扼要介绍成果核心内容与主要结论。</w:t>
      </w: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五、投标资格要求</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（一）具有独立承担民事责任能力的在中华人民共和国境内注册的法人。</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（二）投标人必须具备相关经营范围（咨询服务等），具备开展本项目</w:t>
      </w:r>
      <w:r>
        <w:rPr>
          <w:rFonts w:hint="eastAsia" w:ascii="仿宋_GB2312" w:hAnsi="Times New Roman" w:eastAsia="仿宋_GB2312"/>
          <w:b w:val="0"/>
          <w:lang w:eastAsia="zh-CN"/>
        </w:rPr>
        <w:t>评估</w:t>
      </w:r>
      <w:r>
        <w:rPr>
          <w:rFonts w:hint="eastAsia" w:ascii="仿宋_GB2312" w:hAnsi="Times New Roman" w:eastAsia="仿宋_GB2312"/>
          <w:b w:val="0"/>
        </w:rPr>
        <w:t>的基本条件和</w:t>
      </w:r>
      <w:r>
        <w:rPr>
          <w:rFonts w:hint="eastAsia" w:ascii="仿宋_GB2312" w:hAnsi="Times New Roman" w:eastAsia="仿宋_GB2312"/>
          <w:b w:val="0"/>
          <w:lang w:eastAsia="zh-CN"/>
        </w:rPr>
        <w:t>评估</w:t>
      </w:r>
      <w:r>
        <w:rPr>
          <w:rFonts w:hint="eastAsia" w:ascii="仿宋_GB2312" w:hAnsi="Times New Roman" w:eastAsia="仿宋_GB2312"/>
          <w:b w:val="0"/>
        </w:rPr>
        <w:t>能力。</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（三）参加本次政府采购活动前</w:t>
      </w:r>
      <w:r>
        <w:rPr>
          <w:rFonts w:ascii="仿宋_GB2312" w:hAnsi="Times New Roman" w:eastAsia="仿宋_GB2312"/>
          <w:b w:val="0"/>
        </w:rPr>
        <w:t>3年内在经营活动中没有重大违法记录（提供声明函，格式自拟）。</w:t>
      </w: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六、投标时间、方式及联系人</w:t>
      </w:r>
    </w:p>
    <w:p>
      <w:pPr>
        <w:spacing w:line="560" w:lineRule="exact"/>
        <w:ind w:firstLine="640" w:firstLineChars="200"/>
        <w:rPr>
          <w:rFonts w:ascii="Times New Roman" w:hAnsi="Times New Roman" w:eastAsia="仿宋_GB2312"/>
          <w:color w:val="0000FF"/>
          <w:sz w:val="32"/>
          <w:szCs w:val="24"/>
        </w:rPr>
      </w:pPr>
      <w:r>
        <w:rPr>
          <w:rFonts w:hint="eastAsia" w:ascii="Times New Roman" w:hAnsi="Times New Roman" w:eastAsia="仿宋_GB2312"/>
          <w:color w:val="000000" w:themeColor="text1"/>
          <w:sz w:val="32"/>
          <w:szCs w:val="24"/>
          <w14:textFill>
            <w14:solidFill>
              <w14:schemeClr w14:val="tx1"/>
            </w14:solidFill>
          </w14:textFill>
        </w:rPr>
        <w:t>（一）投标</w:t>
      </w:r>
      <w:r>
        <w:rPr>
          <w:rFonts w:ascii="仿宋_GB2312" w:hAnsi="仿宋_GB2312" w:eastAsia="仿宋_GB2312" w:cs="仿宋_GB2312"/>
          <w:color w:val="000000" w:themeColor="text1"/>
          <w:sz w:val="32"/>
          <w:szCs w:val="24"/>
          <w14:textFill>
            <w14:solidFill>
              <w14:schemeClr w14:val="tx1"/>
            </w14:solidFill>
          </w14:textFill>
        </w:rPr>
        <w:t>时间：202</w:t>
      </w:r>
      <w:r>
        <w:rPr>
          <w:rFonts w:hint="eastAsia" w:ascii="仿宋_GB2312" w:hAnsi="仿宋_GB2312" w:eastAsia="仿宋_GB2312" w:cs="仿宋_GB2312"/>
          <w:color w:val="000000" w:themeColor="text1"/>
          <w:sz w:val="32"/>
          <w:szCs w:val="24"/>
          <w14:textFill>
            <w14:solidFill>
              <w14:schemeClr w14:val="tx1"/>
            </w14:solidFill>
          </w14:textFill>
        </w:rPr>
        <w:t>4</w:t>
      </w:r>
      <w:r>
        <w:rPr>
          <w:rFonts w:ascii="仿宋_GB2312" w:hAnsi="仿宋_GB2312" w:eastAsia="仿宋_GB2312" w:cs="仿宋_GB2312"/>
          <w:color w:val="000000" w:themeColor="text1"/>
          <w:sz w:val="32"/>
          <w:szCs w:val="24"/>
          <w14:textFill>
            <w14:solidFill>
              <w14:schemeClr w14:val="tx1"/>
            </w14:solidFill>
          </w14:textFill>
        </w:rPr>
        <w:t>年</w:t>
      </w: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4</w:t>
      </w:r>
      <w:r>
        <w:rPr>
          <w:rFonts w:ascii="仿宋_GB2312" w:hAnsi="仿宋_GB2312" w:eastAsia="仿宋_GB2312" w:cs="仿宋_GB2312"/>
          <w:color w:val="000000" w:themeColor="text1"/>
          <w:sz w:val="32"/>
          <w:szCs w:val="24"/>
          <w14:textFill>
            <w14:solidFill>
              <w14:schemeClr w14:val="tx1"/>
            </w14:solidFill>
          </w14:textFill>
        </w:rPr>
        <w:t>月</w:t>
      </w: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1</w:t>
      </w:r>
      <w:r>
        <w:rPr>
          <w:rFonts w:ascii="仿宋_GB2312" w:hAnsi="仿宋_GB2312" w:eastAsia="仿宋_GB2312" w:cs="仿宋_GB2312"/>
          <w:color w:val="000000" w:themeColor="text1"/>
          <w:sz w:val="32"/>
          <w:szCs w:val="24"/>
          <w14:textFill>
            <w14:solidFill>
              <w14:schemeClr w14:val="tx1"/>
            </w14:solidFill>
          </w14:textFill>
        </w:rPr>
        <w:t>日至20</w:t>
      </w:r>
      <w:r>
        <w:rPr>
          <w:rFonts w:hint="eastAsia" w:ascii="仿宋_GB2312" w:hAnsi="仿宋_GB2312" w:eastAsia="仿宋_GB2312" w:cs="仿宋_GB2312"/>
          <w:color w:val="000000" w:themeColor="text1"/>
          <w:sz w:val="32"/>
          <w:szCs w:val="24"/>
          <w14:textFill>
            <w14:solidFill>
              <w14:schemeClr w14:val="tx1"/>
            </w14:solidFill>
          </w14:textFill>
        </w:rPr>
        <w:t>24</w:t>
      </w:r>
      <w:r>
        <w:rPr>
          <w:rFonts w:ascii="仿宋_GB2312" w:hAnsi="仿宋_GB2312" w:eastAsia="仿宋_GB2312" w:cs="仿宋_GB2312"/>
          <w:color w:val="000000" w:themeColor="text1"/>
          <w:sz w:val="32"/>
          <w:szCs w:val="24"/>
          <w14:textFill>
            <w14:solidFill>
              <w14:schemeClr w14:val="tx1"/>
            </w14:solidFill>
          </w14:textFill>
        </w:rPr>
        <w:t>年</w:t>
      </w: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4</w:t>
      </w:r>
      <w:r>
        <w:rPr>
          <w:rFonts w:ascii="仿宋_GB2312" w:hAnsi="仿宋_GB2312" w:eastAsia="仿宋_GB2312" w:cs="仿宋_GB2312"/>
          <w:color w:val="000000" w:themeColor="text1"/>
          <w:sz w:val="32"/>
          <w:szCs w:val="24"/>
          <w14:textFill>
            <w14:solidFill>
              <w14:schemeClr w14:val="tx1"/>
            </w14:solidFill>
          </w14:textFill>
        </w:rPr>
        <w:t>月</w:t>
      </w: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11</w:t>
      </w:r>
      <w:r>
        <w:rPr>
          <w:rFonts w:ascii="仿宋_GB2312" w:hAnsi="仿宋_GB2312" w:eastAsia="仿宋_GB2312" w:cs="仿宋_GB2312"/>
          <w:color w:val="000000" w:themeColor="text1"/>
          <w:sz w:val="32"/>
          <w:szCs w:val="24"/>
          <w14:textFill>
            <w14:solidFill>
              <w14:schemeClr w14:val="tx1"/>
            </w14:solidFill>
          </w14:textFill>
        </w:rPr>
        <w:t>日，每日上午9:00-12:00，下午2:00-5:45（节假日除外）。逾期未投标将不再受理</w:t>
      </w:r>
      <w:r>
        <w:rPr>
          <w:rFonts w:hint="eastAsia" w:ascii="Times New Roman" w:hAnsi="Times New Roman" w:eastAsia="仿宋_GB2312"/>
          <w:color w:val="000000" w:themeColor="text1"/>
          <w:sz w:val="32"/>
          <w:szCs w:val="24"/>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sz w:val="32"/>
          <w:szCs w:val="24"/>
          <w14:textFill>
            <w14:solidFill>
              <w14:schemeClr w14:val="tx1"/>
            </w14:solidFill>
          </w14:textFill>
        </w:rPr>
      </w:pPr>
      <w:r>
        <w:rPr>
          <w:rFonts w:hint="eastAsia" w:ascii="Times New Roman" w:hAnsi="Times New Roman" w:eastAsia="仿宋_GB2312"/>
          <w:color w:val="000000" w:themeColor="text1"/>
          <w:sz w:val="32"/>
          <w:szCs w:val="24"/>
          <w14:textFill>
            <w14:solidFill>
              <w14:schemeClr w14:val="tx1"/>
            </w14:solidFill>
          </w14:textFill>
        </w:rPr>
        <w:t>（二）投</w:t>
      </w:r>
      <w:r>
        <w:rPr>
          <w:rFonts w:ascii="仿宋_GB2312" w:hAnsi="仿宋_GB2312" w:eastAsia="仿宋_GB2312" w:cs="仿宋_GB2312"/>
          <w:color w:val="000000" w:themeColor="text1"/>
          <w:sz w:val="32"/>
          <w:szCs w:val="24"/>
          <w14:textFill>
            <w14:solidFill>
              <w14:schemeClr w14:val="tx1"/>
            </w14:solidFill>
          </w14:textFill>
        </w:rPr>
        <w:t>标地点：深圳市福田区福中三路市民中心B区行政服务大厅2号市发展和改革委卡座（可邮寄，以送达日期为投标日期）。</w:t>
      </w:r>
    </w:p>
    <w:p>
      <w:pPr>
        <w:spacing w:line="560" w:lineRule="exact"/>
        <w:ind w:firstLine="640" w:firstLineChars="200"/>
        <w:rPr>
          <w:rFonts w:hint="eastAsia" w:ascii="仿宋_GB2312" w:hAnsi="仿宋_GB2312" w:eastAsia="仿宋_GB2312" w:cs="仿宋_GB2312"/>
          <w:color w:val="000000" w:themeColor="text1"/>
          <w:sz w:val="32"/>
          <w:szCs w:val="24"/>
          <w:lang w:eastAsia="zh-CN"/>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（三）联系人：</w:t>
      </w: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刘合庆</w:t>
      </w:r>
      <w:r>
        <w:rPr>
          <w:rFonts w:hint="eastAsia" w:ascii="仿宋_GB2312" w:hAnsi="仿宋_GB2312" w:eastAsia="仿宋_GB2312" w:cs="仿宋_GB2312"/>
          <w:color w:val="000000" w:themeColor="text1"/>
          <w:sz w:val="32"/>
          <w:szCs w:val="24"/>
          <w14:textFill>
            <w14:solidFill>
              <w14:schemeClr w14:val="tx1"/>
            </w14:solidFill>
          </w14:textFill>
        </w:rPr>
        <w:t>，0755-8812</w:t>
      </w: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7931</w:t>
      </w:r>
      <w:r>
        <w:rPr>
          <w:rFonts w:hint="eastAsia" w:ascii="仿宋_GB2312" w:hAnsi="仿宋_GB2312" w:eastAsia="仿宋_GB2312" w:cs="仿宋_GB2312"/>
          <w:color w:val="000000" w:themeColor="text1"/>
          <w:sz w:val="32"/>
          <w:szCs w:val="24"/>
          <w:lang w:eastAsia="zh-CN"/>
          <w14:textFill>
            <w14:solidFill>
              <w14:schemeClr w14:val="tx1"/>
            </w14:solidFill>
          </w14:textFill>
        </w:rPr>
        <w:t>。</w:t>
      </w:r>
    </w:p>
    <w:p>
      <w:pPr>
        <w:adjustRightInd w:val="0"/>
        <w:snapToGrid w:val="0"/>
        <w:spacing w:line="560" w:lineRule="exact"/>
        <w:ind w:firstLine="640" w:firstLineChars="200"/>
        <w:outlineLvl w:val="0"/>
        <w:rPr>
          <w:rFonts w:ascii="黑体" w:hAnsi="黑体" w:eastAsia="黑体"/>
          <w:b w:val="0"/>
          <w:bCs w:val="0"/>
          <w:color w:val="auto"/>
          <w:sz w:val="32"/>
          <w:szCs w:val="32"/>
        </w:rPr>
      </w:pPr>
      <w:r>
        <w:rPr>
          <w:rFonts w:ascii="黑体" w:hAnsi="黑体" w:eastAsia="黑体"/>
          <w:b w:val="0"/>
          <w:bCs w:val="0"/>
          <w:color w:val="auto"/>
          <w:sz w:val="32"/>
          <w:szCs w:val="32"/>
        </w:rPr>
        <w:t>七</w:t>
      </w:r>
      <w:r>
        <w:rPr>
          <w:rFonts w:hint="eastAsia" w:ascii="黑体" w:hAnsi="黑体" w:eastAsia="黑体"/>
          <w:b w:val="0"/>
          <w:bCs w:val="0"/>
          <w:color w:val="auto"/>
          <w:sz w:val="32"/>
          <w:szCs w:val="32"/>
        </w:rPr>
        <w:t>、投标文件递交内容</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（一）投标单位简介、投标人营业执照及相关证照（提供加盖公章的复印件，原件备查）。</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（二）法定代表人证明书及授权委托书（原件加盖公章）。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（三）法定代表人及受委托人身份证复印件（复印件加盖公章）。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（四）项目方案及报价单（原件加盖公章）。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（五）投标人相关领域/项目经验证明材料（复印件加盖公章）。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（六）投标人无重大违法记录声明函（原件加盖公章，格式自拟）。</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（七）投标及履约承诺函原件（格式见附件）。</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（八）住所地不在深圳的投标人应提供营业场所证明原件。</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（九）投标人认为有必要提供</w:t>
      </w:r>
      <w:r>
        <w:rPr>
          <w:rFonts w:hint="eastAsia" w:ascii="仿宋_GB2312" w:hAnsi="Times New Roman" w:eastAsia="仿宋_GB2312"/>
          <w:bCs/>
          <w:sz w:val="32"/>
          <w:szCs w:val="32"/>
          <w:lang w:eastAsia="zh-CN"/>
        </w:rPr>
        <w:t>的其他</w:t>
      </w:r>
      <w:r>
        <w:rPr>
          <w:rFonts w:hint="eastAsia" w:ascii="仿宋_GB2312" w:hAnsi="Times New Roman" w:eastAsia="仿宋_GB2312"/>
          <w:bCs/>
          <w:sz w:val="32"/>
          <w:szCs w:val="32"/>
        </w:rPr>
        <w:t>材料。</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投标文件纸质版一式</w:t>
      </w:r>
      <w:r>
        <w:rPr>
          <w:rFonts w:hint="eastAsia" w:ascii="仿宋_GB2312" w:hAnsi="Times New Roman" w:eastAsia="仿宋_GB2312"/>
          <w:bCs/>
          <w:sz w:val="32"/>
          <w:szCs w:val="32"/>
          <w:lang w:eastAsia="zh-CN"/>
        </w:rPr>
        <w:t>六</w:t>
      </w:r>
      <w:r>
        <w:rPr>
          <w:rFonts w:hint="eastAsia" w:ascii="仿宋_GB2312" w:hAnsi="Times New Roman" w:eastAsia="仿宋_GB2312"/>
          <w:bCs/>
          <w:sz w:val="32"/>
          <w:szCs w:val="32"/>
        </w:rPr>
        <w:t>份</w:t>
      </w:r>
      <w:r>
        <w:rPr>
          <w:rFonts w:hint="eastAsia" w:ascii="仿宋_GB2312" w:hAnsi="Times New Roman" w:eastAsia="仿宋_GB2312"/>
          <w:bCs/>
          <w:sz w:val="32"/>
          <w:szCs w:val="32"/>
          <w:lang w:eastAsia="zh-CN"/>
        </w:rPr>
        <w:t>（另附光盘拷贝电子版）</w:t>
      </w:r>
      <w:r>
        <w:rPr>
          <w:rFonts w:hint="eastAsia" w:ascii="仿宋_GB2312" w:hAnsi="Times New Roman" w:eastAsia="仿宋_GB2312"/>
          <w:bCs/>
          <w:sz w:val="32"/>
          <w:szCs w:val="32"/>
        </w:rPr>
        <w:t>，整套材料密封并加盖骑缝章，封面注明投标人的名称、地址、联系人及手机号码。</w:t>
      </w:r>
    </w:p>
    <w:p>
      <w:pPr>
        <w:adjustRightInd w:val="0"/>
        <w:snapToGrid w:val="0"/>
        <w:spacing w:line="560" w:lineRule="exact"/>
        <w:ind w:firstLine="642" w:firstLineChars="200"/>
        <w:outlineLvl w:val="0"/>
        <w:rPr>
          <w:rFonts w:ascii="黑体" w:hAnsi="黑体" w:eastAsia="黑体"/>
          <w:b/>
          <w:bCs/>
          <w:sz w:val="32"/>
          <w:szCs w:val="32"/>
        </w:rPr>
      </w:pPr>
      <w:r>
        <w:rPr>
          <w:rFonts w:ascii="黑体" w:hAnsi="黑体" w:eastAsia="黑体"/>
          <w:b/>
          <w:bCs/>
          <w:sz w:val="32"/>
          <w:szCs w:val="32"/>
        </w:rPr>
        <w:t>八</w:t>
      </w:r>
      <w:r>
        <w:rPr>
          <w:rFonts w:hint="eastAsia" w:ascii="黑体" w:hAnsi="黑体" w:eastAsia="黑体"/>
          <w:b/>
          <w:bCs/>
          <w:sz w:val="32"/>
          <w:szCs w:val="32"/>
        </w:rPr>
        <w:t>、重要提示</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投标单位有下列情况之一的，其投标将被拒绝或作无效投标处理：</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（一）未在规定时间内将投标文件送达规定地点的。</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（二）投标人不具备投标资格要求，或未提交相应资格证明材料。</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（三）投标文件未按规定密封、签字、盖章。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（四）投标文件无法定代表人签字或无法定代表人有效授权委托的。</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（五）分项报价或投标总价高于预算金额（最高投标限价）的。</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（六）同一项目出现两个及以上报价，且按规定无法确定哪个是有效报价。</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（八）所投服务在质量、技术、方案等方面没有实质性满足招标文件要求。</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（九）</w:t>
      </w:r>
      <w:r>
        <w:rPr>
          <w:rFonts w:hint="eastAsia" w:ascii="仿宋_GB2312" w:hAnsi="Times New Roman" w:eastAsia="仿宋_GB2312"/>
          <w:bCs/>
          <w:sz w:val="32"/>
          <w:szCs w:val="32"/>
          <w:lang w:eastAsia="zh-CN"/>
        </w:rPr>
        <w:t>法律法规</w:t>
      </w:r>
      <w:r>
        <w:rPr>
          <w:rFonts w:hint="eastAsia" w:ascii="仿宋_GB2312" w:hAnsi="Times New Roman" w:eastAsia="仿宋_GB2312"/>
          <w:bCs/>
          <w:sz w:val="32"/>
          <w:szCs w:val="32"/>
        </w:rPr>
        <w:t>规定的其他情形。</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九、评标方法</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（一）评标方法为综合评分法，具体评分标准和规则为：投标文件从技术、商务和价格等三个评审因素进行评分，出现总分相同的，则总分相等投标人中最低价者中标。</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（二）综合评分表</w:t>
      </w:r>
    </w:p>
    <w:tbl>
      <w:tblPr>
        <w:tblStyle w:val="4"/>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评审部分</w:t>
            </w:r>
          </w:p>
        </w:tc>
        <w:tc>
          <w:tcPr>
            <w:tcW w:w="1202"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评审因素</w:t>
            </w:r>
          </w:p>
        </w:tc>
        <w:tc>
          <w:tcPr>
            <w:tcW w:w="4678"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评分细则</w:t>
            </w:r>
          </w:p>
        </w:tc>
        <w:tc>
          <w:tcPr>
            <w:tcW w:w="850" w:type="dxa"/>
            <w:tcBorders>
              <w:righ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权重（%）</w:t>
            </w:r>
          </w:p>
        </w:tc>
        <w:tc>
          <w:tcPr>
            <w:tcW w:w="851" w:type="dxa"/>
            <w:tcBorders>
              <w:lef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一</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b/>
                <w:sz w:val="22"/>
                <w:szCs w:val="24"/>
              </w:rPr>
              <w:t>技术部分（合计</w:t>
            </w:r>
            <w:r>
              <w:rPr>
                <w:rFonts w:hint="eastAsia" w:ascii="宋体" w:hAnsi="宋体"/>
                <w:b/>
                <w:sz w:val="22"/>
                <w:szCs w:val="24"/>
                <w:lang w:val="en-US" w:eastAsia="zh-CN"/>
              </w:rPr>
              <w:t>40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1"/>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实施方案</w:t>
            </w:r>
          </w:p>
        </w:tc>
        <w:tc>
          <w:tcPr>
            <w:tcW w:w="4678" w:type="dxa"/>
          </w:tcPr>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根据投标人提供的项目实施方案的全面性、针对性、可操作性等进行分档评审：</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1.评价为优，得100%；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w:t>
            </w:r>
            <w:r>
              <w:rPr>
                <w:rFonts w:ascii="宋体" w:hAnsi="宋体" w:cs="宋体"/>
                <w:kern w:val="0"/>
                <w:sz w:val="22"/>
                <w:szCs w:val="24"/>
              </w:rPr>
              <w:t>7</w:t>
            </w:r>
            <w:r>
              <w:rPr>
                <w:rFonts w:hint="eastAsia" w:ascii="宋体" w:hAnsi="宋体" w:cs="宋体"/>
                <w:kern w:val="0"/>
                <w:sz w:val="22"/>
                <w:szCs w:val="24"/>
              </w:rPr>
              <w:t>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w:t>
            </w:r>
            <w:r>
              <w:rPr>
                <w:rFonts w:ascii="宋体" w:hAnsi="宋体" w:cs="宋体"/>
                <w:kern w:val="0"/>
                <w:sz w:val="22"/>
                <w:szCs w:val="24"/>
              </w:rPr>
              <w:t>4</w:t>
            </w:r>
            <w:r>
              <w:rPr>
                <w:rFonts w:hint="eastAsia" w:ascii="宋体" w:hAnsi="宋体" w:cs="宋体"/>
                <w:kern w:val="0"/>
                <w:sz w:val="22"/>
                <w:szCs w:val="24"/>
              </w:rPr>
              <w:t>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hint="eastAsia" w:ascii="宋体" w:hAnsi="宋体"/>
                <w:sz w:val="22"/>
                <w:szCs w:val="24"/>
                <w:lang w:eastAsia="zh-CN"/>
              </w:rPr>
            </w:pPr>
            <w:r>
              <w:rPr>
                <w:rFonts w:ascii="宋体" w:hAnsi="宋体"/>
                <w:sz w:val="22"/>
                <w:szCs w:val="24"/>
              </w:rPr>
              <w:t>2</w:t>
            </w:r>
            <w:r>
              <w:rPr>
                <w:rFonts w:hint="eastAsia" w:ascii="宋体" w:hAnsi="宋体"/>
                <w:sz w:val="22"/>
                <w:szCs w:val="24"/>
                <w:lang w:val="en-US" w:eastAsia="zh-CN"/>
              </w:rPr>
              <w:t>5</w:t>
            </w:r>
          </w:p>
        </w:tc>
        <w:tc>
          <w:tcPr>
            <w:tcW w:w="851" w:type="dxa"/>
            <w:tcBorders>
              <w:left w:val="single" w:color="auto" w:sz="4" w:space="0"/>
            </w:tcBorders>
            <w:vAlign w:val="center"/>
          </w:tcPr>
          <w:p>
            <w:pPr>
              <w:jc w:val="center"/>
              <w:rPr>
                <w:rFonts w:hint="eastAsia" w:ascii="宋体" w:hAnsi="宋体"/>
                <w:sz w:val="22"/>
                <w:szCs w:val="24"/>
                <w:lang w:eastAsia="zh-CN"/>
              </w:rPr>
            </w:pPr>
            <w:r>
              <w:rPr>
                <w:rFonts w:hint="eastAsia" w:ascii="宋体" w:hAnsi="宋体"/>
                <w:sz w:val="22"/>
                <w:szCs w:val="24"/>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1"/>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质量保障措施及方案</w:t>
            </w:r>
          </w:p>
        </w:tc>
        <w:tc>
          <w:tcPr>
            <w:tcW w:w="4678" w:type="dxa"/>
          </w:tcPr>
          <w:p>
            <w:pPr>
              <w:spacing w:line="300" w:lineRule="exact"/>
              <w:jc w:val="left"/>
              <w:rPr>
                <w:rFonts w:ascii="宋体" w:hAnsi="宋体" w:cs="宋体"/>
                <w:kern w:val="0"/>
                <w:sz w:val="22"/>
                <w:szCs w:val="24"/>
              </w:rPr>
            </w:pPr>
            <w:r>
              <w:rPr>
                <w:rFonts w:hint="eastAsia" w:ascii="宋体" w:hAnsi="宋体" w:cs="宋体"/>
                <w:kern w:val="0"/>
                <w:sz w:val="22"/>
                <w:szCs w:val="24"/>
              </w:rPr>
              <w:t>根据投标人对项目进度计划和人员安排、质量和进度保障措施是否合理、可行等进行分档评审：</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1</w:t>
            </w:r>
            <w:r>
              <w:rPr>
                <w:rFonts w:ascii="宋体" w:hAnsi="宋体" w:cs="宋体"/>
                <w:kern w:val="0"/>
                <w:sz w:val="22"/>
                <w:szCs w:val="24"/>
              </w:rPr>
              <w:t>.</w:t>
            </w:r>
            <w:r>
              <w:rPr>
                <w:rFonts w:hint="eastAsia" w:ascii="宋体" w:hAnsi="宋体" w:cs="宋体"/>
                <w:kern w:val="0"/>
                <w:sz w:val="22"/>
                <w:szCs w:val="24"/>
              </w:rPr>
              <w:t>评价为优，得100%；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评价为良，得70%；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评价为中，得40%；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hint="default" w:ascii="宋体" w:hAnsi="宋体"/>
                <w:sz w:val="22"/>
                <w:szCs w:val="24"/>
                <w:lang w:val="en-US"/>
              </w:rPr>
            </w:pPr>
            <w:r>
              <w:rPr>
                <w:rFonts w:hint="eastAsia" w:ascii="宋体" w:hAnsi="宋体"/>
                <w:sz w:val="22"/>
                <w:szCs w:val="24"/>
                <w:lang w:val="en-US" w:eastAsia="zh-CN"/>
              </w:rPr>
              <w:t>10</w:t>
            </w:r>
          </w:p>
        </w:tc>
        <w:tc>
          <w:tcPr>
            <w:tcW w:w="851" w:type="dxa"/>
            <w:tcBorders>
              <w:left w:val="single" w:color="auto" w:sz="4" w:space="0"/>
            </w:tcBorders>
            <w:vAlign w:val="center"/>
          </w:tcPr>
          <w:p>
            <w:pPr>
              <w:jc w:val="center"/>
              <w:rPr>
                <w:rFonts w:ascii="宋体" w:hAnsi="宋体"/>
                <w:sz w:val="22"/>
                <w:szCs w:val="24"/>
              </w:rPr>
            </w:pPr>
            <w:r>
              <w:rPr>
                <w:rFonts w:hint="eastAsia" w:ascii="宋体" w:hAnsi="宋体"/>
                <w:sz w:val="22"/>
                <w:szCs w:val="24"/>
                <w:lang w:val="en-US" w:eastAsia="zh-CN"/>
              </w:rPr>
              <w:t>1</w:t>
            </w:r>
            <w:r>
              <w:rPr>
                <w:rFonts w:ascii="宋体" w:hAnsi="宋体"/>
                <w:sz w:val="22"/>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1"/>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违约承诺</w:t>
            </w:r>
          </w:p>
        </w:tc>
        <w:tc>
          <w:tcPr>
            <w:tcW w:w="4678" w:type="dxa"/>
          </w:tcPr>
          <w:p>
            <w:pPr>
              <w:spacing w:line="300" w:lineRule="exact"/>
              <w:jc w:val="left"/>
              <w:rPr>
                <w:rFonts w:ascii="宋体" w:hAnsi="宋体" w:cs="宋体"/>
                <w:kern w:val="0"/>
                <w:sz w:val="22"/>
                <w:szCs w:val="24"/>
              </w:rPr>
            </w:pPr>
            <w:r>
              <w:rPr>
                <w:rFonts w:hint="eastAsia" w:ascii="宋体" w:hAnsi="宋体" w:cs="宋体"/>
                <w:kern w:val="0"/>
                <w:sz w:val="22"/>
                <w:szCs w:val="24"/>
              </w:rPr>
              <w:t>提供违约承诺，承诺满足招标文件要求，保证措施合理且有针对性，有具体的违约责任承诺。</w:t>
            </w:r>
          </w:p>
          <w:p>
            <w:pPr>
              <w:spacing w:line="300" w:lineRule="exact"/>
              <w:jc w:val="left"/>
              <w:rPr>
                <w:rFonts w:ascii="宋体" w:hAnsi="宋体" w:cs="宋体"/>
                <w:kern w:val="0"/>
                <w:sz w:val="22"/>
                <w:szCs w:val="24"/>
              </w:rPr>
            </w:pPr>
            <w:r>
              <w:rPr>
                <w:rFonts w:hint="eastAsia" w:ascii="宋体" w:hAnsi="宋体" w:cs="宋体"/>
                <w:kern w:val="0"/>
                <w:sz w:val="22"/>
                <w:szCs w:val="24"/>
              </w:rPr>
              <w:t>投标人提供违约承诺</w:t>
            </w:r>
            <w:r>
              <w:rPr>
                <w:rFonts w:hint="eastAsia" w:ascii="宋体" w:hAnsi="宋体" w:cs="宋体"/>
                <w:kern w:val="0"/>
                <w:sz w:val="22"/>
                <w:szCs w:val="24"/>
                <w:lang w:eastAsia="zh-CN"/>
              </w:rPr>
              <w:t>的</w:t>
            </w:r>
            <w:r>
              <w:rPr>
                <w:rFonts w:hint="eastAsia" w:ascii="宋体" w:hAnsi="宋体" w:cs="宋体"/>
                <w:kern w:val="0"/>
                <w:sz w:val="22"/>
                <w:szCs w:val="24"/>
              </w:rPr>
              <w:t>100%。要求提供承诺（格式自定）作为得分依据，未提供承诺或承诺内容不满足要求不得分。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二</w:t>
            </w:r>
          </w:p>
        </w:tc>
        <w:tc>
          <w:tcPr>
            <w:tcW w:w="7581" w:type="dxa"/>
            <w:gridSpan w:val="4"/>
            <w:vAlign w:val="center"/>
          </w:tcPr>
          <w:p>
            <w:pPr>
              <w:spacing w:line="300" w:lineRule="exact"/>
              <w:ind w:left="-78" w:leftChars="-37" w:right="-73" w:rightChars="-35"/>
              <w:jc w:val="center"/>
              <w:rPr>
                <w:rFonts w:ascii="宋体" w:hAnsi="宋体" w:cs="宋体"/>
                <w:b/>
                <w:sz w:val="22"/>
                <w:szCs w:val="24"/>
              </w:rPr>
            </w:pPr>
            <w:r>
              <w:rPr>
                <w:rFonts w:hint="eastAsia" w:ascii="宋体" w:hAnsi="宋体" w:cs="宋体"/>
                <w:b/>
                <w:sz w:val="22"/>
                <w:szCs w:val="24"/>
              </w:rPr>
              <w:t>商务部分</w:t>
            </w:r>
            <w:r>
              <w:rPr>
                <w:rFonts w:hint="eastAsia" w:ascii="宋体" w:hAnsi="宋体"/>
                <w:b/>
                <w:sz w:val="22"/>
                <w:szCs w:val="24"/>
              </w:rPr>
              <w:t>（合计</w:t>
            </w:r>
            <w:r>
              <w:rPr>
                <w:rFonts w:hint="eastAsia" w:ascii="宋体" w:hAnsi="宋体"/>
                <w:b/>
                <w:sz w:val="22"/>
                <w:szCs w:val="24"/>
                <w:lang w:val="en-US" w:eastAsia="zh-CN"/>
              </w:rPr>
              <w:t>50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2"/>
              </w:numPr>
              <w:jc w:val="center"/>
              <w:rPr>
                <w:rFonts w:ascii="宋体" w:hAnsi="宋体"/>
                <w:sz w:val="22"/>
                <w:szCs w:val="24"/>
              </w:rPr>
            </w:pPr>
          </w:p>
        </w:tc>
        <w:tc>
          <w:tcPr>
            <w:tcW w:w="1202" w:type="dxa"/>
            <w:vAlign w:val="center"/>
          </w:tcPr>
          <w:p>
            <w:pPr>
              <w:spacing w:line="300" w:lineRule="exact"/>
              <w:jc w:val="center"/>
              <w:rPr>
                <w:rFonts w:ascii="Arial" w:hAnsi="Arial" w:eastAsia="黑体"/>
                <w:b/>
                <w:bCs/>
                <w:sz w:val="22"/>
                <w:szCs w:val="32"/>
              </w:rPr>
            </w:pPr>
            <w:r>
              <w:rPr>
                <w:rFonts w:hint="eastAsia" w:ascii="宋体" w:hAnsi="宋体"/>
                <w:sz w:val="22"/>
                <w:szCs w:val="24"/>
              </w:rPr>
              <w:t>投标人经验</w:t>
            </w:r>
          </w:p>
        </w:tc>
        <w:tc>
          <w:tcPr>
            <w:tcW w:w="4678" w:type="dxa"/>
            <w:vAlign w:val="center"/>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牵头承担过国家、省或市级政策研究、规划编制、制度评估，按国家级每项20%、省级每项15%、市级每项10%进行计分，最高得分不超过100%。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（1）要求提供中标通知书、合同关键页或其他证明文件。</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default" w:ascii="宋体" w:hAnsi="宋体"/>
                <w:sz w:val="22"/>
                <w:szCs w:val="24"/>
                <w:lang w:val="en-US" w:eastAsia="zh-CN"/>
              </w:rPr>
            </w:pPr>
            <w:r>
              <w:rPr>
                <w:rFonts w:hint="eastAsia" w:ascii="宋体" w:hAnsi="宋体"/>
                <w:sz w:val="22"/>
                <w:szCs w:val="24"/>
                <w:lang w:val="en-US" w:eastAsia="zh-CN"/>
              </w:rPr>
              <w:t>15</w:t>
            </w:r>
          </w:p>
        </w:tc>
        <w:tc>
          <w:tcPr>
            <w:tcW w:w="851" w:type="dxa"/>
            <w:tcBorders>
              <w:left w:val="single" w:color="auto" w:sz="4" w:space="0"/>
            </w:tcBorders>
            <w:vAlign w:val="center"/>
          </w:tcPr>
          <w:p>
            <w:pPr>
              <w:jc w:val="center"/>
              <w:rPr>
                <w:rFonts w:hint="default" w:ascii="宋体" w:hAnsi="宋体"/>
                <w:sz w:val="22"/>
                <w:szCs w:val="24"/>
                <w:lang w:val="en-US" w:eastAsia="zh-CN"/>
              </w:rPr>
            </w:pPr>
            <w:r>
              <w:rPr>
                <w:rFonts w:hint="eastAsia" w:ascii="宋体" w:hAnsi="宋体"/>
                <w:sz w:val="22"/>
                <w:szCs w:val="24"/>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2"/>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投标人获奖情况</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投标人承担的研究项目，获得市级及以上级别的奖励，或作为市级及以上级别政策文件进行公开发布的，每提供1个得50%，最高得分不超过100%。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（1）要求提供相关证明文件。</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2"/>
              </w:numPr>
              <w:jc w:val="center"/>
              <w:rPr>
                <w:rFonts w:ascii="宋体" w:hAnsi="宋体"/>
                <w:sz w:val="22"/>
                <w:szCs w:val="24"/>
              </w:rPr>
            </w:pPr>
          </w:p>
        </w:tc>
        <w:tc>
          <w:tcPr>
            <w:tcW w:w="1202" w:type="dxa"/>
            <w:vAlign w:val="center"/>
          </w:tcPr>
          <w:p>
            <w:pPr>
              <w:spacing w:line="300" w:lineRule="exact"/>
              <w:jc w:val="center"/>
              <w:rPr>
                <w:rFonts w:ascii="宋体" w:hAnsi="宋体"/>
                <w:sz w:val="22"/>
                <w:szCs w:val="24"/>
                <w:highlight w:val="yellow"/>
              </w:rPr>
            </w:pPr>
            <w:r>
              <w:rPr>
                <w:rFonts w:hint="eastAsia" w:ascii="宋体" w:hAnsi="宋体"/>
                <w:sz w:val="22"/>
                <w:szCs w:val="24"/>
              </w:rPr>
              <w:t>拟安排的项目负责人情况（仅限一人）</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（1）项目负责人具有高级以上（含）职称或博士学位，得</w:t>
            </w:r>
            <w:r>
              <w:rPr>
                <w:rFonts w:ascii="宋体" w:hAnsi="宋体" w:cs="宋体"/>
                <w:kern w:val="0"/>
                <w:sz w:val="22"/>
                <w:szCs w:val="24"/>
              </w:rPr>
              <w:t>25</w:t>
            </w:r>
            <w:r>
              <w:rPr>
                <w:rFonts w:hint="eastAsia" w:ascii="宋体" w:hAnsi="宋体" w:cs="宋体"/>
                <w:kern w:val="0"/>
                <w:sz w:val="22"/>
                <w:szCs w:val="24"/>
              </w:rPr>
              <w:t>%，否则不得分。</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（2）项目负责人主持或参与过国家、省或市级政策研究、规划编制评估等政府项目的，每提供1个得2</w:t>
            </w:r>
            <w:r>
              <w:rPr>
                <w:rFonts w:ascii="宋体" w:hAnsi="宋体" w:cs="宋体"/>
                <w:kern w:val="0"/>
                <w:sz w:val="22"/>
                <w:szCs w:val="24"/>
              </w:rPr>
              <w:t>5</w:t>
            </w:r>
            <w:r>
              <w:rPr>
                <w:rFonts w:hint="eastAsia" w:ascii="宋体" w:hAnsi="宋体" w:cs="宋体"/>
                <w:kern w:val="0"/>
                <w:sz w:val="22"/>
                <w:szCs w:val="24"/>
              </w:rPr>
              <w:t>%，最高得分不超过</w:t>
            </w:r>
            <w:r>
              <w:rPr>
                <w:rFonts w:ascii="宋体" w:hAnsi="宋体" w:cs="宋体"/>
                <w:kern w:val="0"/>
                <w:sz w:val="22"/>
                <w:szCs w:val="24"/>
              </w:rPr>
              <w:t>75</w:t>
            </w:r>
            <w:r>
              <w:rPr>
                <w:rFonts w:hint="eastAsia" w:ascii="宋体" w:hAnsi="宋体" w:cs="宋体"/>
                <w:kern w:val="0"/>
                <w:sz w:val="22"/>
                <w:szCs w:val="24"/>
              </w:rPr>
              <w:t>%。</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（1）要求提供通过投标人购买的项目负责人近三个月社保，学位或职称文件，业绩合同关键页或其他证明文件（需要体现人员信息，若无人员信息，须提供工作单位出具的证明材料）。</w:t>
            </w:r>
          </w:p>
          <w:p>
            <w:pPr>
              <w:spacing w:line="300" w:lineRule="exact"/>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2"/>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拟安排的项目主要团队成员（主要技术人员）情况（项目负责人除外）</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项目团队中每提供1位有高级职称或博士学位人员得</w:t>
            </w:r>
            <w:r>
              <w:rPr>
                <w:rFonts w:ascii="宋体" w:hAnsi="宋体" w:cs="宋体"/>
                <w:kern w:val="0"/>
                <w:sz w:val="22"/>
                <w:szCs w:val="24"/>
              </w:rPr>
              <w:t>5</w:t>
            </w:r>
            <w:r>
              <w:rPr>
                <w:rFonts w:hint="eastAsia" w:ascii="宋体" w:hAnsi="宋体" w:cs="宋体"/>
                <w:kern w:val="0"/>
                <w:sz w:val="22"/>
                <w:szCs w:val="24"/>
              </w:rPr>
              <w:t>0%，每提供1位有中级职称或硕士学位人员得2</w:t>
            </w:r>
            <w:r>
              <w:rPr>
                <w:rFonts w:ascii="宋体" w:hAnsi="宋体" w:cs="宋体"/>
                <w:kern w:val="0"/>
                <w:sz w:val="22"/>
                <w:szCs w:val="24"/>
              </w:rPr>
              <w:t>5</w:t>
            </w:r>
            <w:r>
              <w:rPr>
                <w:rFonts w:hint="eastAsia" w:ascii="宋体" w:hAnsi="宋体" w:cs="宋体"/>
                <w:kern w:val="0"/>
                <w:sz w:val="22"/>
                <w:szCs w:val="24"/>
              </w:rPr>
              <w:t>%，最高得分不超过100%。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（1）要求提供通过投标人购买的团队成员近三个月社保，学位或职称文件等。</w:t>
            </w:r>
          </w:p>
          <w:p>
            <w:pPr>
              <w:spacing w:line="300" w:lineRule="exact"/>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eastAsia" w:ascii="宋体" w:hAnsi="宋体"/>
                <w:sz w:val="22"/>
                <w:szCs w:val="24"/>
                <w:lang w:eastAsia="zh-CN"/>
              </w:rPr>
            </w:pPr>
            <w:r>
              <w:rPr>
                <w:rFonts w:ascii="宋体" w:hAnsi="宋体"/>
                <w:sz w:val="22"/>
                <w:szCs w:val="24"/>
              </w:rPr>
              <w:t>1</w:t>
            </w:r>
            <w:r>
              <w:rPr>
                <w:rFonts w:hint="eastAsia" w:ascii="宋体" w:hAnsi="宋体"/>
                <w:sz w:val="22"/>
                <w:szCs w:val="24"/>
                <w:lang w:val="en-US" w:eastAsia="zh-CN"/>
              </w:rPr>
              <w:t>5</w:t>
            </w:r>
          </w:p>
        </w:tc>
        <w:tc>
          <w:tcPr>
            <w:tcW w:w="851" w:type="dxa"/>
            <w:tcBorders>
              <w:left w:val="single" w:color="auto" w:sz="4" w:space="0"/>
            </w:tcBorders>
            <w:vAlign w:val="center"/>
          </w:tcPr>
          <w:p>
            <w:pPr>
              <w:jc w:val="center"/>
              <w:rPr>
                <w:rFonts w:hint="default" w:ascii="宋体" w:hAnsi="宋体"/>
                <w:sz w:val="22"/>
                <w:szCs w:val="24"/>
                <w:lang w:val="en-US" w:eastAsia="zh-CN"/>
              </w:rPr>
            </w:pPr>
            <w:r>
              <w:rPr>
                <w:rFonts w:hint="eastAsia" w:ascii="宋体" w:hAnsi="宋体"/>
                <w:sz w:val="22"/>
                <w:szCs w:val="24"/>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ascii="宋体" w:hAnsi="宋体"/>
                <w:b/>
                <w:sz w:val="22"/>
                <w:szCs w:val="24"/>
              </w:rPr>
            </w:pPr>
            <w:r>
              <w:rPr>
                <w:rFonts w:hint="eastAsia" w:ascii="宋体" w:hAnsi="宋体"/>
                <w:b/>
                <w:sz w:val="22"/>
                <w:szCs w:val="24"/>
              </w:rPr>
              <w:t>三</w:t>
            </w:r>
          </w:p>
        </w:tc>
        <w:tc>
          <w:tcPr>
            <w:tcW w:w="7581" w:type="dxa"/>
            <w:gridSpan w:val="4"/>
            <w:vAlign w:val="center"/>
          </w:tcPr>
          <w:p>
            <w:pPr>
              <w:spacing w:line="300" w:lineRule="exact"/>
              <w:ind w:left="-78" w:leftChars="-37" w:right="-73" w:rightChars="-35"/>
              <w:jc w:val="center"/>
              <w:rPr>
                <w:rFonts w:ascii="宋体" w:hAnsi="宋体" w:cs="宋体"/>
                <w:b/>
                <w:sz w:val="22"/>
                <w:szCs w:val="24"/>
              </w:rPr>
            </w:pPr>
            <w:r>
              <w:rPr>
                <w:rFonts w:hint="eastAsia" w:ascii="宋体" w:hAnsi="宋体"/>
                <w:b/>
                <w:sz w:val="22"/>
                <w:szCs w:val="24"/>
              </w:rPr>
              <w:t>价格部分（合计</w:t>
            </w:r>
            <w:r>
              <w:rPr>
                <w:rFonts w:hint="eastAsia" w:ascii="宋体" w:hAnsi="宋体"/>
                <w:b/>
                <w:sz w:val="22"/>
                <w:szCs w:val="24"/>
                <w:lang w:val="en-US" w:eastAsia="zh-CN"/>
              </w:rPr>
              <w:t>10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numPr>
                <w:ilvl w:val="0"/>
                <w:numId w:val="3"/>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投标报价</w:t>
            </w:r>
          </w:p>
        </w:tc>
        <w:tc>
          <w:tcPr>
            <w:tcW w:w="4678" w:type="dxa"/>
            <w:vAlign w:val="center"/>
          </w:tcPr>
          <w:p>
            <w:pPr>
              <w:autoSpaceDE w:val="0"/>
              <w:autoSpaceDN w:val="0"/>
              <w:adjustRightInd w:val="0"/>
              <w:snapToGrid w:val="0"/>
              <w:spacing w:line="300" w:lineRule="exact"/>
              <w:rPr>
                <w:rFonts w:ascii="宋体" w:hAnsi="宋体" w:cs="宋体"/>
                <w:kern w:val="0"/>
                <w:sz w:val="22"/>
                <w:szCs w:val="24"/>
              </w:rPr>
            </w:pPr>
            <w:r>
              <w:rPr>
                <w:rFonts w:ascii="宋体" w:hAnsi="宋体" w:cs="宋体"/>
                <w:kern w:val="0"/>
                <w:sz w:val="22"/>
                <w:szCs w:val="24"/>
              </w:rPr>
              <w:t>价格分</w:t>
            </w:r>
            <w:r>
              <w:rPr>
                <w:rFonts w:hint="eastAsia" w:ascii="宋体" w:hAnsi="宋体" w:cs="宋体"/>
                <w:kern w:val="0"/>
                <w:sz w:val="22"/>
                <w:szCs w:val="24"/>
              </w:rPr>
              <w:t>应当采用低价优先法计算，即满足招标文件要求且投标价格最低的投标报价为评标基准价，其价格分为满分。其他投标人的价格分统一按照下列公式计算：</w:t>
            </w:r>
          </w:p>
          <w:p>
            <w:pPr>
              <w:spacing w:line="300" w:lineRule="exact"/>
              <w:jc w:val="left"/>
              <w:rPr>
                <w:rFonts w:ascii="宋体" w:hAnsi="宋体" w:cs="宋体"/>
                <w:kern w:val="0"/>
                <w:sz w:val="22"/>
                <w:szCs w:val="24"/>
              </w:rPr>
            </w:pPr>
            <w:r>
              <w:rPr>
                <w:rFonts w:hint="eastAsia" w:ascii="宋体" w:hAnsi="宋体" w:cs="宋体"/>
                <w:kern w:val="0"/>
                <w:sz w:val="22"/>
                <w:szCs w:val="24"/>
              </w:rPr>
              <w:t>投标报价得分=(评标基准价／投标报价)×100×权重</w:t>
            </w:r>
          </w:p>
          <w:p>
            <w:pPr>
              <w:spacing w:line="300" w:lineRule="exact"/>
              <w:jc w:val="left"/>
              <w:rPr>
                <w:rFonts w:ascii="宋体" w:hAnsi="宋体"/>
                <w:bCs/>
                <w:sz w:val="22"/>
                <w:szCs w:val="24"/>
              </w:rPr>
            </w:pPr>
            <w:r>
              <w:rPr>
                <w:rFonts w:hint="eastAsia" w:ascii="宋体" w:hAnsi="宋体"/>
                <w:bCs/>
                <w:sz w:val="22"/>
                <w:szCs w:val="24"/>
              </w:rPr>
              <w:t>备注：</w:t>
            </w:r>
          </w:p>
          <w:p>
            <w:pPr>
              <w:spacing w:line="300" w:lineRule="exact"/>
              <w:jc w:val="left"/>
              <w:rPr>
                <w:rFonts w:ascii="宋体" w:hAnsi="宋体" w:cs="宋体"/>
                <w:sz w:val="22"/>
                <w:szCs w:val="24"/>
              </w:rPr>
            </w:pPr>
            <w:r>
              <w:rPr>
                <w:rFonts w:hint="eastAsia" w:ascii="宋体" w:hAnsi="宋体"/>
                <w:bCs/>
                <w:sz w:val="22"/>
                <w:szCs w:val="24"/>
              </w:rPr>
              <w:t>1、因落实政府采购政策进行价格调整的，以调整后的价格计算评标基准价和投标报价</w:t>
            </w:r>
            <w:r>
              <w:rPr>
                <w:rFonts w:hint="eastAsia" w:ascii="宋体" w:hAnsi="宋体"/>
                <w:bCs/>
                <w:sz w:val="22"/>
                <w:szCs w:val="24"/>
                <w:lang w:eastAsia="zh-CN"/>
              </w:rPr>
              <w:t>，</w:t>
            </w:r>
            <w:r>
              <w:rPr>
                <w:rFonts w:hint="eastAsia" w:ascii="宋体" w:hAnsi="宋体" w:cs="宋体"/>
                <w:sz w:val="22"/>
                <w:szCs w:val="24"/>
              </w:rPr>
              <w:t>详见“价格扣除”。</w:t>
            </w:r>
          </w:p>
          <w:p>
            <w:pPr>
              <w:spacing w:line="300" w:lineRule="exact"/>
              <w:rPr>
                <w:rFonts w:ascii="宋体" w:hAnsi="宋体"/>
                <w:b/>
                <w:bCs/>
                <w:sz w:val="22"/>
                <w:szCs w:val="24"/>
                <w:u w:val="double"/>
              </w:rPr>
            </w:pPr>
            <w:r>
              <w:rPr>
                <w:rFonts w:hint="eastAsia" w:ascii="宋体" w:hAnsi="宋体"/>
                <w:bCs/>
                <w:sz w:val="22"/>
                <w:szCs w:val="24"/>
              </w:rPr>
              <w:t>2、投标报价得分四舍五入后，</w:t>
            </w:r>
            <w:r>
              <w:rPr>
                <w:rFonts w:hint="eastAsia" w:ascii="宋体" w:hAnsi="宋体" w:cs="Arial"/>
                <w:sz w:val="22"/>
                <w:szCs w:val="24"/>
              </w:rPr>
              <w:t>小数点后保留两位有效数</w:t>
            </w:r>
            <w:r>
              <w:rPr>
                <w:rFonts w:hint="eastAsia" w:ascii="宋体" w:hAnsi="宋体"/>
                <w:bCs/>
                <w:sz w:val="22"/>
                <w:szCs w:val="24"/>
              </w:rPr>
              <w:t>。</w:t>
            </w:r>
          </w:p>
        </w:tc>
        <w:tc>
          <w:tcPr>
            <w:tcW w:w="850" w:type="dxa"/>
            <w:tcBorders>
              <w:right w:val="single" w:color="auto" w:sz="4" w:space="0"/>
            </w:tcBorders>
            <w:vAlign w:val="center"/>
          </w:tcPr>
          <w:p>
            <w:pPr>
              <w:jc w:val="center"/>
              <w:rPr>
                <w:rFonts w:hint="default" w:ascii="宋体" w:hAnsi="宋体"/>
                <w:sz w:val="22"/>
                <w:szCs w:val="24"/>
                <w:lang w:val="en-US" w:eastAsia="zh-CN"/>
              </w:rPr>
            </w:pPr>
            <w:r>
              <w:rPr>
                <w:rFonts w:hint="eastAsia" w:ascii="宋体" w:hAnsi="宋体"/>
                <w:sz w:val="22"/>
                <w:szCs w:val="24"/>
                <w:lang w:val="en-US" w:eastAsia="zh-CN"/>
              </w:rPr>
              <w:t>10</w:t>
            </w:r>
          </w:p>
        </w:tc>
        <w:tc>
          <w:tcPr>
            <w:tcW w:w="851" w:type="dxa"/>
            <w:tcBorders>
              <w:left w:val="single" w:color="auto" w:sz="4" w:space="0"/>
            </w:tcBorders>
            <w:vAlign w:val="center"/>
          </w:tcPr>
          <w:p>
            <w:pPr>
              <w:jc w:val="center"/>
              <w:rPr>
                <w:rFonts w:hint="default" w:ascii="宋体" w:hAnsi="宋体"/>
                <w:sz w:val="22"/>
                <w:szCs w:val="24"/>
                <w:lang w:val="en-US" w:eastAsia="zh-CN"/>
              </w:rPr>
            </w:pPr>
            <w:r>
              <w:rPr>
                <w:rFonts w:hint="eastAsia" w:ascii="宋体" w:hAnsi="宋体"/>
                <w:sz w:val="22"/>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pPr>
              <w:ind w:left="-78" w:leftChars="-37" w:right="-73" w:rightChars="-35"/>
              <w:jc w:val="center"/>
              <w:rPr>
                <w:rFonts w:ascii="宋体" w:hAnsi="宋体" w:cs="宋体"/>
                <w:sz w:val="22"/>
                <w:szCs w:val="24"/>
              </w:rPr>
            </w:pPr>
            <w:r>
              <w:rPr>
                <w:rFonts w:hint="eastAsia" w:ascii="宋体" w:hAnsi="宋体"/>
                <w:sz w:val="22"/>
                <w:szCs w:val="24"/>
              </w:rPr>
              <w:t>合计</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r>
    </w:tbl>
    <w:p>
      <w:pPr>
        <w:spacing w:line="300" w:lineRule="exact"/>
        <w:rPr>
          <w:rFonts w:hint="eastAsia" w:ascii="宋体" w:hAnsi="宋体"/>
          <w:b/>
          <w:sz w:val="24"/>
          <w:szCs w:val="24"/>
        </w:rPr>
      </w:pPr>
      <w:r>
        <w:rPr>
          <w:rFonts w:hint="eastAsia" w:ascii="宋体" w:hAnsi="宋体"/>
          <w:b/>
          <w:sz w:val="24"/>
          <w:szCs w:val="24"/>
        </w:rPr>
        <w:t>备注：</w:t>
      </w:r>
    </w:p>
    <w:p>
      <w:pPr>
        <w:spacing w:line="300" w:lineRule="exact"/>
        <w:ind w:firstLine="720" w:firstLineChars="300"/>
        <w:rPr>
          <w:rFonts w:ascii="宋体" w:hAnsi="宋体" w:cs="宋体"/>
          <w:kern w:val="0"/>
          <w:sz w:val="24"/>
          <w:szCs w:val="24"/>
        </w:rPr>
      </w:pPr>
      <w:r>
        <w:rPr>
          <w:rFonts w:hint="eastAsia" w:ascii="宋体" w:hAnsi="宋体" w:cs="宋体"/>
          <w:kern w:val="0"/>
          <w:sz w:val="24"/>
          <w:szCs w:val="24"/>
        </w:rPr>
        <w:t>1.评标信息内评分方法的说明：</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（1）权重：按百分比进行设置。</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（2）评分准则：按照评标系统设置要求，每项“评分准则”皆按百分制打分。</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（3）每项“评分因素”的得分=对应“评分准则”的分值×对应权重%。</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价格扣除</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（1）根据财政部、工业和信息化部印发的《政府采购促进中小企业发展管理办法》（财库〔2020〕46号）的规定，对小型和微型企业产品的价格给予</w:t>
      </w:r>
      <w:r>
        <w:rPr>
          <w:rFonts w:ascii="宋体" w:hAnsi="宋体" w:cs="宋体"/>
          <w:kern w:val="0"/>
          <w:sz w:val="24"/>
          <w:szCs w:val="24"/>
        </w:rPr>
        <w:t>6%</w:t>
      </w:r>
      <w:r>
        <w:rPr>
          <w:rFonts w:hint="eastAsia" w:ascii="宋体" w:hAnsi="宋体" w:cs="宋体"/>
          <w:kern w:val="0"/>
          <w:sz w:val="24"/>
          <w:szCs w:val="24"/>
        </w:rPr>
        <w:t>的扣除，用扣除后的价格参与评审。</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（2）组成联合体（如允许）或者接受分包的小微企业与联合体内其他企业、分包企业之间存在直接控股、管理关系的，不享受价格扣除优惠政策。</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（3）监狱企业产品价格扣除：监狱企业视同小微企业，按上述第（1）、（2）条款享受评审中价格扣除。</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（4）残疾人福利性单位产品价格扣除：残疾人福利性单位视同小微企业，按上述第（1）、（2）条款享受评审中价格扣除。</w:t>
      </w:r>
    </w:p>
    <w:p>
      <w:pPr>
        <w:spacing w:line="540" w:lineRule="exact"/>
        <w:ind w:firstLine="600" w:firstLineChars="250"/>
        <w:rPr>
          <w:rFonts w:ascii="宋体" w:hAnsi="宋体" w:cs="宋体"/>
          <w:kern w:val="0"/>
          <w:sz w:val="24"/>
          <w:szCs w:val="24"/>
        </w:rPr>
      </w:pPr>
    </w:p>
    <w:p>
      <w:pPr>
        <w:adjustRightInd w:val="0"/>
        <w:snapToGrid w:val="0"/>
        <w:spacing w:line="480" w:lineRule="exact"/>
        <w:ind w:firstLine="640" w:firstLineChars="200"/>
        <w:rPr>
          <w:rFonts w:ascii="仿宋_GB2312" w:hAnsi="宋体" w:eastAsia="仿宋_GB2312" w:cs="仿宋_GB2312"/>
          <w:sz w:val="32"/>
          <w:szCs w:val="22"/>
        </w:rPr>
      </w:pPr>
      <w:r>
        <w:rPr>
          <w:rFonts w:hint="eastAsia" w:ascii="仿宋_GB2312" w:hAnsi="宋体" w:eastAsia="仿宋_GB2312" w:cs="仿宋_GB2312"/>
          <w:sz w:val="32"/>
          <w:szCs w:val="22"/>
        </w:rPr>
        <w:t>附件：投标及履约承诺函</w:t>
      </w:r>
    </w:p>
    <w:p>
      <w:pPr>
        <w:jc w:val="left"/>
        <w:rPr>
          <w:rFonts w:ascii="仿宋_GB2312" w:hAnsi="宋体" w:eastAsia="仿宋_GB2312" w:cs="仿宋_GB2312"/>
          <w:sz w:val="32"/>
          <w:szCs w:val="22"/>
        </w:rPr>
      </w:pPr>
      <w:r>
        <w:rPr>
          <w:rFonts w:ascii="仿宋" w:hAnsi="仿宋" w:eastAsia="仿宋" w:cs="仿宋_GB2312"/>
          <w:sz w:val="32"/>
          <w:szCs w:val="32"/>
        </w:rPr>
        <w:br w:type="page"/>
      </w:r>
      <w:r>
        <w:rPr>
          <w:rFonts w:hint="eastAsia" w:ascii="黑体" w:hAnsi="黑体" w:eastAsia="黑体" w:cs="黑体"/>
          <w:sz w:val="32"/>
          <w:szCs w:val="22"/>
        </w:rPr>
        <w:t>附件</w:t>
      </w:r>
    </w:p>
    <w:p>
      <w:pPr>
        <w:adjustRightInd w:val="0"/>
        <w:snapToGrid w:val="0"/>
        <w:spacing w:line="600" w:lineRule="exact"/>
        <w:jc w:val="center"/>
        <w:rPr>
          <w:rFonts w:ascii="宋体" w:hAnsi="宋体" w:cs="宋体"/>
          <w:b/>
          <w:bCs/>
          <w:sz w:val="44"/>
          <w:szCs w:val="44"/>
        </w:rPr>
      </w:pPr>
    </w:p>
    <w:p>
      <w:pPr>
        <w:adjustRightInd w:val="0"/>
        <w:snapToGrid w:val="0"/>
        <w:spacing w:line="600" w:lineRule="exact"/>
        <w:jc w:val="center"/>
        <w:rPr>
          <w:rFonts w:ascii="宋体" w:hAnsi="宋体" w:cs="宋体"/>
          <w:b/>
          <w:bCs/>
          <w:sz w:val="44"/>
          <w:szCs w:val="44"/>
        </w:rPr>
      </w:pPr>
      <w:r>
        <w:rPr>
          <w:rFonts w:hint="eastAsia" w:ascii="宋体" w:hAnsi="宋体" w:cs="宋体"/>
          <w:b/>
          <w:bCs/>
          <w:sz w:val="44"/>
          <w:szCs w:val="44"/>
        </w:rPr>
        <w:t>投标及履约承诺函</w:t>
      </w:r>
    </w:p>
    <w:p>
      <w:pPr>
        <w:adjustRightInd w:val="0"/>
        <w:snapToGrid w:val="0"/>
        <w:spacing w:line="600" w:lineRule="exact"/>
        <w:jc w:val="center"/>
        <w:rPr>
          <w:rFonts w:ascii="宋体" w:hAnsi="宋体" w:cs="宋体"/>
          <w:b/>
          <w:bCs/>
          <w:sz w:val="32"/>
          <w:szCs w:val="32"/>
        </w:rPr>
      </w:pP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w:t>
      </w:r>
      <w:r>
        <w:rPr>
          <w:rFonts w:hint="eastAsia" w:ascii="仿宋_GB2312" w:hAnsi="宋体" w:eastAsia="仿宋_GB2312" w:cs="仿宋_GB2312"/>
          <w:sz w:val="32"/>
          <w:szCs w:val="22"/>
          <w:lang w:eastAsia="zh-CN"/>
        </w:rPr>
        <w:t>所做的</w:t>
      </w:r>
      <w:r>
        <w:rPr>
          <w:rFonts w:hint="eastAsia" w:ascii="仿宋_GB2312" w:hAnsi="宋体" w:eastAsia="仿宋_GB2312" w:cs="仿宋_GB2312"/>
          <w:sz w:val="32"/>
          <w:szCs w:val="22"/>
        </w:rPr>
        <w:t>一切承诺履约。项目验收达到全部指标合格，力争优良。</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ascii="仿宋_GB2312" w:hAnsi="宋体" w:eastAsia="仿宋_GB2312"/>
          <w:sz w:val="32"/>
          <w:szCs w:val="22"/>
        </w:rPr>
      </w:pP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4" w:type="first"/>
      <w:footerReference r:id="rId3" w:type="default"/>
      <w:pgSz w:w="11906" w:h="16838"/>
      <w:pgMar w:top="1440" w:right="1800" w:bottom="1440" w:left="180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-154305</wp:posOffset>
              </wp:positionV>
              <wp:extent cx="60579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605790" cy="1828800"/>
                      </a:xfrm>
                      <a:prstGeom prst="rect">
                        <a:avLst/>
                      </a:prstGeom>
                      <a:noFill/>
                      <a:ln w="9525">
                        <a:noFill/>
                      </a:ln>
                      <a:effectLst/>
                    </wps:spPr>
                    <wps:txbx>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vert="horz" wrap="square" lIns="0" tIns="0" rIns="0" bIns="0" anchor="t">
                      <a:spAutoFit/>
                    </wps:bodyPr>
                  </wps:wsp>
                </a:graphicData>
              </a:graphic>
            </wp:anchor>
          </w:drawing>
        </mc:Choice>
        <mc:Fallback>
          <w:pict>
            <v:shape id="文本框 1" o:spid="_x0000_s1026" o:spt="202" type="#_x0000_t202" style="position:absolute;left:0pt;margin-top:-12.15pt;height:144pt;width:47.7pt;mso-position-horizontal:outside;mso-position-horizontal-relative:margin;z-index:251659264;mso-width-relative:page;mso-height-relative:page;" filled="f" stroked="f" coordsize="21600,21600" o:gfxdata="UEsFBgAAAAAAAAAAAAAAAAAAAAAAAFBLAwQKAAAAAACHTuJAAAAAAAAAAAAAAAAABAAAAGRycy9Q&#10;SwMEFAAAAAgAh07iQMqfo6TVAAAABwEAAA8AAABkcnMvZG93bnJldi54bWxNjzFPwzAUhHck/oP1&#10;kFhQ6zgtgYa8dECwsFFY2Nz4kUTYz1HsJqG/HjPBeLrT3XfVfnFWTDSG3jOCWmcgiBtvem4R3t+e&#10;V/cgQtRstPVMCN8UYF9fXlS6NH7mV5oOsRWphEOpEboYh1LK0HTkdFj7gTh5n350OiY5ttKMek7l&#10;zso8ywrpdM9podMDPXbUfB1ODqFYnoablx3l87mxE3+clYqkEK+vVPYAItIS/8Lwi5/QoU5MR39i&#10;E4RFSEciwirfbkAke3e7BXFEyIvNHci6kv/56x9QSwMEFAAAAAgAh07iQA51yEzlAQAAvAMAAA4A&#10;AABkcnMvZTJvRG9jLnhtbK1TzY7TMBC+I/EOlu80aUWXblR3BaoWISFAWngA13EaS/7D4zYpDwBv&#10;wIkL932uPgdjJ+mi5bIHLsl4fr6Z7/N4fdMbTY4ygHKW0fmspERa4Wpl94x++Xz7YkUJRG5rrp2V&#10;jJ4k0JvN82frzldy4VqnaxkIglioOs9oG6OvigJEKw2HmfPSYrBxwfCIx7Av6sA7RDe6WJTlVdG5&#10;UPvghARA73YI0hExPAXQNY0ScuvEwUgbB9QgNY9ICVrlgW7ytE0jRfzYNCAj0Ywi05i/2ATtXfoW&#10;mzWv9oH7VolxBP6UER5xMlxZbHqB2vLIySGof6CMEsGBa+JMOFMMRLIiyGJePtLmruVeZi4oNfiL&#10;6PD/YMWH46dAVM3oS0osN3jh558/zr/uz7+/k3mSp/NQYdadx7zYv3E9Ls3kB3Qm1n0TTPojH4Jx&#10;FPd0EVf2kQh0XpXLV9cYERiarxarVZnVLx6qfYD4VjpDksFowMvLmvLje4g4CaZOKamZdbdK63yB&#10;2pKO0evlYpkLLhGs0DblyrwKI0xiNEyerNjv+pHmztUnZImPA9u3LnyjpMPVYBS+HniQlOh3FrVP&#10;ezQZYTJ2k8GtwFJGh9nBvz5EHDTPn9oNPZBMOuClZlrjAqat+fucsx4e3e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IoUZjzRAAAAlAEAAAsAAAAAAAAAAQAgAAAAbwMAAF9yZWxzLy5yZWxz&#10;UEsBAhQAFAAAAAgAh07iQH7m5SD3AAAA4QEAABMAAAAAAAAAAQAgAAAAaQQAAFtDb250ZW50X1R5&#10;cGVzXS54bWxQSwECFAAKAAAAAACHTuJAAAAAAAAAAAAAAAAABgAAAAAAAAAAABAAAABLAwAAX3Jl&#10;bHMvUEsBAhQAFAAAAAgAh07iQA51yEzlAQAAvAMAAA4AAAAAAAAAAQAgAAAAOgEAAGRycy9lMm9E&#10;b2MueG1sUEsBAhQAFAAAAAgAh07iQMqfo6TVAAAABwEAAA8AAAAAAAAAAQAgAAAAOAAAAGRycy9k&#10;b3ducmV2LnhtbFBLAQIUAAoAAAAAAIdO4kAAAAAAAAAAAAAAAAAEAAAAAAAAAAAAEAAAABYAAABk&#10;cnMvUEsFBgAAAAAGAAYAWQEAAJEFAAAAAA==&#10;">
              <v:fill on="f" focussize="0,0"/>
              <v:stroke on="f"/>
              <v:imagedata o:title=""/>
              <o:lock v:ext="edit" aspectratio="f"/>
              <v:textbox inset="0mm,0mm,0mm,0mm" style="mso-fit-shape-to-text:t;">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-154305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2.1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ATDGfjWAAAACAEAAA8AAABkcnMvZG93bnJldi54bWxNj0FPwzAMhe9I/IfI&#10;SNy2dO00qtJ0EhPliMS6A8esMW2hcaok68q/x5zgZvs9PX+v3C92FDP6MDhSsFknIJBaZwbqFJya&#10;epWDCFGT0aMjVPCNAfbV7U2pC+Ou9IbzMXaCQygUWkEf41RIGdoerQ5rNyGx9uG81ZFX30nj9ZXD&#10;7SjTJNlJqwfiD72e8NBj+3W8WAWHumn8jMGP7/hSZ5+vT1t8XpS6v9skjyAiLvHPDL/4jA4VM53d&#10;hUwQowIuEhWs0m0GguU0z/ly5mGXPYCsSvm/QPUDUEsDBBQAAAAIAIdO4kDZnGDkMgIAAGMEAAAO&#10;AAAAZHJzL2Uyb0RvYy54bWytVM2O2jAQvlfqO1i+lwAVK4QIK7qIqhLqrkSrno3jkEj+k21I6AO0&#10;b9BTL733uXiO/ewQttr2sIdewtgz/ma+b2aY37ZKkqNwvjY6p6PBkBKhuSlqvc/p50/rN1NKfGC6&#10;YNJokdOT8PR28frVvLEzMTaVkYVwBCDazxqb0yoEO8syzyuhmB8YKzScpXGKBRzdPisca4CuZDYe&#10;Dm+yxrjCOsOF97hddU56QXQvATRlWXOxMvyghA4dqhOSBVDyVW09XaRqy1LwcF+WXgQicwqmIX2R&#10;BPYufrPFnM32jtmq5pcS2EtKeMZJsVoj6RVqxQIjB1f/BaVq7ow3ZRhwo7KOSFIELEbDZ9psK2ZF&#10;4gKpvb2K7v8fLP94fHCkLnI6oUQzhYaff3w///x9/vWNTKI8jfUzRG0t4kL7zrQYmv7e4zKybkun&#10;4i/4EPgh7ukqrmgD4fHRdDydDuHi8PUH4GdPz63z4b0wikQjpw7dS6Ky48aHLrQPidm0WddSpg5K&#10;TZqc3rydDNODqwfgUsdYkWbhAhMpdaVHK7S79sJzZ4oTaDrTzYm3fF2jlA3z4YE5DAbKx+qEe3xK&#10;aZDSXCxKKuO+/us+xqNf8FLSYNByqrFXlMgPGn0EYOgN1xu73tAHdWcwuSOspOXJxAMXZG+Wzqgv&#10;2KdlzAEX0xyZchp68y50w4595GK5TEGYPMvCRm8tj9BRHm+XhwA5k8pRlE4JdCceMHupT5c9icP9&#10;5zlFPf03LB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IoUZjzRAAAAlAEAAAsAAAAAAAAA&#10;AQAgAAAAvQMAAF9yZWxzLy5yZWxzUEsBAhQAFAAAAAgAh07iQH7m5SD3AAAA4QEAABMAAAAAAAAA&#10;AQAgAAAAtwQAAFtDb250ZW50X1R5cGVzXS54bWxQSwECFAAKAAAAAACHTuJAAAAAAAAAAAAAAAAA&#10;BgAAAAAAAAAAABAAAACZAwAAX3JlbHMvUEsBAhQAFAAAAAgAh07iQNmcYOQyAgAAYwQAAA4AAAAA&#10;AAAAAQAgAAAAOwEAAGRycy9lMm9Eb2MueG1sUEsBAhQAFAAAAAgAh07iQATDGfjWAAAACAEAAA8A&#10;AAAAAAAAAQAgAAAAOAAAAGRycy9kb3ducmV2LnhtbFBLAQIUAAoAAAAAAIdO4kAAAAAAAAAAAAAA&#10;AAAEAAAAAAAAAAAAEAAAABYAAABkcnMvUEsFBgAAAAAGAAYAWQEAAN8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6B6FB6AB"/>
    <w:rsid w:val="FDFFF6D8"/>
    <w:rsid w:val="FF6FF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陈俊锋</cp:lastModifiedBy>
  <dcterms:modified xsi:type="dcterms:W3CDTF">2024-06-26T17:02:44Z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CEFCDF6D69121F3832857366639DB866</vt:lpwstr>
  </property>
</Properties>
</file>