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44"/>
          <w:szCs w:val="4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44"/>
          <w:szCs w:val="44"/>
          <w:highlight w:val="none"/>
          <w14:textFill>
            <w14:solidFill>
              <w14:schemeClr w14:val="tx1"/>
            </w14:solidFill>
          </w14:textFill>
        </w:rPr>
        <w:t>深圳市公共设施全生命周期建设运营管理和项目谋划</w:t>
      </w:r>
      <w:r>
        <w:rPr>
          <w:rFonts w:hint="eastAsia" w:asciiTheme="minorEastAsia" w:hAnsiTheme="minorEastAsia" w:eastAsiaTheme="minorEastAsia" w:cstheme="minorEastAsia"/>
          <w:b/>
          <w:bCs w:val="0"/>
          <w:color w:val="000000" w:themeColor="text1"/>
          <w:sz w:val="44"/>
          <w:szCs w:val="44"/>
          <w:highlight w:val="none"/>
          <w:lang w:eastAsia="zh-CN"/>
          <w14:textFill>
            <w14:solidFill>
              <w14:schemeClr w14:val="tx1"/>
            </w14:solidFill>
          </w14:textFill>
        </w:rPr>
        <w:t>预研</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bookmarkStart w:id="0" w:name="_GoBack"/>
      <w:bookmarkEnd w:id="0"/>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微软雅黑" w:hAnsi="宋体" w:cs="Arial"/>
          <w:sz w:val="48"/>
          <w:szCs w:val="48"/>
        </w:rPr>
      </w:pPr>
    </w:p>
    <w:p>
      <w:pPr>
        <w:spacing w:line="360" w:lineRule="auto"/>
        <w:rPr>
          <w:rFonts w:ascii="微软雅黑" w:hAnsi="宋体" w:cs="Arial"/>
          <w:sz w:val="48"/>
          <w:szCs w:val="48"/>
        </w:rPr>
      </w:pPr>
    </w:p>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t>深圳市发展和改革委员会</w:t>
      </w:r>
    </w:p>
    <w:p>
      <w:pPr>
        <w:spacing w:line="600" w:lineRule="exact"/>
        <w:jc w:val="center"/>
        <w:rPr>
          <w:rFonts w:ascii="宋体" w:hAnsi="宋体" w:cs="宋体"/>
          <w:b/>
          <w:bCs/>
          <w:sz w:val="44"/>
          <w:szCs w:val="44"/>
        </w:rPr>
        <w:sectPr>
          <w:headerReference r:id="rId3" w:type="default"/>
          <w:pgSz w:w="11906" w:h="16838"/>
          <w:pgMar w:top="1400" w:right="1797" w:bottom="1089" w:left="1797" w:header="720" w:footer="720" w:gutter="0"/>
          <w:pgNumType w:fmt="decimal"/>
          <w:cols w:space="720" w:num="1"/>
          <w:docGrid w:type="lines" w:linePitch="312" w:charSpace="0"/>
        </w:sectP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hint="eastAsia" w:ascii="宋体" w:hAnsi="宋体"/>
          <w:b/>
          <w:bCs/>
          <w:sz w:val="32"/>
          <w:szCs w:val="32"/>
          <w:lang w:val="en-US" w:eastAsia="zh-CN"/>
        </w:rPr>
        <w:t>7</w:t>
      </w:r>
      <w:r>
        <w:rPr>
          <w:rFonts w:hint="eastAsia" w:ascii="宋体" w:hAnsi="宋体"/>
          <w:b/>
          <w:bCs/>
          <w:sz w:val="32"/>
          <w:szCs w:val="32"/>
        </w:rPr>
        <w:t>月</w:t>
      </w:r>
    </w:p>
    <w:p>
      <w:pPr>
        <w:adjustRightInd w:val="0"/>
        <w:snapToGrid w:val="0"/>
        <w:jc w:val="both"/>
        <w:rPr>
          <w:rFonts w:ascii="宋体" w:hAnsi="宋体" w:cs="Arial"/>
          <w:b/>
          <w:bCs/>
          <w:sz w:val="44"/>
          <w:szCs w:val="44"/>
        </w:rPr>
      </w:pPr>
    </w:p>
    <w:p>
      <w:pPr>
        <w:adjustRightInd w:val="0"/>
        <w:snapToGrid w:val="0"/>
        <w:jc w:val="center"/>
        <w:rPr>
          <w:rFonts w:ascii="宋体" w:hAnsi="宋体" w:cs="Arial"/>
          <w:b/>
          <w:bCs/>
          <w:color w:val="auto"/>
          <w:sz w:val="44"/>
          <w:szCs w:val="44"/>
        </w:rPr>
      </w:pPr>
      <w:r>
        <w:rPr>
          <w:rFonts w:hint="eastAsia" w:ascii="宋体" w:hAnsi="宋体" w:cs="Arial"/>
          <w:b/>
          <w:bCs/>
          <w:color w:val="auto"/>
          <w:sz w:val="44"/>
          <w:szCs w:val="44"/>
        </w:rPr>
        <w:t>深圳市公共设施全生命周期建设运营管理和项目谋划</w:t>
      </w:r>
      <w:r>
        <w:rPr>
          <w:rFonts w:hint="eastAsia" w:ascii="宋体" w:hAnsi="宋体" w:cs="Arial"/>
          <w:b/>
          <w:bCs/>
          <w:color w:val="auto"/>
          <w:sz w:val="44"/>
          <w:szCs w:val="44"/>
          <w:lang w:eastAsia="zh-CN"/>
        </w:rPr>
        <w:t>预</w:t>
      </w:r>
      <w:r>
        <w:rPr>
          <w:rFonts w:hint="eastAsia" w:ascii="宋体" w:hAnsi="宋体" w:cs="Arial"/>
          <w:b/>
          <w:bCs/>
          <w:color w:val="auto"/>
          <w:sz w:val="44"/>
          <w:szCs w:val="44"/>
        </w:rPr>
        <w:t>研招标书</w:t>
      </w:r>
    </w:p>
    <w:p>
      <w:pPr>
        <w:spacing w:line="560" w:lineRule="exact"/>
        <w:ind w:firstLine="643" w:firstLineChars="200"/>
        <w:rPr>
          <w:rFonts w:ascii="黑体" w:hAnsi="黑体" w:eastAsia="黑体"/>
          <w:b/>
          <w:bCs/>
          <w:color w:val="auto"/>
          <w:sz w:val="32"/>
          <w:szCs w:val="32"/>
        </w:rPr>
      </w:pPr>
    </w:p>
    <w:p>
      <w:pPr>
        <w:adjustRightInd w:val="0"/>
        <w:snapToGrid w:val="0"/>
        <w:spacing w:line="560" w:lineRule="exact"/>
        <w:ind w:firstLine="640" w:firstLineChars="200"/>
        <w:outlineLvl w:val="0"/>
        <w:rPr>
          <w:rFonts w:ascii="黑体" w:hAnsi="黑体" w:eastAsia="黑体"/>
          <w:b w:val="0"/>
          <w:bCs w:val="0"/>
          <w:color w:val="auto"/>
          <w:sz w:val="32"/>
          <w:szCs w:val="32"/>
        </w:rPr>
      </w:pPr>
      <w:r>
        <w:rPr>
          <w:rFonts w:hint="eastAsia" w:ascii="黑体" w:hAnsi="黑体" w:eastAsia="黑体"/>
          <w:b w:val="0"/>
          <w:bCs w:val="0"/>
          <w:color w:val="auto"/>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（一）项目名称：深圳市公共设施全生命周期建设运营管理和项目谋划</w:t>
      </w:r>
      <w:r>
        <w:rPr>
          <w:rFonts w:hint="eastAsia" w:ascii="仿宋_GB2312" w:hAnsi="仿宋" w:eastAsia="仿宋_GB2312" w:cs="仿宋_GB2312"/>
          <w:color w:val="auto"/>
          <w:sz w:val="32"/>
          <w:szCs w:val="32"/>
          <w:lang w:eastAsia="zh-CN"/>
        </w:rPr>
        <w:t>预</w:t>
      </w:r>
      <w:r>
        <w:rPr>
          <w:rFonts w:hint="eastAsia" w:ascii="仿宋_GB2312" w:hAnsi="仿宋" w:eastAsia="仿宋_GB2312" w:cs="仿宋_GB2312"/>
          <w:color w:val="auto"/>
          <w:sz w:val="32"/>
          <w:szCs w:val="32"/>
        </w:rPr>
        <w:t>研。</w:t>
      </w:r>
    </w:p>
    <w:p>
      <w:pPr>
        <w:adjustRightInd w:val="0"/>
        <w:snapToGrid w:val="0"/>
        <w:spacing w:line="560" w:lineRule="exact"/>
        <w:ind w:firstLine="640" w:firstLineChars="200"/>
        <w:outlineLvl w:val="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（二）服务期限：自合同签订之日起</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rPr>
        <w:t>个月</w:t>
      </w:r>
      <w:r>
        <w:rPr>
          <w:rFonts w:hint="eastAsia" w:ascii="仿宋_GB2312" w:hAnsi="仿宋" w:eastAsia="仿宋_GB2312" w:cs="仿宋_GB2312"/>
          <w:color w:val="auto"/>
          <w:sz w:val="32"/>
          <w:szCs w:val="32"/>
          <w:lang w:eastAsia="zh-CN"/>
        </w:rPr>
        <w:t>。</w:t>
      </w:r>
    </w:p>
    <w:p>
      <w:pPr>
        <w:adjustRightInd w:val="0"/>
        <w:snapToGrid w:val="0"/>
        <w:spacing w:line="560" w:lineRule="exact"/>
        <w:ind w:firstLine="640" w:firstLineChars="200"/>
        <w:outlineLvl w:val="0"/>
        <w:rPr>
          <w:rFonts w:hint="eastAsia" w:ascii="仿宋_GB2312" w:hAnsi="仿宋" w:eastAsia="仿宋_GB2312" w:cs="仿宋_GB2312"/>
          <w:color w:val="auto"/>
          <w:sz w:val="32"/>
          <w:szCs w:val="32"/>
          <w:highlight w:val="yellow"/>
          <w:lang w:eastAsia="zh-CN"/>
        </w:rPr>
      </w:pPr>
      <w:r>
        <w:rPr>
          <w:rFonts w:hint="eastAsia" w:ascii="仿宋_GB2312" w:hAnsi="仿宋" w:eastAsia="仿宋_GB2312" w:cs="仿宋_GB2312"/>
          <w:color w:val="auto"/>
          <w:sz w:val="32"/>
          <w:szCs w:val="32"/>
        </w:rPr>
        <w:t>（三）项目预算：</w:t>
      </w:r>
      <w:r>
        <w:rPr>
          <w:rFonts w:hint="eastAsia" w:ascii="仿宋_GB2312" w:hAnsi="仿宋" w:eastAsia="仿宋_GB2312" w:cs="仿宋_GB2312"/>
          <w:color w:val="auto"/>
          <w:sz w:val="32"/>
          <w:szCs w:val="32"/>
          <w:lang w:eastAsia="zh-CN"/>
        </w:rPr>
        <w:t>上限</w:t>
      </w:r>
      <w:r>
        <w:rPr>
          <w:rFonts w:hint="eastAsia" w:ascii="仿宋_GB2312" w:hAnsi="仿宋" w:eastAsia="仿宋_GB2312" w:cs="仿宋_GB2312"/>
          <w:color w:val="auto"/>
          <w:sz w:val="32"/>
          <w:szCs w:val="32"/>
          <w:lang w:val="en-US" w:eastAsia="zh-CN"/>
        </w:rPr>
        <w:t>46.7</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adjustRightInd w:val="0"/>
        <w:snapToGrid w:val="0"/>
        <w:spacing w:line="560" w:lineRule="exact"/>
        <w:ind w:firstLine="640" w:firstLineChars="200"/>
        <w:outlineLvl w:val="0"/>
        <w:rPr>
          <w:rFonts w:ascii="黑体" w:hAnsi="黑体" w:eastAsia="黑体"/>
          <w:b w:val="0"/>
          <w:bCs w:val="0"/>
          <w:color w:val="auto"/>
          <w:sz w:val="32"/>
          <w:szCs w:val="32"/>
        </w:rPr>
      </w:pPr>
      <w:r>
        <w:rPr>
          <w:rFonts w:hint="eastAsia" w:ascii="黑体" w:hAnsi="黑体" w:eastAsia="黑体"/>
          <w:b w:val="0"/>
          <w:bCs w:val="0"/>
          <w:color w:val="auto"/>
          <w:sz w:val="32"/>
          <w:szCs w:val="32"/>
        </w:rPr>
        <w:t>二、项目内容</w:t>
      </w:r>
    </w:p>
    <w:p>
      <w:pPr>
        <w:numPr>
          <w:ilvl w:val="0"/>
          <w:numId w:val="1"/>
        </w:numPr>
        <w:adjustRightInd w:val="0"/>
        <w:snapToGrid w:val="0"/>
        <w:spacing w:line="560" w:lineRule="exact"/>
        <w:ind w:firstLine="640" w:firstLineChars="200"/>
        <w:outlineLvl w:val="0"/>
        <w:rPr>
          <w:rFonts w:hint="eastAsia" w:ascii="仿宋_GB2312" w:hAnsi="仿宋" w:eastAsia="仿宋_GB2312" w:cs="仿宋_GB2312"/>
          <w:bCs w:val="0"/>
          <w:color w:val="auto"/>
          <w:sz w:val="32"/>
          <w:szCs w:val="32"/>
          <w:lang w:val="en-US" w:eastAsia="zh-CN"/>
        </w:rPr>
      </w:pPr>
      <w:r>
        <w:rPr>
          <w:rFonts w:hint="eastAsia" w:ascii="仿宋_GB2312" w:hAnsi="仿宋" w:eastAsia="仿宋_GB2312" w:cs="仿宋_GB2312"/>
          <w:bCs w:val="0"/>
          <w:color w:val="auto"/>
          <w:sz w:val="32"/>
          <w:szCs w:val="32"/>
          <w:lang w:val="en-US" w:eastAsia="zh-CN"/>
        </w:rPr>
        <w:t>研究分析现行工程建设领域的国家政策法规的问题研究。</w:t>
      </w:r>
    </w:p>
    <w:p>
      <w:pPr>
        <w:numPr>
          <w:ilvl w:val="0"/>
          <w:numId w:val="1"/>
        </w:numPr>
        <w:adjustRightInd w:val="0"/>
        <w:snapToGrid w:val="0"/>
        <w:spacing w:line="560" w:lineRule="exact"/>
        <w:ind w:firstLine="640" w:firstLineChars="200"/>
        <w:outlineLvl w:val="0"/>
        <w:rPr>
          <w:rFonts w:hint="eastAsia" w:ascii="仿宋_GB2312" w:hAnsi="仿宋" w:eastAsia="仿宋_GB2312" w:cs="仿宋_GB2312"/>
          <w:bCs w:val="0"/>
          <w:color w:val="auto"/>
          <w:sz w:val="32"/>
          <w:szCs w:val="32"/>
          <w:lang w:val="en-US" w:eastAsia="zh-CN"/>
        </w:rPr>
      </w:pPr>
      <w:r>
        <w:rPr>
          <w:rFonts w:hint="eastAsia" w:ascii="仿宋_GB2312" w:hAnsi="仿宋" w:eastAsia="仿宋_GB2312" w:cs="仿宋_GB2312"/>
          <w:bCs w:val="0"/>
          <w:color w:val="auto"/>
          <w:sz w:val="32"/>
          <w:szCs w:val="32"/>
          <w:lang w:val="en-US" w:eastAsia="zh-CN"/>
        </w:rPr>
        <w:t>研究分析公共设施项目典型案例建设过程存在的问题。</w:t>
      </w:r>
    </w:p>
    <w:p>
      <w:pPr>
        <w:numPr>
          <w:ilvl w:val="0"/>
          <w:numId w:val="1"/>
        </w:numPr>
        <w:adjustRightInd w:val="0"/>
        <w:snapToGrid w:val="0"/>
        <w:spacing w:line="560" w:lineRule="exact"/>
        <w:ind w:firstLine="640" w:firstLineChars="200"/>
        <w:outlineLvl w:val="0"/>
        <w:rPr>
          <w:rFonts w:hint="eastAsia" w:ascii="仿宋_GB2312" w:hAnsi="仿宋" w:eastAsia="仿宋_GB2312" w:cs="仿宋_GB2312"/>
          <w:bCs w:val="0"/>
          <w:color w:val="auto"/>
          <w:sz w:val="32"/>
          <w:szCs w:val="32"/>
          <w:lang w:val="en-US" w:eastAsia="zh-CN"/>
        </w:rPr>
      </w:pPr>
      <w:r>
        <w:rPr>
          <w:rFonts w:hint="eastAsia" w:ascii="仿宋_GB2312" w:hAnsi="仿宋" w:eastAsia="仿宋_GB2312" w:cs="仿宋_GB2312"/>
          <w:bCs w:val="0"/>
          <w:color w:val="auto"/>
          <w:sz w:val="32"/>
          <w:szCs w:val="32"/>
          <w:lang w:val="en-US" w:eastAsia="zh-CN"/>
        </w:rPr>
        <w:t>研究分析公共设施项目典型案例运营阶段存在的问题。</w:t>
      </w:r>
    </w:p>
    <w:p>
      <w:pPr>
        <w:numPr>
          <w:ilvl w:val="0"/>
          <w:numId w:val="1"/>
        </w:numPr>
        <w:adjustRightInd w:val="0"/>
        <w:snapToGrid w:val="0"/>
        <w:spacing w:line="560" w:lineRule="exact"/>
        <w:ind w:firstLine="640" w:firstLineChars="200"/>
        <w:outlineLvl w:val="0"/>
        <w:rPr>
          <w:rFonts w:hint="eastAsia" w:ascii="仿宋_GB2312" w:hAnsi="仿宋" w:eastAsia="仿宋_GB2312" w:cs="仿宋_GB2312"/>
          <w:bCs w:val="0"/>
          <w:color w:val="auto"/>
          <w:sz w:val="32"/>
          <w:szCs w:val="32"/>
          <w:lang w:val="en-US" w:eastAsia="zh-CN"/>
        </w:rPr>
      </w:pPr>
      <w:r>
        <w:rPr>
          <w:rFonts w:hint="eastAsia" w:ascii="仿宋_GB2312" w:hAnsi="仿宋" w:eastAsia="仿宋_GB2312" w:cs="仿宋_GB2312"/>
          <w:bCs w:val="0"/>
          <w:color w:val="auto"/>
          <w:sz w:val="32"/>
          <w:szCs w:val="32"/>
          <w:lang w:val="en-US" w:eastAsia="zh-CN"/>
        </w:rPr>
        <w:t>从全生命周期投资管控的角度，以投资控制为主线，结合全生命周期工作流程图及问题清单，剖析公共设施项目典型案例在全生命周期建设和运营过程中存在问题产生的原因，分析各方在各个阶段中投资管控中的重点及难点。</w:t>
      </w:r>
    </w:p>
    <w:p>
      <w:pPr>
        <w:numPr>
          <w:ilvl w:val="0"/>
          <w:numId w:val="1"/>
        </w:numPr>
        <w:adjustRightInd w:val="0"/>
        <w:snapToGrid w:val="0"/>
        <w:spacing w:line="560" w:lineRule="exact"/>
        <w:ind w:firstLine="640" w:firstLineChars="200"/>
        <w:outlineLvl w:val="0"/>
        <w:rPr>
          <w:rFonts w:hint="eastAsia" w:ascii="仿宋_GB2312" w:hAnsi="仿宋" w:eastAsia="仿宋_GB2312" w:cs="仿宋_GB2312"/>
          <w:bCs w:val="0"/>
          <w:color w:val="auto"/>
          <w:sz w:val="32"/>
          <w:szCs w:val="32"/>
        </w:rPr>
      </w:pPr>
      <w:r>
        <w:rPr>
          <w:rFonts w:hint="eastAsia" w:ascii="仿宋_GB2312" w:hAnsi="仿宋" w:eastAsia="仿宋_GB2312" w:cs="仿宋_GB2312"/>
          <w:bCs w:val="0"/>
          <w:color w:val="auto"/>
          <w:sz w:val="32"/>
          <w:szCs w:val="32"/>
          <w:lang w:val="en-US" w:eastAsia="zh-CN"/>
        </w:rPr>
        <w:t>建议实施全生命周期建管的试点公共设施项目，并对谋划项目未来建设和运营过程中面临的风险进行预判研究，结合前述的研究分析及问题清单图表，研究提出投资控制下谋划项目全生命周期建设和运营管理工作及事权优化建议，为后续公共设施项目各辖区各主体差异化储备情况、推进时限、年度目标预计完成情况等提供有力参考。</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三、项目实施要求</w:t>
      </w:r>
    </w:p>
    <w:p>
      <w:pPr>
        <w:pStyle w:val="2"/>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（一）项目成果应遵循国家颁布的有关</w:t>
      </w:r>
      <w:r>
        <w:rPr>
          <w:rFonts w:hint="eastAsia" w:ascii="仿宋_GB2312" w:hAnsi="Times New Roman" w:eastAsia="仿宋_GB2312"/>
          <w:b w:val="0"/>
          <w:color w:val="auto"/>
          <w:lang w:eastAsia="zh-CN"/>
        </w:rPr>
        <w:t>法律法规</w:t>
      </w:r>
      <w:r>
        <w:rPr>
          <w:rFonts w:hint="eastAsia" w:ascii="仿宋_GB2312" w:hAnsi="Times New Roman" w:eastAsia="仿宋_GB2312"/>
          <w:b w:val="0"/>
          <w:color w:val="auto"/>
        </w:rPr>
        <w:t>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（二）研究过程中应当进行深入调查研究，充分把握深圳现有基础条件、存在问题等相关信息和基础资料。</w:t>
      </w:r>
    </w:p>
    <w:p>
      <w:pPr>
        <w:pStyle w:val="2"/>
        <w:keepNext w:val="0"/>
        <w:keepLines w:val="0"/>
        <w:spacing w:before="0" w:after="0" w:line="560" w:lineRule="exact"/>
        <w:ind w:firstLine="640" w:firstLineChars="200"/>
        <w:rPr>
          <w:color w:val="auto"/>
        </w:rPr>
      </w:pPr>
      <w:r>
        <w:rPr>
          <w:rFonts w:hint="eastAsia" w:ascii="仿宋_GB2312" w:hAnsi="Times New Roman" w:eastAsia="仿宋_GB2312"/>
          <w:b w:val="0"/>
          <w:color w:val="auto"/>
        </w:rPr>
        <w:t>（三）研究成果要具有前瞻性，面向未来、视野开阔；具有系统性，体系完整、内容全面、材料丰富；具有实用性，符合深圳实际情况，针对性和可操作性强。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四、项目成果交付要求</w:t>
      </w:r>
    </w:p>
    <w:p>
      <w:pPr>
        <w:spacing w:line="560" w:lineRule="exact"/>
        <w:ind w:firstLine="640" w:firstLineChars="200"/>
        <w:rPr>
          <w:rFonts w:ascii="Times New Roman" w:hAnsi="Times New Roman" w:eastAsia="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提交研究成果纸</w:t>
      </w:r>
      <w:r>
        <w:rPr>
          <w:rFonts w:hint="eastAsia" w:ascii="仿宋_GB2312" w:hAnsi="仿宋_GB2312" w:eastAsia="仿宋_GB2312" w:cs="仿宋_GB2312"/>
          <w:color w:val="000000" w:themeColor="text1"/>
          <w:sz w:val="32"/>
          <w:szCs w:val="24"/>
          <w14:textFill>
            <w14:solidFill>
              <w14:schemeClr w14:val="tx1"/>
            </w14:solidFill>
          </w14:textFill>
        </w:rPr>
        <w:t>质版</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24"/>
          <w14:textFill>
            <w14:solidFill>
              <w14:schemeClr w14:val="tx1"/>
            </w14:solidFill>
          </w14:textFill>
        </w:rPr>
        <w:t>份</w:t>
      </w:r>
      <w:r>
        <w:rPr>
          <w:rFonts w:hint="eastAsia" w:ascii="Times New Roman" w:hAnsi="Times New Roman" w:eastAsia="仿宋_GB2312"/>
          <w:color w:val="000000" w:themeColor="text1"/>
          <w:sz w:val="32"/>
          <w:szCs w:val="24"/>
          <w14:textFill>
            <w14:solidFill>
              <w14:schemeClr w14:val="tx1"/>
            </w14:solidFill>
          </w14:textFill>
        </w:rPr>
        <w:t>和电子版，文件能够简明扼要介绍成果核心内容与主要结论。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六、投标时间、方式及联系人</w:t>
      </w:r>
    </w:p>
    <w:p>
      <w:pPr>
        <w:spacing w:line="560" w:lineRule="exact"/>
        <w:ind w:firstLine="640" w:firstLineChars="200"/>
        <w:rPr>
          <w:rFonts w:ascii="Times New Roman" w:hAnsi="Times New Roman" w:eastAsia="仿宋_GB2312"/>
          <w:color w:val="0000FF"/>
          <w:sz w:val="32"/>
          <w:szCs w:val="24"/>
        </w:rPr>
      </w:pPr>
      <w:r>
        <w:rPr>
          <w:rFonts w:hint="eastAsia" w:ascii="Times New Roman" w:hAnsi="Times New Roman" w:eastAsia="仿宋_GB2312"/>
          <w:color w:val="000000" w:themeColor="text1"/>
          <w:sz w:val="32"/>
          <w:szCs w:val="24"/>
          <w14:textFill>
            <w14:solidFill>
              <w14:schemeClr w14:val="tx1"/>
            </w14:solidFill>
          </w14:textFill>
        </w:rPr>
        <w:t>（一）投标</w:t>
      </w:r>
      <w:r>
        <w:rPr>
          <w:rFonts w:ascii="仿宋_GB2312" w:hAnsi="仿宋_GB2312" w:eastAsia="仿宋_GB2312" w:cs="仿宋_GB2312"/>
          <w:color w:val="000000" w:themeColor="text1"/>
          <w:sz w:val="32"/>
          <w:szCs w:val="24"/>
          <w14:textFill>
            <w14:solidFill>
              <w14:schemeClr w14:val="tx1"/>
            </w14:solidFill>
          </w14:textFill>
        </w:rPr>
        <w:t>时间：202</w:t>
      </w:r>
      <w:r>
        <w:rPr>
          <w:rFonts w:hint="eastAsia" w:ascii="仿宋_GB2312" w:hAnsi="仿宋_GB2312" w:eastAsia="仿宋_GB2312" w:cs="仿宋_GB2312"/>
          <w:color w:val="000000" w:themeColor="text1"/>
          <w:sz w:val="32"/>
          <w:szCs w:val="24"/>
          <w14:textFill>
            <w14:solidFill>
              <w14:schemeClr w14:val="tx1"/>
            </w14:solidFill>
          </w14:textFill>
        </w:rPr>
        <w:t>4</w:t>
      </w:r>
      <w:r>
        <w:rPr>
          <w:rFonts w:ascii="仿宋_GB2312" w:hAnsi="仿宋_GB2312" w:eastAsia="仿宋_GB2312" w:cs="仿宋_GB2312"/>
          <w:color w:val="000000" w:themeColor="text1"/>
          <w:sz w:val="32"/>
          <w:szCs w:val="24"/>
          <w14:textFill>
            <w14:solidFill>
              <w14:schemeClr w14:val="tx1"/>
            </w14:solidFill>
          </w14:textFill>
        </w:rPr>
        <w:t>年</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7</w:t>
      </w:r>
      <w:r>
        <w:rPr>
          <w:rFonts w:ascii="仿宋_GB2312" w:hAnsi="仿宋_GB2312" w:eastAsia="仿宋_GB2312" w:cs="仿宋_GB2312"/>
          <w:color w:val="000000" w:themeColor="text1"/>
          <w:sz w:val="32"/>
          <w:szCs w:val="24"/>
          <w14:textFill>
            <w14:solidFill>
              <w14:schemeClr w14:val="tx1"/>
            </w14:solidFill>
          </w14:textFill>
        </w:rPr>
        <w:t>月</w:t>
      </w:r>
      <w:r>
        <w:rPr>
          <w:rFonts w:hint="eastAsia" w:ascii="仿宋_GB2312" w:hAnsi="仿宋_GB2312" w:eastAsia="仿宋_GB2312" w:cs="仿宋_GB2312"/>
          <w:color w:val="auto"/>
          <w:sz w:val="32"/>
          <w:szCs w:val="24"/>
          <w:lang w:val="en-US" w:eastAsia="zh-CN"/>
        </w:rPr>
        <w:t>1</w:t>
      </w:r>
      <w:r>
        <w:rPr>
          <w:rFonts w:ascii="仿宋_GB2312" w:hAnsi="仿宋_GB2312" w:eastAsia="仿宋_GB2312" w:cs="仿宋_GB2312"/>
          <w:color w:val="auto"/>
          <w:sz w:val="32"/>
          <w:szCs w:val="24"/>
        </w:rPr>
        <w:t>日至20</w:t>
      </w:r>
      <w:r>
        <w:rPr>
          <w:rFonts w:hint="eastAsia" w:ascii="仿宋_GB2312" w:hAnsi="仿宋_GB2312" w:eastAsia="仿宋_GB2312" w:cs="仿宋_GB2312"/>
          <w:color w:val="auto"/>
          <w:sz w:val="32"/>
          <w:szCs w:val="24"/>
        </w:rPr>
        <w:t>24</w:t>
      </w:r>
      <w:r>
        <w:rPr>
          <w:rFonts w:ascii="仿宋_GB2312" w:hAnsi="仿宋_GB2312" w:eastAsia="仿宋_GB2312" w:cs="仿宋_GB2312"/>
          <w:color w:val="auto"/>
          <w:sz w:val="32"/>
          <w:szCs w:val="24"/>
        </w:rPr>
        <w:t>年</w:t>
      </w:r>
      <w:r>
        <w:rPr>
          <w:rFonts w:hint="eastAsia" w:ascii="仿宋_GB2312" w:hAnsi="仿宋_GB2312" w:eastAsia="仿宋_GB2312" w:cs="仿宋_GB2312"/>
          <w:color w:val="auto"/>
          <w:sz w:val="32"/>
          <w:szCs w:val="24"/>
          <w:lang w:val="en-US" w:eastAsia="zh-CN"/>
        </w:rPr>
        <w:t>7</w:t>
      </w:r>
      <w:r>
        <w:rPr>
          <w:rFonts w:ascii="仿宋_GB2312" w:hAnsi="仿宋_GB2312" w:eastAsia="仿宋_GB2312" w:cs="仿宋_GB2312"/>
          <w:color w:val="auto"/>
          <w:sz w:val="32"/>
          <w:szCs w:val="24"/>
        </w:rPr>
        <w:t>月</w:t>
      </w:r>
      <w:r>
        <w:rPr>
          <w:rFonts w:hint="eastAsia" w:ascii="仿宋_GB2312" w:hAnsi="仿宋_GB2312" w:eastAsia="仿宋_GB2312" w:cs="仿宋_GB2312"/>
          <w:color w:val="auto"/>
          <w:sz w:val="32"/>
          <w:szCs w:val="24"/>
          <w:lang w:val="en-US" w:eastAsia="zh-CN"/>
        </w:rPr>
        <w:t>11</w:t>
      </w:r>
      <w:r>
        <w:rPr>
          <w:rFonts w:ascii="仿宋_GB2312" w:hAnsi="仿宋_GB2312" w:eastAsia="仿宋_GB2312" w:cs="仿宋_GB2312"/>
          <w:color w:val="000000" w:themeColor="text1"/>
          <w:sz w:val="32"/>
          <w:szCs w:val="24"/>
          <w14:textFill>
            <w14:solidFill>
              <w14:schemeClr w14:val="tx1"/>
            </w14:solidFill>
          </w14:textFill>
        </w:rPr>
        <w:t>日，每日上午9:00-12:00，下午2:00-5:45（节假日除外）。逾期未投标将不再受理</w:t>
      </w:r>
      <w:r>
        <w:rPr>
          <w:rFonts w:hint="eastAsia" w:ascii="Times New Roman" w:hAnsi="Times New Roman" w:eastAsia="仿宋_GB2312"/>
          <w:color w:val="000000" w:themeColor="text1"/>
          <w:sz w:val="32"/>
          <w:szCs w:val="24"/>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（二）投</w:t>
      </w:r>
      <w:r>
        <w:rPr>
          <w:rFonts w:ascii="仿宋_GB2312" w:hAnsi="仿宋_GB2312" w:eastAsia="仿宋_GB2312" w:cs="仿宋_GB2312"/>
          <w:color w:val="000000" w:themeColor="text1"/>
          <w:sz w:val="32"/>
          <w:szCs w:val="24"/>
          <w14:textFill>
            <w14:solidFill>
              <w14:schemeClr w14:val="tx1"/>
            </w14:solidFill>
          </w14:textFill>
        </w:rPr>
        <w:t>标地点：深圳市福田区福中三路市民中心B区行政服务大厅2号市发展和改革委卡座（可邮寄，以送达日期为投标日期）。</w:t>
      </w:r>
    </w:p>
    <w:p>
      <w:pPr>
        <w:spacing w:line="560" w:lineRule="exact"/>
        <w:ind w:firstLine="640" w:firstLineChars="200"/>
        <w:rPr>
          <w:rFonts w:hint="eastAsia" w:ascii="仿宋_GB2312" w:hAnsi="仿宋_GB2312" w:eastAsia="仿宋_GB2312" w:cs="仿宋_GB2312"/>
          <w:color w:val="000000" w:themeColor="text1"/>
          <w:sz w:val="32"/>
          <w:szCs w:val="24"/>
          <w:lang w:eastAsia="zh-CN"/>
          <w14:textFill>
            <w14:solidFill>
              <w14:schemeClr w14:val="tx1"/>
            </w14:solidFill>
          </w14:textFill>
        </w:rPr>
      </w:pPr>
      <w:r>
        <w:rPr>
          <w:rFonts w:hint="eastAsia" w:ascii="仿宋_GB2312" w:hAnsi="仿宋_GB2312" w:eastAsia="仿宋_GB2312" w:cs="仿宋_GB2312"/>
          <w:color w:val="000000" w:themeColor="text1"/>
          <w:sz w:val="32"/>
          <w:szCs w:val="24"/>
          <w14:textFill>
            <w14:solidFill>
              <w14:schemeClr w14:val="tx1"/>
            </w14:solidFill>
          </w14:textFill>
        </w:rPr>
        <w:t>（三）联系人：</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陈俊锋</w:t>
      </w:r>
      <w:r>
        <w:rPr>
          <w:rFonts w:hint="eastAsia" w:ascii="仿宋_GB2312" w:hAnsi="仿宋_GB2312" w:eastAsia="仿宋_GB2312" w:cs="仿宋_GB2312"/>
          <w:color w:val="000000" w:themeColor="text1"/>
          <w:sz w:val="32"/>
          <w:szCs w:val="24"/>
          <w14:textFill>
            <w14:solidFill>
              <w14:schemeClr w14:val="tx1"/>
            </w14:solidFill>
          </w14:textFill>
        </w:rPr>
        <w:t>，0755-8812</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7315</w:t>
      </w:r>
      <w:r>
        <w:rPr>
          <w:rFonts w:hint="eastAsia" w:ascii="仿宋_GB2312" w:hAnsi="仿宋_GB2312" w:eastAsia="仿宋_GB2312" w:cs="仿宋_GB2312"/>
          <w:color w:val="000000" w:themeColor="text1"/>
          <w:sz w:val="32"/>
          <w:szCs w:val="24"/>
          <w:lang w:eastAsia="zh-CN"/>
          <w14:textFill>
            <w14:solidFill>
              <w14:schemeClr w14:val="tx1"/>
            </w14:solidFill>
          </w14:textFill>
        </w:rPr>
        <w:t>。</w:t>
      </w:r>
    </w:p>
    <w:p>
      <w:pPr>
        <w:adjustRightInd w:val="0"/>
        <w:snapToGrid w:val="0"/>
        <w:spacing w:line="560" w:lineRule="exact"/>
        <w:ind w:firstLine="640" w:firstLineChars="200"/>
        <w:outlineLvl w:val="0"/>
        <w:rPr>
          <w:rFonts w:ascii="黑体" w:hAnsi="黑体" w:eastAsia="黑体"/>
          <w:b w:val="0"/>
          <w:bCs w:val="0"/>
          <w:color w:val="auto"/>
          <w:sz w:val="32"/>
          <w:szCs w:val="32"/>
        </w:rPr>
      </w:pPr>
      <w:r>
        <w:rPr>
          <w:rFonts w:ascii="黑体" w:hAnsi="黑体" w:eastAsia="黑体"/>
          <w:b w:val="0"/>
          <w:bCs w:val="0"/>
          <w:color w:val="auto"/>
          <w:sz w:val="32"/>
          <w:szCs w:val="32"/>
        </w:rPr>
        <w:t>七</w:t>
      </w:r>
      <w:r>
        <w:rPr>
          <w:rFonts w:hint="eastAsia" w:ascii="黑体" w:hAnsi="黑体" w:eastAsia="黑体"/>
          <w:b w:val="0"/>
          <w:bCs w:val="0"/>
          <w:color w:val="auto"/>
          <w:sz w:val="32"/>
          <w:szCs w:val="32"/>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w:t>
      </w:r>
      <w:r>
        <w:rPr>
          <w:rFonts w:hint="eastAsia" w:ascii="仿宋_GB2312" w:hAnsi="Times New Roman" w:eastAsia="仿宋_GB2312"/>
          <w:bCs/>
          <w:sz w:val="32"/>
          <w:szCs w:val="32"/>
          <w:lang w:eastAsia="zh-CN"/>
        </w:rPr>
        <w:t>的其他</w:t>
      </w:r>
      <w:r>
        <w:rPr>
          <w:rFonts w:hint="eastAsia" w:ascii="仿宋_GB2312" w:hAnsi="Times New Roman" w:eastAsia="仿宋_GB2312"/>
          <w:bCs/>
          <w:sz w:val="32"/>
          <w:szCs w:val="32"/>
        </w:rPr>
        <w:t>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投标文件纸质版一式</w:t>
      </w:r>
      <w:r>
        <w:rPr>
          <w:rFonts w:hint="eastAsia" w:ascii="仿宋_GB2312" w:hAnsi="Times New Roman" w:eastAsia="仿宋_GB2312"/>
          <w:bCs/>
          <w:sz w:val="32"/>
          <w:szCs w:val="32"/>
          <w:lang w:eastAsia="zh-CN"/>
        </w:rPr>
        <w:t>六</w:t>
      </w:r>
      <w:r>
        <w:rPr>
          <w:rFonts w:hint="eastAsia" w:ascii="仿宋_GB2312" w:hAnsi="Times New Roman" w:eastAsia="仿宋_GB2312"/>
          <w:bCs/>
          <w:sz w:val="32"/>
          <w:szCs w:val="32"/>
        </w:rPr>
        <w:t>份</w:t>
      </w:r>
      <w:r>
        <w:rPr>
          <w:rFonts w:hint="eastAsia" w:ascii="仿宋_GB2312" w:hAnsi="Times New Roman" w:eastAsia="仿宋_GB2312"/>
          <w:bCs/>
          <w:sz w:val="32"/>
          <w:szCs w:val="32"/>
          <w:lang w:eastAsia="zh-CN"/>
        </w:rPr>
        <w:t>（另附光盘拷贝电子版）</w:t>
      </w:r>
      <w:r>
        <w:rPr>
          <w:rFonts w:hint="eastAsia" w:ascii="仿宋_GB2312" w:hAnsi="Times New Roman" w:eastAsia="仿宋_GB2312"/>
          <w:bCs/>
          <w:sz w:val="32"/>
          <w:szCs w:val="32"/>
        </w:rPr>
        <w:t>，整套材料密封并加盖骑缝章，封面注明投标人的名称、地址、联系人及手机号码。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w:t>
      </w:r>
      <w:r>
        <w:rPr>
          <w:rFonts w:hint="eastAsia" w:ascii="仿宋_GB2312" w:hAnsi="Times New Roman" w:eastAsia="仿宋_GB2312"/>
          <w:bCs/>
          <w:sz w:val="32"/>
          <w:szCs w:val="32"/>
          <w:lang w:eastAsia="zh-CN"/>
        </w:rPr>
        <w:t>法律法规</w:t>
      </w:r>
      <w:r>
        <w:rPr>
          <w:rFonts w:hint="eastAsia" w:ascii="仿宋_GB2312" w:hAnsi="Times New Roman" w:eastAsia="仿宋_GB2312"/>
          <w:bCs/>
          <w:sz w:val="32"/>
          <w:szCs w:val="32"/>
        </w:rPr>
        <w:t>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（二）综合评分表</w:t>
      </w:r>
    </w:p>
    <w:tbl>
      <w:tblPr>
        <w:tblStyle w:val="5"/>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hint="eastAsia" w:ascii="宋体" w:hAnsi="宋体"/>
                <w:b/>
                <w:sz w:val="22"/>
                <w:szCs w:val="24"/>
                <w:lang w:val="en-US" w:eastAsia="zh-CN"/>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2</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eastAsia" w:ascii="宋体" w:hAnsi="宋体"/>
                <w:sz w:val="22"/>
                <w:szCs w:val="24"/>
                <w:lang w:eastAsia="zh-CN"/>
              </w:rPr>
            </w:pPr>
            <w:r>
              <w:rPr>
                <w:rFonts w:hint="eastAsia" w:ascii="宋体" w:hAnsi="宋体"/>
                <w:sz w:val="22"/>
                <w:szCs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default" w:ascii="宋体" w:hAnsi="宋体"/>
                <w:sz w:val="22"/>
                <w:szCs w:val="24"/>
                <w:lang w:val="en-US"/>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lang w:val="en-US" w:eastAsia="zh-CN"/>
              </w:rPr>
              <w:t>1</w:t>
            </w:r>
            <w:r>
              <w:rPr>
                <w:rFonts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2"/>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w:t>
            </w:r>
            <w:r>
              <w:rPr>
                <w:rFonts w:hint="eastAsia" w:ascii="宋体" w:hAnsi="宋体" w:cs="宋体"/>
                <w:kern w:val="0"/>
                <w:sz w:val="22"/>
                <w:szCs w:val="24"/>
                <w:lang w:eastAsia="zh-CN"/>
              </w:rPr>
              <w:t>的</w:t>
            </w:r>
            <w:r>
              <w:rPr>
                <w:rFonts w:hint="eastAsia" w:ascii="宋体" w:hAnsi="宋体" w:cs="宋体"/>
                <w:kern w:val="0"/>
                <w:sz w:val="22"/>
                <w:szCs w:val="24"/>
              </w:rPr>
              <w:t>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eastAsia" w:ascii="宋体" w:hAnsi="宋体"/>
                <w:b/>
                <w:sz w:val="22"/>
                <w:szCs w:val="24"/>
                <w:lang w:val="en-US" w:eastAsia="zh-CN"/>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w:t>
            </w:r>
            <w:r>
              <w:rPr>
                <w:rFonts w:hint="eastAsia" w:ascii="宋体" w:hAnsi="宋体" w:cs="宋体"/>
                <w:kern w:val="0"/>
                <w:sz w:val="22"/>
                <w:szCs w:val="24"/>
                <w:lang w:eastAsia="zh-CN"/>
              </w:rPr>
              <w:t>或</w:t>
            </w:r>
            <w:r>
              <w:rPr>
                <w:rFonts w:hint="eastAsia" w:ascii="宋体" w:hAnsi="宋体" w:cs="宋体"/>
                <w:kern w:val="0"/>
                <w:sz w:val="22"/>
                <w:szCs w:val="24"/>
              </w:rPr>
              <w:t>合同关键页</w:t>
            </w:r>
            <w:r>
              <w:rPr>
                <w:rFonts w:hint="eastAsia" w:ascii="宋体" w:hAnsi="宋体" w:cs="宋体"/>
                <w:kern w:val="0"/>
                <w:sz w:val="22"/>
                <w:szCs w:val="24"/>
                <w:lang w:eastAsia="zh-CN"/>
              </w:rPr>
              <w:t>以及</w:t>
            </w:r>
            <w:r>
              <w:rPr>
                <w:rFonts w:hint="eastAsia" w:ascii="宋体" w:hAnsi="宋体" w:cs="宋体"/>
                <w:kern w:val="0"/>
                <w:sz w:val="22"/>
                <w:szCs w:val="24"/>
              </w:rPr>
              <w:t>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投标人承担的研究项目，获得市级及以上级别的奖励，或作为市级及以上级别政策文件进行公开发布的，每提供1个得50%，最高得分不超过100%。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（1）项目负责人具有高级以上（含）职称或博士学位，得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（2）项目负责人主持或参与过国家、省或市级政策研究、规划编制评估等政府项目的，每提供1个得2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1</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hint="eastAsia" w:ascii="宋体" w:hAnsi="宋体"/>
                <w:b/>
                <w:sz w:val="22"/>
                <w:szCs w:val="24"/>
                <w:lang w:val="en-US" w:eastAsia="zh-CN"/>
              </w:rPr>
              <w:t>10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4"/>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bCs/>
                <w:sz w:val="22"/>
                <w:szCs w:val="24"/>
                <w:lang w:eastAsia="zh-CN"/>
              </w:rPr>
              <w:t>，</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hint="eastAsia" w:ascii="宋体" w:hAnsi="宋体"/>
          <w:b/>
          <w:sz w:val="24"/>
          <w:szCs w:val="24"/>
        </w:rPr>
      </w:pPr>
      <w:r>
        <w:rPr>
          <w:rFonts w:hint="eastAsia" w:ascii="宋体" w:hAnsi="宋体"/>
          <w:b/>
          <w:sz w:val="24"/>
          <w:szCs w:val="24"/>
        </w:rPr>
        <w:t>备注：</w:t>
      </w:r>
    </w:p>
    <w:p>
      <w:pPr>
        <w:spacing w:line="300" w:lineRule="exact"/>
        <w:ind w:firstLine="720" w:firstLineChars="300"/>
        <w:rPr>
          <w:rFonts w:ascii="宋体" w:hAnsi="宋体" w:cs="宋体"/>
          <w:kern w:val="0"/>
          <w:sz w:val="24"/>
          <w:szCs w:val="24"/>
        </w:rPr>
      </w:pP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w:t>
      </w:r>
      <w:r>
        <w:rPr>
          <w:rFonts w:hint="eastAsia" w:ascii="仿宋_GB2312" w:hAnsi="宋体" w:eastAsia="仿宋_GB2312" w:cs="仿宋_GB2312"/>
          <w:sz w:val="32"/>
          <w:szCs w:val="22"/>
          <w:lang w:eastAsia="zh-CN"/>
        </w:rPr>
        <w:t>所做的</w:t>
      </w:r>
      <w:r>
        <w:rPr>
          <w:rFonts w:hint="eastAsia" w:ascii="仿宋_GB2312" w:hAnsi="宋体" w:eastAsia="仿宋_GB2312" w:cs="仿宋_GB2312"/>
          <w:sz w:val="32"/>
          <w:szCs w:val="22"/>
        </w:rPr>
        <w:t>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-154305</wp:posOffset>
              </wp:positionV>
              <wp:extent cx="60579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605790" cy="1828800"/>
                      </a:xfrm>
                      <a:prstGeom prst="rect">
                        <a:avLst/>
                      </a:prstGeom>
                      <a:noFill/>
                      <a:ln w="9525">
                        <a:noFill/>
                      </a:ln>
                      <a:effectLst/>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square" lIns="0" tIns="0" rIns="0" bIns="0" anchor="t">
                      <a:spAutoFit/>
                    </wps:bodyPr>
                  </wps:wsp>
                </a:graphicData>
              </a:graphic>
            </wp:anchor>
          </w:drawing>
        </mc:Choice>
        <mc:Fallback>
          <w:pict>
            <v:shape id="文本框 1" o:spid="_x0000_s1026" o:spt="202" type="#_x0000_t202" style="position:absolute;left:0pt;margin-top:-12.15pt;height:144pt;width:47.7pt;mso-position-horizontal:outside;mso-position-horizontal-relative:margin;z-index:251659264;mso-width-relative:page;mso-height-relative:page;" filled="f" stroked="f" coordsize="21600,21600" o:gfxdata="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n6Ok1QAAAAcB&#10;AAAPAAAAAAAAAAEAIAAAACIAAABkcnMvZG93bnJldi54bWxQSwECFAAUAAAACACHTuJADnXITOUB&#10;AAC8AwAADgAAAAAAAAABACAAAAAkAQAAZHJzL2Uyb0RvYy54bWxQSwUGAAAAAAYABgBZAQAAewUA&#10;AAAA&#10;">
              <v:fill on="f" focussize="0,0"/>
              <v:stroke on="f"/>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-154305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15pt;height:144pt;width:144pt;mso-position-horizontal:outside;mso-position-horizontal-relative:margin;mso-wrap-style:none;z-index:251660288;mso-width-relative:page;mso-height-relative:page;" filled="f" stroked="f" coordsize="21600,21600" o:gfxdata="UEsDBAoAAAAAAIdO4kAAAAAAAAAAAAAAAAAEAAAAZHJzL1BLAwQUAAAACACHTuJABMMZ+N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wxn41gAAAAgBAAAPAAAAAAAAAAEAIAAAACIAAABkcnMvZG93bnJldi54bWxQ&#10;SwECFAAUAAAACACHTuJA2Zxg5DICAABjBAAADgAAAAAAAAABACAAAAAlAQAAZHJzL2Uyb0RvYy54&#10;bWxQSwUGAAAAAAYABgBZAQAAy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C64159"/>
    <w:multiLevelType w:val="singleLevel"/>
    <w:tmpl w:val="5FC64159"/>
    <w:lvl w:ilvl="0" w:tentative="0">
      <w:start w:val="1"/>
      <w:numFmt w:val="chineseCounting"/>
      <w:suff w:val="nothing"/>
      <w:lvlText w:val="（%1）"/>
      <w:lvlJc w:val="left"/>
      <w:pPr>
        <w:ind w:left="0" w:firstLine="420"/>
      </w:pPr>
      <w:rPr>
        <w:rFonts w:hint="eastAsia"/>
      </w:rPr>
    </w:lvl>
  </w:abstractNum>
  <w:abstractNum w:abstractNumId="3">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4A1947CF"/>
    <w:rsid w:val="166E2ADB"/>
    <w:rsid w:val="1ECF71A6"/>
    <w:rsid w:val="3BE354B4"/>
    <w:rsid w:val="4A1947CF"/>
    <w:rsid w:val="6FFB5CB1"/>
    <w:rsid w:val="7B779FF1"/>
    <w:rsid w:val="7BF36891"/>
    <w:rsid w:val="7CBF4647"/>
    <w:rsid w:val="9B79A6B6"/>
    <w:rsid w:val="A7DBC749"/>
    <w:rsid w:val="BABDFDEA"/>
    <w:rsid w:val="BF5DADFB"/>
    <w:rsid w:val="CB6F7E24"/>
    <w:rsid w:val="CD73F54C"/>
    <w:rsid w:val="DF61D141"/>
    <w:rsid w:val="E56F125F"/>
    <w:rsid w:val="EAEF9FFA"/>
    <w:rsid w:val="F8D9CFC1"/>
    <w:rsid w:val="FBDD65AE"/>
    <w:rsid w:val="FFBD3731"/>
    <w:rsid w:val="FFF9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styleId="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小陈</cp:lastModifiedBy>
  <dcterms:modified xsi:type="dcterms:W3CDTF">2024-07-01T09:27:31Z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E41757CDB15D4E968C59E65496CA16A4_13</vt:lpwstr>
  </property>
</Properties>
</file>