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600" w:lineRule="exact"/>
        <w:rPr>
          <w:rFonts w:hint="eastAsia" w:ascii="黑体" w:hAnsi="黑体" w:eastAsia="黑体" w:cs="CESI黑体-GB2312"/>
          <w:color w:val="000000" w:themeColor="text1"/>
          <w:kern w:val="0"/>
          <w:sz w:val="32"/>
          <w:szCs w:val="32"/>
          <w14:textFill>
            <w14:solidFill>
              <w14:schemeClr w14:val="tx1"/>
            </w14:solidFill>
          </w14:textFill>
        </w:rPr>
      </w:pPr>
      <w:bookmarkStart w:id="4" w:name="_GoBack"/>
      <w:bookmarkEnd w:id="4"/>
      <w:r>
        <w:rPr>
          <w:rFonts w:hint="eastAsia" w:ascii="黑体" w:hAnsi="黑体" w:eastAsia="黑体" w:cs="CESI黑体-GB2312"/>
          <w:color w:val="000000" w:themeColor="text1"/>
          <w:kern w:val="0"/>
          <w:sz w:val="32"/>
          <w:szCs w:val="32"/>
          <w14:textFill>
            <w14:solidFill>
              <w14:schemeClr w14:val="tx1"/>
            </w14:solidFill>
          </w14:textFill>
        </w:rPr>
        <w:t>附件</w:t>
      </w:r>
    </w:p>
    <w:p>
      <w:pPr>
        <w:overflowPunct w:val="0"/>
        <w:adjustRightInd w:val="0"/>
        <w:snapToGrid w:val="0"/>
        <w:spacing w:line="600" w:lineRule="exact"/>
        <w:jc w:val="center"/>
        <w:rPr>
          <w:rFonts w:hint="eastAsia" w:cs="方正小标宋简体" w:asciiTheme="majorEastAsia" w:hAnsiTheme="majorEastAsia" w:eastAsiaTheme="majorEastAsia"/>
          <w:color w:val="000000" w:themeColor="text1"/>
          <w:kern w:val="0"/>
          <w:sz w:val="44"/>
          <w:szCs w:val="44"/>
          <w14:textFill>
            <w14:solidFill>
              <w14:schemeClr w14:val="tx1"/>
            </w14:solidFill>
          </w14:textFill>
        </w:rPr>
      </w:pPr>
    </w:p>
    <w:p>
      <w:pPr>
        <w:overflowPunct w:val="0"/>
        <w:adjustRightInd w:val="0"/>
        <w:snapToGrid w:val="0"/>
        <w:spacing w:line="600" w:lineRule="exact"/>
        <w:jc w:val="center"/>
        <w:rPr>
          <w:rFonts w:hint="eastAsia" w:cs="方正小标宋简体" w:asciiTheme="majorEastAsia" w:hAnsiTheme="majorEastAsia" w:eastAsiaTheme="majorEastAsia"/>
          <w:b/>
          <w:color w:val="000000" w:themeColor="text1"/>
          <w:kern w:val="0"/>
          <w:sz w:val="44"/>
          <w:szCs w:val="44"/>
          <w14:textFill>
            <w14:solidFill>
              <w14:schemeClr w14:val="tx1"/>
            </w14:solidFill>
          </w14:textFill>
        </w:rPr>
      </w:pPr>
      <w:r>
        <w:rPr>
          <w:rFonts w:hint="eastAsia" w:cs="方正小标宋简体" w:asciiTheme="majorEastAsia" w:hAnsiTheme="majorEastAsia" w:eastAsiaTheme="majorEastAsia"/>
          <w:b/>
          <w:color w:val="000000" w:themeColor="text1"/>
          <w:kern w:val="0"/>
          <w:sz w:val="44"/>
          <w:szCs w:val="44"/>
          <w14:textFill>
            <w14:solidFill>
              <w14:schemeClr w14:val="tx1"/>
            </w14:solidFill>
          </w14:textFill>
        </w:rPr>
        <w:t>深圳新能源汽车充电设施公共品牌标识</w:t>
      </w:r>
      <w:r>
        <w:rPr>
          <w:rFonts w:cs="方正小标宋简体" w:asciiTheme="majorEastAsia" w:hAnsiTheme="majorEastAsia" w:eastAsiaTheme="majorEastAsia"/>
          <w:b/>
          <w:color w:val="000000" w:themeColor="text1"/>
          <w:kern w:val="0"/>
          <w:sz w:val="44"/>
          <w:szCs w:val="44"/>
          <w14:textFill>
            <w14:solidFill>
              <w14:schemeClr w14:val="tx1"/>
            </w14:solidFill>
          </w14:textFill>
        </w:rPr>
        <w:br w:type="textWrapping"/>
      </w:r>
      <w:r>
        <w:rPr>
          <w:rFonts w:hint="eastAsia" w:cs="方正小标宋简体" w:asciiTheme="majorEastAsia" w:hAnsiTheme="majorEastAsia" w:eastAsiaTheme="majorEastAsia"/>
          <w:b/>
          <w:color w:val="000000" w:themeColor="text1"/>
          <w:kern w:val="0"/>
          <w:sz w:val="44"/>
          <w:szCs w:val="44"/>
          <w14:textFill>
            <w14:solidFill>
              <w14:schemeClr w14:val="tx1"/>
            </w14:solidFill>
          </w14:textFill>
        </w:rPr>
        <w:t>使用指引</w:t>
      </w:r>
    </w:p>
    <w:p>
      <w:pPr>
        <w:overflowPunct w:val="0"/>
        <w:adjustRightInd w:val="0"/>
        <w:snapToGrid w:val="0"/>
        <w:spacing w:line="600" w:lineRule="exact"/>
        <w:jc w:val="center"/>
        <w:rPr>
          <w:rFonts w:hint="eastAsia" w:cs="方正小标宋简体" w:asciiTheme="majorEastAsia" w:hAnsiTheme="majorEastAsia" w:eastAsiaTheme="majorEastAsia"/>
          <w:color w:val="000000" w:themeColor="text1"/>
          <w:kern w:val="0"/>
          <w:sz w:val="44"/>
          <w:szCs w:val="44"/>
          <w14:textFill>
            <w14:solidFill>
              <w14:schemeClr w14:val="tx1"/>
            </w14:solidFill>
          </w14:textFill>
        </w:rPr>
      </w:pPr>
    </w:p>
    <w:p>
      <w:pPr>
        <w:overflowPunct w:val="0"/>
        <w:adjustRightInd w:val="0"/>
        <w:snapToGrid w:val="0"/>
        <w:spacing w:line="600" w:lineRule="exact"/>
        <w:ind w:firstLine="64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为推广应用深圳新能源汽车充电设施公共品牌标识（简称“深圳充电公共标识”），推进“超充之城”建设，明确使用主体、建设标准、登记材料、授权使用等要求，特制订本使用指引。</w:t>
      </w:r>
    </w:p>
    <w:p>
      <w:pPr>
        <w:overflowPunct w:val="0"/>
        <w:adjustRightInd w:val="0"/>
        <w:snapToGrid w:val="0"/>
        <w:spacing w:line="600" w:lineRule="exact"/>
        <w:ind w:firstLine="640" w:firstLineChars="200"/>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一、版权说明</w:t>
      </w:r>
    </w:p>
    <w:p>
      <w:pPr>
        <w:overflowPunct w:val="0"/>
        <w:adjustRightInd w:val="0"/>
        <w:snapToGrid w:val="0"/>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深圳市发展和改革委员会对深圳充电公共标识，以及“一杯咖啡、满电出发”（国作登字-2024-F-00048929）“深圳超充”（国作登字-2024-F-00048930）“深圳快充”（国作登字-2024-F-00048931）等相应品牌和衍生品依法享有独立、自主的完整知识产权，且受法律保护。</w:t>
      </w:r>
    </w:p>
    <w:p>
      <w:pPr>
        <w:overflowPunct w:val="0"/>
        <w:adjustRightInd w:val="0"/>
        <w:snapToGrid w:val="0"/>
        <w:spacing w:line="60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二、使用主体</w:t>
      </w:r>
    </w:p>
    <w:p>
      <w:pPr>
        <w:overflowPunct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深圳充电公共标识以充电站为单位进行授权，每个充电站授权一次。使用主体以及充电站应满足以下基本条件：</w:t>
      </w:r>
    </w:p>
    <w:p>
      <w:pPr>
        <w:overflowPunct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（一）使用主体应为该充电站所有权人，或受所有权人委托的运营单位。使用主体的企业经营范围应包含新能源汽车充换电设施运营或相关字样。如委托运营单位管理，须提交授权委托书（见附录A）。</w:t>
      </w:r>
    </w:p>
    <w:p>
      <w:pPr>
        <w:overflowPunct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（二）使用深圳充电公共标识的充电站应对外公共开放，不得只对单一品牌</w:t>
      </w:r>
      <w:r>
        <w:rPr>
          <w:rFonts w:ascii="仿宋_GB2312" w:hAnsi="仿宋_GB2312" w:eastAsia="仿宋_GB2312" w:cs="仿宋_GB2312"/>
          <w:color w:val="000000" w:themeColor="text1"/>
          <w:kern w:val="0"/>
          <w:sz w:val="32"/>
          <w:szCs w:val="32"/>
          <w:lang w:val="en"/>
          <w14:textFill>
            <w14:solidFill>
              <w14:schemeClr w14:val="tx1"/>
            </w14:solidFill>
          </w14:textFill>
        </w:rPr>
        <w:t>汽车</w:t>
      </w:r>
      <w:r>
        <w:rPr>
          <w:rFonts w:hint="eastAsia" w:ascii="仿宋_GB2312" w:hAnsi="仿宋_GB2312" w:eastAsia="仿宋_GB2312" w:cs="仿宋_GB2312"/>
          <w:color w:val="000000" w:themeColor="text1"/>
          <w:kern w:val="0"/>
          <w:sz w:val="32"/>
          <w:szCs w:val="32"/>
          <w14:textFill>
            <w14:solidFill>
              <w14:schemeClr w14:val="tx1"/>
            </w14:solidFill>
          </w14:textFill>
        </w:rPr>
        <w:t>提供服务，不得对不同品牌</w:t>
      </w:r>
      <w:r>
        <w:rPr>
          <w:rFonts w:ascii="仿宋_GB2312" w:hAnsi="仿宋_GB2312" w:eastAsia="仿宋_GB2312" w:cs="仿宋_GB2312"/>
          <w:color w:val="000000" w:themeColor="text1"/>
          <w:kern w:val="0"/>
          <w:sz w:val="32"/>
          <w:szCs w:val="32"/>
          <w:lang w:val="en"/>
          <w14:textFill>
            <w14:solidFill>
              <w14:schemeClr w14:val="tx1"/>
            </w14:solidFill>
          </w14:textFill>
        </w:rPr>
        <w:t>汽车</w:t>
      </w:r>
      <w:r>
        <w:rPr>
          <w:rFonts w:hint="eastAsia" w:ascii="仿宋_GB2312" w:hAnsi="仿宋_GB2312" w:eastAsia="仿宋_GB2312" w:cs="仿宋_GB2312"/>
          <w:color w:val="000000" w:themeColor="text1"/>
          <w:kern w:val="0"/>
          <w:sz w:val="32"/>
          <w:szCs w:val="32"/>
          <w14:textFill>
            <w14:solidFill>
              <w14:schemeClr w14:val="tx1"/>
            </w14:solidFill>
          </w14:textFill>
        </w:rPr>
        <w:t>采取区别对待，且该充电站站址应位于深圳市行政区及深汕特别合作区区域内。</w:t>
      </w:r>
    </w:p>
    <w:p>
      <w:pPr>
        <w:overflowPunct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（三）使用主体应满足《</w:t>
      </w:r>
      <w:r>
        <w:fldChar w:fldCharType="begin"/>
      </w:r>
      <w:r>
        <w:instrText xml:space="preserve"> HYPERLINK "javascript:void(0)" \o "深圳市发展和改革委员会关于进一步规范新能源汽车充换电设施建设运营管理的通知.docx 上传用户：彭涛 上传时间：2024-02-04 21:11:45" </w:instrText>
      </w:r>
      <w:r>
        <w:fldChar w:fldCharType="separate"/>
      </w:r>
      <w:r>
        <w:fldChar w:fldCharType="end"/>
      </w:r>
      <w:r>
        <w:rPr>
          <w:rFonts w:hint="eastAsia" w:ascii="仿宋_GB2312" w:hAnsi="仿宋_GB2312" w:eastAsia="仿宋_GB2312" w:cs="仿宋_GB2312"/>
          <w:color w:val="000000" w:themeColor="text1"/>
          <w:kern w:val="0"/>
          <w:sz w:val="32"/>
          <w:szCs w:val="32"/>
          <w14:textFill>
            <w14:solidFill>
              <w14:schemeClr w14:val="tx1"/>
            </w14:solidFill>
          </w14:textFill>
        </w:rPr>
        <w:t>深圳市发展和改革委员会关于进一步规范新能源汽车充换电设施管理的通知》（深发改〔2024〕113号）中《深圳市新能源汽车充换电设施建设运营主体质量安全管理规范》关于充（换）电设施建设运营主体资源配置、管理制度、客户权益、安全风险防控体系等要求。</w:t>
      </w:r>
    </w:p>
    <w:p>
      <w:pPr>
        <w:overflowPunct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使用主体应按照《深圳市新能源汽车充换电设施管理办法》（深发改规〔2023〕10号）第十八条、十九条规定，对投入运营和使用的充换电设施，在深圳市电力充储放一张网（市级新能源汽车充换电设施安全监管平台）办理信息登记；建立充换电设施安全监控系统，并将数据实时上传至深圳市电力充储放一张网。</w:t>
      </w:r>
    </w:p>
    <w:p>
      <w:pPr>
        <w:overflowPunct w:val="0"/>
        <w:adjustRightInd w:val="0"/>
        <w:snapToGrid w:val="0"/>
        <w:spacing w:line="60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三、建设标准</w:t>
      </w:r>
    </w:p>
    <w:p>
      <w:pPr>
        <w:overflowPunct w:val="0"/>
        <w:adjustRightInd w:val="0"/>
        <w:snapToGrid w:val="0"/>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（一）深圳充电公共标识使用须满足的建设标准</w:t>
      </w:r>
    </w:p>
    <w:p>
      <w:pPr>
        <w:overflowPunct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使用深圳充电公共标识的充电站建设标准应满足《电动汽车集中式公共充电站设计规范 DB4403/T434—2024》要求。</w:t>
      </w:r>
    </w:p>
    <w:p>
      <w:pPr>
        <w:overflowPunct w:val="0"/>
        <w:adjustRightInd w:val="0"/>
        <w:snapToGrid w:val="0"/>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（二）“深圳超充”标识使用须满足的设备标准</w:t>
      </w:r>
    </w:p>
    <w:p>
      <w:pPr>
        <w:overflowPunct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全站至少具备一套超充设备，超充设备单枪充电功率不小于480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kW</w:t>
      </w:r>
      <w:r>
        <w:rPr>
          <w:rFonts w:hint="eastAsia" w:ascii="仿宋_GB2312" w:hAnsi="仿宋_GB2312" w:eastAsia="仿宋_GB2312" w:cs="仿宋_GB2312"/>
          <w:color w:val="000000" w:themeColor="text1"/>
          <w:kern w:val="0"/>
          <w:sz w:val="32"/>
          <w:szCs w:val="32"/>
          <w14:textFill>
            <w14:solidFill>
              <w14:schemeClr w14:val="tx1"/>
            </w14:solidFill>
          </w14:textFill>
        </w:rPr>
        <w:t>,且超充设备技术指标应符合《电动汽车超级充电设备分级评价规范 DB4403/T433—2024》要求，可使用“深圳超充”</w:t>
      </w:r>
      <w:r>
        <w:rPr>
          <w:rFonts w:ascii="仿宋_GB2312" w:hAnsi="仿宋_GB2312" w:eastAsia="仿宋_GB2312" w:cs="仿宋_GB2312"/>
          <w:color w:val="000000" w:themeColor="text1"/>
          <w:kern w:val="0"/>
          <w:sz w:val="32"/>
          <w:szCs w:val="32"/>
          <w:lang w:val="en"/>
          <w14:textFill>
            <w14:solidFill>
              <w14:schemeClr w14:val="tx1"/>
            </w14:solidFill>
          </w14:textFill>
        </w:rPr>
        <w:t>标识</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overflowPunct w:val="0"/>
        <w:adjustRightInd w:val="0"/>
        <w:snapToGrid w:val="0"/>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（三）“深圳快充”标识使用须满足的设备标准</w:t>
      </w:r>
    </w:p>
    <w:p>
      <w:pPr>
        <w:overflowPunct w:val="0"/>
        <w:adjustRightInd w:val="0"/>
        <w:snapToGrid w:val="0"/>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充电设施单枪充电功率均不小于120kW的公共充电站，可使用“深圳快充”标识。</w:t>
      </w:r>
    </w:p>
    <w:p>
      <w:pPr>
        <w:overflowPunct w:val="0"/>
        <w:adjustRightInd w:val="0"/>
        <w:snapToGrid w:val="0"/>
        <w:spacing w:line="60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四、登记材料</w:t>
      </w:r>
    </w:p>
    <w:p>
      <w:pPr>
        <w:overflowPunct w:val="0"/>
        <w:adjustRightInd w:val="0"/>
        <w:snapToGrid w:val="0"/>
        <w:spacing w:line="60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使用主体通过在线登记的方式提交登记材料，登记网址为：https://yzw.fgw.sz.gov.cn/yzwptxm/epcsp/#/login。</w:t>
      </w:r>
    </w:p>
    <w:p>
      <w:pPr>
        <w:overflowPunct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登记</w:t>
      </w:r>
      <w:r>
        <w:rPr>
          <w:rFonts w:ascii="仿宋_GB2312" w:hAnsi="仿宋_GB2312" w:eastAsia="仿宋_GB2312" w:cs="仿宋_GB2312"/>
          <w:color w:val="000000" w:themeColor="text1"/>
          <w:kern w:val="0"/>
          <w:sz w:val="32"/>
          <w:szCs w:val="32"/>
          <w:lang w:val="en"/>
          <w14:textFill>
            <w14:solidFill>
              <w14:schemeClr w14:val="tx1"/>
            </w14:solidFill>
          </w14:textFill>
        </w:rPr>
        <w:t>材料</w:t>
      </w:r>
      <w:r>
        <w:rPr>
          <w:rFonts w:hint="eastAsia" w:ascii="仿宋_GB2312" w:hAnsi="仿宋_GB2312" w:eastAsia="仿宋_GB2312" w:cs="仿宋_GB2312"/>
          <w:color w:val="000000" w:themeColor="text1"/>
          <w:kern w:val="0"/>
          <w:sz w:val="32"/>
          <w:szCs w:val="32"/>
          <w14:textFill>
            <w14:solidFill>
              <w14:schemeClr w14:val="tx1"/>
            </w14:solidFill>
          </w14:textFill>
        </w:rPr>
        <w:t>主要包括：</w:t>
      </w:r>
    </w:p>
    <w:p>
      <w:pPr>
        <w:overflowPunct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1.在线填写《深圳市新能源汽车充电设施公共品牌标识使用登记表》；</w:t>
      </w:r>
    </w:p>
    <w:p>
      <w:pPr>
        <w:overflowPunct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2.深圳市社会投资备案文件（盖使用单位公章，使用单位非所有权人须所有权人盖公章）；</w:t>
      </w:r>
    </w:p>
    <w:p>
      <w:pPr>
        <w:overflowPunct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3.使用单位营业执照正本扫描件或复印件（盖使用单位公章）；</w:t>
      </w:r>
    </w:p>
    <w:p>
      <w:pPr>
        <w:overflowPunct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4.授权委托书（如有）（见附录A，盖所有权人章）；</w:t>
      </w:r>
    </w:p>
    <w:p>
      <w:pPr>
        <w:overflowPunct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5.承诺书（见附录B，盖使用单位公章）；</w:t>
      </w:r>
    </w:p>
    <w:p>
      <w:pPr>
        <w:overflowPunct w:val="0"/>
        <w:adjustRightInd w:val="0"/>
        <w:snapToGrid w:val="0"/>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6.设备报告（场站采用的充电设备产品型式试验报告、CNAS或CMA产品检测报告或相关认证证书等，报告中须明确体现设备指标）。</w:t>
      </w:r>
    </w:p>
    <w:p>
      <w:pPr>
        <w:overflowPunct w:val="0"/>
        <w:adjustRightInd w:val="0"/>
        <w:snapToGrid w:val="0"/>
        <w:spacing w:line="60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五、核验要求</w:t>
      </w:r>
    </w:p>
    <w:p>
      <w:pPr>
        <w:overflowPunct w:val="0"/>
        <w:adjustRightInd w:val="0"/>
        <w:snapToGrid w:val="0"/>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企业在深圳市电力充储放一张网（网址：https://zh.fgw.sz.gov.cn/ccfyzwpt/epcsp）线上提交深圳充电公共标识使用登记，市区两级发展改革部门线上核验资料。</w:t>
      </w:r>
    </w:p>
    <w:p>
      <w:pPr>
        <w:overflowPunct w:val="0"/>
        <w:adjustRightInd w:val="0"/>
        <w:snapToGrid w:val="0"/>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（一）各区发展改革部门初核</w:t>
      </w:r>
    </w:p>
    <w:p>
      <w:pPr>
        <w:overflowPunct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各区发展改革部门对辖区内提交的深圳充电公共标识登记材料进行初核，负责接收使用主体提交的登记资料，确认提交的登记资料是否齐全、核验资料内容是否满足本使用指引第二、三、四章节相关要求，给予初核结果，初核应于2个工作日内完成。初核关键项：</w:t>
      </w:r>
    </w:p>
    <w:p>
      <w:pPr>
        <w:overflowPunct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1.核验使用主体是否为所有权人或所有权人委托的运营单位。</w:t>
      </w:r>
    </w:p>
    <w:p>
      <w:pPr>
        <w:overflowPunct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2.核验登记资料是否齐全。</w:t>
      </w:r>
    </w:p>
    <w:p>
      <w:pPr>
        <w:overflowPunct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3.核验登记表内容完整</w:t>
      </w:r>
      <w:r>
        <w:rPr>
          <w:rFonts w:ascii="仿宋_GB2312" w:hAnsi="仿宋_GB2312" w:eastAsia="仿宋_GB2312" w:cs="仿宋_GB2312"/>
          <w:color w:val="000000" w:themeColor="text1"/>
          <w:kern w:val="0"/>
          <w:sz w:val="32"/>
          <w:szCs w:val="32"/>
          <w:lang w:val="en"/>
          <w14:textFill>
            <w14:solidFill>
              <w14:schemeClr w14:val="tx1"/>
            </w14:solidFill>
          </w14:textFill>
        </w:rPr>
        <w:t>性</w:t>
      </w:r>
      <w:r>
        <w:rPr>
          <w:rFonts w:hint="eastAsia" w:ascii="仿宋_GB2312" w:hAnsi="仿宋_GB2312" w:eastAsia="仿宋_GB2312" w:cs="仿宋_GB2312"/>
          <w:color w:val="000000" w:themeColor="text1"/>
          <w:kern w:val="0"/>
          <w:sz w:val="32"/>
          <w:szCs w:val="32"/>
          <w14:textFill>
            <w14:solidFill>
              <w14:schemeClr w14:val="tx1"/>
            </w14:solidFill>
          </w14:textFill>
        </w:rPr>
        <w:t>和一致性。充电站名称和地址填写详细、设备指标填写详细、使用单位公章、法定代表人签字和日期完整，公章与使用主体名称一致。</w:t>
      </w:r>
    </w:p>
    <w:p>
      <w:pPr>
        <w:overflowPunct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4.核验营业执照与使用主体一致性。营业执照主体名称、统一社会信用代码与登记表中所填一致，公章与使用主体名称一致。</w:t>
      </w:r>
    </w:p>
    <w:p>
      <w:pPr>
        <w:overflowPunct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核验社会投资备案信息一致性。社会投资备案文件中项目单位、项目名称、建设地点与登记表一致，公章与使用主体名称一致。授权委托的使用主体可与社会投资备案主体名称不一致，但须提供授权委托书，授权委托书中被委托的单位名称与使用主体应一致。</w:t>
      </w:r>
    </w:p>
    <w:p>
      <w:pPr>
        <w:overflowPunct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核验授权委托书内容完整和一致性。被授权企业名称与使用主体名称一致、授权有效期范围涵盖登记表的登记日期、所列充电站信息与登记表所列站名和详细地址一致、授权单位盖章、法定代表人签字、日期完整，授权单位名称与社会投资备案文件项目单位名称一致。</w:t>
      </w:r>
    </w:p>
    <w:p>
      <w:pPr>
        <w:overflowPunct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7.核验承诺书内容完整和一致性。承诺单位名称、充电站名称和详细地址与登记表一致；使用单位盖章、法定代表人签字和日期完整，承诺单位名称与公章一致。</w:t>
      </w:r>
    </w:p>
    <w:p>
      <w:pPr>
        <w:overflowPunct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8.核验充电设备是否符合指标要求。设备相关报告中技术指标是否满足《电动汽车超级充电设备分级评价规范 DB4403/T433—2024》所规定的设备指标要求。</w:t>
      </w:r>
    </w:p>
    <w:p>
      <w:pPr>
        <w:overflowPunct w:val="0"/>
        <w:adjustRightInd w:val="0"/>
        <w:snapToGrid w:val="0"/>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（二）市发展改革部门复核</w:t>
      </w:r>
    </w:p>
    <w:p>
      <w:pPr>
        <w:overflowPunct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市级发展改革部门对各区发展改革部门初核结果进行复核；复核通过的</w:t>
      </w:r>
      <w:r>
        <w:rPr>
          <w:rFonts w:ascii="仿宋_GB2312" w:hAnsi="仿宋_GB2312" w:eastAsia="仿宋_GB2312" w:cs="仿宋_GB2312"/>
          <w:color w:val="000000" w:themeColor="text1"/>
          <w:kern w:val="0"/>
          <w:sz w:val="32"/>
          <w:szCs w:val="32"/>
          <w:lang w:val="e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系统直接给予授权；复核不通过的，明确审核不通过原因，退回至登记单位。市级复核应于2个工作日内完成。</w:t>
      </w:r>
    </w:p>
    <w:p>
      <w:pPr>
        <w:overflowPunct w:val="0"/>
        <w:adjustRightInd w:val="0"/>
        <w:snapToGrid w:val="0"/>
        <w:spacing w:line="60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六、授权与使用管理</w:t>
      </w:r>
    </w:p>
    <w:p>
      <w:pPr>
        <w:overflowPunct w:val="0"/>
        <w:adjustRightInd w:val="0"/>
        <w:snapToGrid w:val="0"/>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使用主体可在登记网站查询登记结果。</w:t>
      </w:r>
    </w:p>
    <w:p>
      <w:pPr>
        <w:overflowPunct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（一）每个授权仅适用于所登记的充电站点，使用主体的其他站点未经授权不能使用。</w:t>
      </w:r>
    </w:p>
    <w:p>
      <w:pPr>
        <w:overflowPunct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（二）使用主体应严格执行《深圳超充及快充品牌视觉手册》规定，使用过程中未经市级发展改革部门同意不得对深圳充电公共标识进行任意形式的修改。</w:t>
      </w:r>
    </w:p>
    <w:p>
      <w:pPr>
        <w:overflowPunct w:val="0"/>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（三）对不符合《深圳超充及快充品牌视觉手册》要求或违规使用的行为，市区两级发展改革部门有权要求使用主体限期整改，对拒不执行的</w:t>
      </w:r>
      <w:r>
        <w:rPr>
          <w:rFonts w:ascii="仿宋_GB2312" w:hAnsi="仿宋_GB2312" w:eastAsia="仿宋_GB2312" w:cs="仿宋_GB2312"/>
          <w:color w:val="000000" w:themeColor="text1"/>
          <w:kern w:val="0"/>
          <w:sz w:val="32"/>
          <w:szCs w:val="32"/>
          <w:lang w:val="e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可取消授权，并保留通过司法途径等追究相关法律责任的权利，由此产生的所有损失由使用主体自行承担。</w:t>
      </w:r>
    </w:p>
    <w:p>
      <w:pPr>
        <w:overflowPunct w:val="0"/>
        <w:adjustRightInd w:val="0"/>
        <w:snapToGrid w:val="0"/>
        <w:spacing w:line="60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七、其他</w:t>
      </w:r>
    </w:p>
    <w:p>
      <w:pPr>
        <w:overflowPunct w:val="0"/>
        <w:adjustRightInd w:val="0"/>
        <w:snapToGrid w:val="0"/>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w:t>
      </w:r>
      <w:r>
        <w:rPr>
          <w:rFonts w:ascii="仿宋_GB2312" w:hAnsi="仿宋_GB2312" w:eastAsia="仿宋_GB2312" w:cs="仿宋_GB2312"/>
          <w:color w:val="000000" w:themeColor="text1"/>
          <w:kern w:val="0"/>
          <w:sz w:val="32"/>
          <w:szCs w:val="32"/>
          <w14:textFill>
            <w14:solidFill>
              <w14:schemeClr w14:val="tx1"/>
            </w14:solidFill>
          </w14:textFill>
        </w:rPr>
        <w:t>未经</w:t>
      </w:r>
      <w:r>
        <w:rPr>
          <w:rFonts w:hint="eastAsia" w:ascii="仿宋_GB2312" w:hAnsi="仿宋_GB2312" w:eastAsia="仿宋_GB2312" w:cs="仿宋_GB2312"/>
          <w:color w:val="000000" w:themeColor="text1"/>
          <w:kern w:val="0"/>
          <w:sz w:val="32"/>
          <w:szCs w:val="32"/>
          <w14:textFill>
            <w14:solidFill>
              <w14:schemeClr w14:val="tx1"/>
            </w14:solidFill>
          </w14:textFill>
        </w:rPr>
        <w:t>深圳市发展和改革委员会授权</w:t>
      </w:r>
      <w:r>
        <w:rPr>
          <w:rFonts w:ascii="仿宋_GB2312" w:hAnsi="仿宋_GB2312" w:eastAsia="仿宋_GB2312" w:cs="仿宋_GB2312"/>
          <w:color w:val="000000" w:themeColor="text1"/>
          <w:kern w:val="0"/>
          <w:sz w:val="32"/>
          <w:szCs w:val="32"/>
          <w14:textFill>
            <w14:solidFill>
              <w14:schemeClr w14:val="tx1"/>
            </w14:solidFill>
          </w14:textFill>
        </w:rPr>
        <w:t>，任何单位及个人不得以任何方式对</w:t>
      </w:r>
      <w:r>
        <w:rPr>
          <w:rFonts w:hint="eastAsia" w:ascii="仿宋_GB2312" w:hAnsi="仿宋_GB2312" w:eastAsia="仿宋_GB2312" w:cs="仿宋_GB2312"/>
          <w:color w:val="000000" w:themeColor="text1"/>
          <w:kern w:val="0"/>
          <w:sz w:val="32"/>
          <w:szCs w:val="32"/>
          <w14:textFill>
            <w14:solidFill>
              <w14:schemeClr w14:val="tx1"/>
            </w14:solidFill>
          </w14:textFill>
        </w:rPr>
        <w:t>深圳充电公共标识</w:t>
      </w:r>
      <w:r>
        <w:rPr>
          <w:rFonts w:ascii="仿宋_GB2312" w:hAnsi="仿宋_GB2312" w:eastAsia="仿宋_GB2312" w:cs="仿宋_GB2312"/>
          <w:color w:val="000000" w:themeColor="text1"/>
          <w:kern w:val="0"/>
          <w:sz w:val="32"/>
          <w:szCs w:val="32"/>
          <w14:textFill>
            <w14:solidFill>
              <w14:schemeClr w14:val="tx1"/>
            </w14:solidFill>
          </w14:textFill>
        </w:rPr>
        <w:t>进行使用、复制、修改、抄录、传播或与其他产品捆绑使用、销售。凡有上述侵权行为之单位及个人</w:t>
      </w:r>
      <w:r>
        <w:rPr>
          <w:rFonts w:hint="eastAsia" w:ascii="仿宋_GB2312" w:hAnsi="仿宋_GB2312" w:eastAsia="仿宋_GB2312" w:cs="仿宋_GB2312"/>
          <w:color w:val="000000" w:themeColor="text1"/>
          <w:kern w:val="0"/>
          <w:sz w:val="32"/>
          <w:szCs w:val="32"/>
          <w14:textFill>
            <w14:solidFill>
              <w14:schemeClr w14:val="tx1"/>
            </w14:solidFill>
          </w14:textFill>
        </w:rPr>
        <w:t>的，深圳市发展和改革委员会保留</w:t>
      </w:r>
      <w:r>
        <w:rPr>
          <w:rFonts w:ascii="仿宋_GB2312" w:hAnsi="仿宋_GB2312" w:eastAsia="仿宋_GB2312" w:cs="仿宋_GB2312"/>
          <w:color w:val="000000" w:themeColor="text1"/>
          <w:kern w:val="0"/>
          <w:sz w:val="32"/>
          <w:szCs w:val="32"/>
          <w14:textFill>
            <w14:solidFill>
              <w14:schemeClr w14:val="tx1"/>
            </w14:solidFill>
          </w14:textFill>
        </w:rPr>
        <w:t>依据《中华人民共和国著作权法》等相关</w:t>
      </w:r>
      <w:r>
        <w:rPr>
          <w:rFonts w:hint="eastAsia" w:ascii="仿宋_GB2312" w:hAnsi="仿宋_GB2312" w:eastAsia="仿宋_GB2312" w:cs="仿宋_GB2312"/>
          <w:color w:val="000000" w:themeColor="text1"/>
          <w:kern w:val="0"/>
          <w:sz w:val="32"/>
          <w:szCs w:val="32"/>
          <w14:textFill>
            <w14:solidFill>
              <w14:schemeClr w14:val="tx1"/>
            </w14:solidFill>
          </w14:textFill>
        </w:rPr>
        <w:t>法律法规</w:t>
      </w:r>
      <w:r>
        <w:rPr>
          <w:rFonts w:ascii="仿宋_GB2312" w:hAnsi="仿宋_GB2312" w:eastAsia="仿宋_GB2312" w:cs="仿宋_GB2312"/>
          <w:color w:val="000000" w:themeColor="text1"/>
          <w:kern w:val="0"/>
          <w:sz w:val="32"/>
          <w:szCs w:val="32"/>
          <w14:textFill>
            <w14:solidFill>
              <w14:schemeClr w14:val="tx1"/>
            </w14:solidFill>
          </w14:textFill>
        </w:rPr>
        <w:t>追究其经济责任和法律责任</w:t>
      </w:r>
      <w:r>
        <w:rPr>
          <w:rFonts w:hint="eastAsia" w:ascii="仿宋_GB2312" w:hAnsi="仿宋_GB2312" w:eastAsia="仿宋_GB2312" w:cs="仿宋_GB2312"/>
          <w:color w:val="000000" w:themeColor="text1"/>
          <w:kern w:val="0"/>
          <w:sz w:val="32"/>
          <w:szCs w:val="32"/>
          <w14:textFill>
            <w14:solidFill>
              <w14:schemeClr w14:val="tx1"/>
            </w14:solidFill>
          </w14:textFill>
        </w:rPr>
        <w:t>的权利</w:t>
      </w:r>
      <w:r>
        <w:rPr>
          <w:rFonts w:ascii="仿宋_GB2312" w:hAnsi="仿宋_GB2312" w:eastAsia="仿宋_GB2312" w:cs="仿宋_GB2312"/>
          <w:color w:val="000000" w:themeColor="text1"/>
          <w:kern w:val="0"/>
          <w:sz w:val="32"/>
          <w:szCs w:val="32"/>
          <w14:textFill>
            <w14:solidFill>
              <w14:schemeClr w14:val="tx1"/>
            </w14:solidFill>
          </w14:textFill>
        </w:rPr>
        <w:t>。</w:t>
      </w:r>
    </w:p>
    <w:p>
      <w:pPr>
        <w:overflowPunct w:val="0"/>
        <w:adjustRightInd w:val="0"/>
        <w:snapToGrid w:val="0"/>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（二）本使用指引自发布之日起实施，解释权归深圳市发展和改革委员会。</w:t>
      </w:r>
    </w:p>
    <w:p>
      <w:pPr>
        <w:pStyle w:val="2"/>
        <w:sectPr>
          <w:footerReference r:id="rId3" w:type="default"/>
          <w:pgSz w:w="11906" w:h="16838"/>
          <w:pgMar w:top="1440" w:right="1800" w:bottom="1440" w:left="1800" w:header="851" w:footer="737" w:gutter="0"/>
          <w:cols w:space="425" w:num="1"/>
          <w:docGrid w:type="lines" w:linePitch="312" w:charSpace="0"/>
        </w:sectPr>
      </w:pPr>
    </w:p>
    <w:p>
      <w:pPr>
        <w:widowControl/>
        <w:spacing w:line="640" w:lineRule="exact"/>
        <w:rPr>
          <w:rFonts w:ascii="黑体" w:hAnsi="黑体" w:eastAsia="黑体" w:cs="黑体"/>
          <w:color w:val="000000" w:themeColor="text1"/>
          <w:sz w:val="32"/>
          <w:szCs w:val="32"/>
          <w14:textFill>
            <w14:solidFill>
              <w14:schemeClr w14:val="tx1"/>
            </w14:solidFill>
          </w14:textFill>
        </w:rPr>
      </w:pPr>
      <w:bookmarkStart w:id="0" w:name="_Hlk150602938"/>
      <w:r>
        <w:rPr>
          <w:rFonts w:hint="eastAsia" w:ascii="黑体" w:hAnsi="黑体" w:eastAsia="黑体" w:cs="黑体"/>
          <w:color w:val="000000" w:themeColor="text1"/>
          <w:sz w:val="32"/>
          <w:szCs w:val="32"/>
          <w14:textFill>
            <w14:solidFill>
              <w14:schemeClr w14:val="tx1"/>
            </w14:solidFill>
          </w14:textFill>
        </w:rPr>
        <w:t>附录A</w:t>
      </w:r>
    </w:p>
    <w:p>
      <w:pPr>
        <w:spacing w:line="640" w:lineRule="exact"/>
        <w:jc w:val="center"/>
        <w:rPr>
          <w:rFonts w:asciiTheme="majorEastAsia" w:hAnsiTheme="majorEastAsia" w:eastAsiaTheme="majorEastAsia"/>
          <w:b/>
          <w:color w:val="000000" w:themeColor="text1"/>
          <w:sz w:val="42"/>
          <w:szCs w:val="42"/>
          <w14:textFill>
            <w14:solidFill>
              <w14:schemeClr w14:val="tx1"/>
            </w14:solidFill>
          </w14:textFill>
        </w:rPr>
      </w:pPr>
    </w:p>
    <w:p>
      <w:pPr>
        <w:spacing w:line="640" w:lineRule="exact"/>
        <w:jc w:val="center"/>
        <w:rPr>
          <w:rFonts w:cs="方正小标宋简体" w:asciiTheme="majorEastAsia" w:hAnsiTheme="majorEastAsia" w:eastAsiaTheme="majorEastAsia"/>
          <w:b/>
          <w:bCs/>
          <w:color w:val="000000" w:themeColor="text1"/>
          <w:sz w:val="42"/>
          <w:szCs w:val="42"/>
          <w14:textFill>
            <w14:solidFill>
              <w14:schemeClr w14:val="tx1"/>
            </w14:solidFill>
          </w14:textFill>
        </w:rPr>
      </w:pPr>
      <w:r>
        <w:rPr>
          <w:rFonts w:hint="eastAsia" w:cs="方正小标宋简体" w:asciiTheme="majorEastAsia" w:hAnsiTheme="majorEastAsia" w:eastAsiaTheme="majorEastAsia"/>
          <w:b/>
          <w:bCs/>
          <w:color w:val="000000" w:themeColor="text1"/>
          <w:sz w:val="42"/>
          <w:szCs w:val="42"/>
          <w14:textFill>
            <w14:solidFill>
              <w14:schemeClr w14:val="tx1"/>
            </w14:solidFill>
          </w14:textFill>
        </w:rPr>
        <w:t>标识使用授权委托书</w:t>
      </w:r>
    </w:p>
    <w:p>
      <w:pPr>
        <w:spacing w:line="640" w:lineRule="exact"/>
        <w:jc w:val="center"/>
        <w:rPr>
          <w:rFonts w:asciiTheme="majorEastAsia" w:hAnsiTheme="majorEastAsia" w:eastAsiaTheme="majorEastAsia"/>
          <w:b/>
          <w:color w:val="000000" w:themeColor="text1"/>
          <w:sz w:val="42"/>
          <w:szCs w:val="42"/>
          <w14:textFill>
            <w14:solidFill>
              <w14:schemeClr w14:val="tx1"/>
            </w14:solidFill>
          </w14:textFill>
        </w:rPr>
      </w:pPr>
    </w:p>
    <w:p>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兹授权企业名称 </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，统一社会信用代码 </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，为我方所有的</w:t>
      </w:r>
      <w:bookmarkStart w:id="1" w:name="_Hlk150602980"/>
      <w:r>
        <w:rPr>
          <w:rFonts w:hint="eastAsia" w:ascii="仿宋_GB2312" w:eastAsia="仿宋_GB2312"/>
          <w:color w:val="000000" w:themeColor="text1"/>
          <w:sz w:val="32"/>
          <w:szCs w:val="32"/>
          <w14:textFill>
            <w14:solidFill>
              <w14:schemeClr w14:val="tx1"/>
            </w14:solidFill>
          </w14:textFill>
        </w:rPr>
        <w:t>公共充电站（信息如下）</w:t>
      </w:r>
      <w:bookmarkEnd w:id="1"/>
      <w:r>
        <w:rPr>
          <w:rFonts w:hint="eastAsia" w:ascii="仿宋_GB2312" w:eastAsia="仿宋_GB2312"/>
          <w:color w:val="000000" w:themeColor="text1"/>
          <w:sz w:val="32"/>
          <w:szCs w:val="32"/>
          <w14:textFill>
            <w14:solidFill>
              <w14:schemeClr w14:val="tx1"/>
            </w14:solidFill>
          </w14:textFill>
        </w:rPr>
        <w:t>，进行</w:t>
      </w:r>
      <w:r>
        <w:rPr>
          <w:rFonts w:hint="eastAsia" w:ascii="仿宋_GB2312" w:hAnsi="仿宋_GB2312" w:eastAsia="仿宋_GB2312" w:cs="仿宋_GB2312"/>
          <w:b/>
          <w:bCs/>
          <w:color w:val="000000" w:themeColor="text1"/>
          <w:sz w:val="32"/>
          <w:szCs w:val="32"/>
          <w14:textFill>
            <w14:solidFill>
              <w14:schemeClr w14:val="tx1"/>
            </w14:solidFill>
          </w14:textFill>
        </w:rPr>
        <w:t>深圳市新能源汽</w:t>
      </w:r>
      <w:bookmarkEnd w:id="0"/>
      <w:r>
        <w:rPr>
          <w:rFonts w:hint="eastAsia" w:ascii="仿宋_GB2312" w:hAnsi="仿宋_GB2312" w:eastAsia="仿宋_GB2312" w:cs="仿宋_GB2312"/>
          <w:b/>
          <w:bCs/>
          <w:color w:val="000000" w:themeColor="text1"/>
          <w:sz w:val="32"/>
          <w:szCs w:val="32"/>
          <w14:textFill>
            <w14:solidFill>
              <w14:schemeClr w14:val="tx1"/>
            </w14:solidFill>
          </w14:textFill>
        </w:rPr>
        <w:t>车充电设施公共品牌标识</w:t>
      </w:r>
      <w:r>
        <w:rPr>
          <w:rFonts w:hint="eastAsia" w:ascii="仿宋_GB2312" w:hAnsi="仿宋_GB2312" w:eastAsia="仿宋_GB2312" w:cs="仿宋_GB2312"/>
          <w:color w:val="000000" w:themeColor="text1"/>
          <w:sz w:val="32"/>
          <w:szCs w:val="32"/>
          <w14:textFill>
            <w14:solidFill>
              <w14:schemeClr w14:val="tx1"/>
            </w14:solidFill>
          </w14:textFill>
        </w:rPr>
        <w:t>的使用登记</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依据深圳市有关法律法规及标准规范履行职责。本授权书自授权之日起生效，有效期至</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日。</w:t>
      </w:r>
    </w:p>
    <w:p>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公共充电站列表如下：</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1950"/>
        <w:gridCol w:w="5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pct"/>
            <w:vAlign w:val="center"/>
          </w:tcPr>
          <w:p>
            <w:pPr>
              <w:adjustRightInd w:val="0"/>
              <w:snapToGrid w:val="0"/>
              <w:jc w:val="center"/>
              <w:rPr>
                <w:rFonts w:ascii="仿宋_GB2312" w:hAnsi="等线" w:eastAsia="仿宋_GB2312" w:cs="仿宋_GB2312"/>
                <w:b/>
                <w:bCs/>
                <w:color w:val="000000" w:themeColor="text1"/>
                <w:kern w:val="0"/>
                <w:sz w:val="24"/>
                <w:lang w:bidi="ar"/>
                <w14:textFill>
                  <w14:solidFill>
                    <w14:schemeClr w14:val="tx1"/>
                  </w14:solidFill>
                </w14:textFill>
              </w:rPr>
            </w:pPr>
            <w:r>
              <w:rPr>
                <w:rFonts w:hint="eastAsia" w:ascii="仿宋_GB2312" w:hAnsi="等线" w:eastAsia="仿宋_GB2312" w:cs="仿宋_GB2312"/>
                <w:b/>
                <w:bCs/>
                <w:color w:val="000000" w:themeColor="text1"/>
                <w:kern w:val="0"/>
                <w:sz w:val="24"/>
                <w:lang w:bidi="ar"/>
                <w14:textFill>
                  <w14:solidFill>
                    <w14:schemeClr w14:val="tx1"/>
                  </w14:solidFill>
                </w14:textFill>
              </w:rPr>
              <w:t>序号</w:t>
            </w:r>
          </w:p>
        </w:tc>
        <w:tc>
          <w:tcPr>
            <w:tcW w:w="1144" w:type="pct"/>
            <w:vAlign w:val="center"/>
          </w:tcPr>
          <w:p>
            <w:pPr>
              <w:adjustRightInd w:val="0"/>
              <w:snapToGrid w:val="0"/>
              <w:jc w:val="center"/>
              <w:rPr>
                <w:rFonts w:ascii="仿宋_GB2312" w:hAnsi="等线" w:eastAsia="仿宋_GB2312" w:cs="仿宋_GB2312"/>
                <w:b/>
                <w:bCs/>
                <w:color w:val="000000" w:themeColor="text1"/>
                <w:kern w:val="0"/>
                <w:sz w:val="24"/>
                <w:lang w:bidi="ar"/>
                <w14:textFill>
                  <w14:solidFill>
                    <w14:schemeClr w14:val="tx1"/>
                  </w14:solidFill>
                </w14:textFill>
              </w:rPr>
            </w:pPr>
            <w:r>
              <w:rPr>
                <w:rFonts w:hint="eastAsia" w:ascii="仿宋_GB2312" w:hAnsi="等线" w:eastAsia="仿宋_GB2312" w:cs="仿宋_GB2312"/>
                <w:b/>
                <w:bCs/>
                <w:color w:val="000000" w:themeColor="text1"/>
                <w:kern w:val="0"/>
                <w:sz w:val="24"/>
                <w:lang w:bidi="ar"/>
                <w14:textFill>
                  <w14:solidFill>
                    <w14:schemeClr w14:val="tx1"/>
                  </w14:solidFill>
                </w14:textFill>
              </w:rPr>
              <w:t>充电站名称</w:t>
            </w:r>
          </w:p>
        </w:tc>
        <w:tc>
          <w:tcPr>
            <w:tcW w:w="3230" w:type="pct"/>
            <w:vAlign w:val="center"/>
          </w:tcPr>
          <w:p>
            <w:pPr>
              <w:adjustRightInd w:val="0"/>
              <w:snapToGrid w:val="0"/>
              <w:jc w:val="center"/>
              <w:rPr>
                <w:rFonts w:ascii="仿宋_GB2312" w:hAnsi="等线" w:eastAsia="仿宋_GB2312" w:cs="仿宋_GB2312"/>
                <w:b/>
                <w:bCs/>
                <w:color w:val="000000" w:themeColor="text1"/>
                <w:kern w:val="0"/>
                <w:sz w:val="24"/>
                <w:lang w:bidi="ar"/>
                <w14:textFill>
                  <w14:solidFill>
                    <w14:schemeClr w14:val="tx1"/>
                  </w14:solidFill>
                </w14:textFill>
              </w:rPr>
            </w:pPr>
            <w:r>
              <w:rPr>
                <w:rFonts w:hint="eastAsia" w:ascii="仿宋_GB2312" w:hAnsi="等线" w:eastAsia="仿宋_GB2312" w:cs="仿宋_GB2312"/>
                <w:b/>
                <w:bCs/>
                <w:color w:val="000000" w:themeColor="text1"/>
                <w:kern w:val="0"/>
                <w:sz w:val="24"/>
                <w:lang w:bidi="ar"/>
                <w14:textFill>
                  <w14:solidFill>
                    <w14:schemeClr w14:val="tx1"/>
                  </w14:solidFill>
                </w14:textFill>
              </w:rPr>
              <w:t>充电站详细地址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pct"/>
            <w:vAlign w:val="center"/>
          </w:tcPr>
          <w:p>
            <w:pPr>
              <w:adjustRightInd w:val="0"/>
              <w:snapToGrid w:val="0"/>
              <w:jc w:val="center"/>
              <w:rPr>
                <w:rFonts w:ascii="仿宋_GB2312" w:hAnsi="等线" w:eastAsia="仿宋_GB2312" w:cs="仿宋_GB2312"/>
                <w:color w:val="000000" w:themeColor="text1"/>
                <w:kern w:val="0"/>
                <w:sz w:val="24"/>
                <w:lang w:bidi="ar"/>
                <w14:textFill>
                  <w14:solidFill>
                    <w14:schemeClr w14:val="tx1"/>
                  </w14:solidFill>
                </w14:textFill>
              </w:rPr>
            </w:pPr>
          </w:p>
        </w:tc>
        <w:tc>
          <w:tcPr>
            <w:tcW w:w="1144" w:type="pct"/>
            <w:vAlign w:val="center"/>
          </w:tcPr>
          <w:p>
            <w:pPr>
              <w:adjustRightInd w:val="0"/>
              <w:snapToGrid w:val="0"/>
              <w:jc w:val="center"/>
              <w:rPr>
                <w:rFonts w:ascii="仿宋_GB2312" w:hAnsi="等线" w:eastAsia="仿宋_GB2312" w:cs="仿宋_GB2312"/>
                <w:color w:val="000000" w:themeColor="text1"/>
                <w:kern w:val="0"/>
                <w:sz w:val="24"/>
                <w:lang w:bidi="ar"/>
                <w14:textFill>
                  <w14:solidFill>
                    <w14:schemeClr w14:val="tx1"/>
                  </w14:solidFill>
                </w14:textFill>
              </w:rPr>
            </w:pPr>
          </w:p>
        </w:tc>
        <w:tc>
          <w:tcPr>
            <w:tcW w:w="3230" w:type="pct"/>
            <w:vAlign w:val="center"/>
          </w:tcPr>
          <w:p>
            <w:pPr>
              <w:adjustRightInd w:val="0"/>
              <w:snapToGrid w:val="0"/>
              <w:jc w:val="center"/>
              <w:rPr>
                <w:rFonts w:ascii="仿宋_GB2312" w:hAnsi="等线" w:eastAsia="仿宋_GB2312" w:cs="仿宋_GB2312"/>
                <w:color w:val="000000" w:themeColor="text1"/>
                <w:kern w:val="0"/>
                <w:sz w:val="24"/>
                <w:lang w:bidi="ar"/>
                <w14:textFill>
                  <w14:solidFill>
                    <w14:schemeClr w14:val="tx1"/>
                  </w14:solidFill>
                </w14:textFill>
              </w:rPr>
            </w:pPr>
          </w:p>
        </w:tc>
      </w:tr>
    </w:tbl>
    <w:p>
      <w:pPr>
        <w:spacing w:line="60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pPr>
        <w:spacing w:line="600" w:lineRule="exact"/>
        <w:rPr>
          <w:rFonts w:hint="eastAsia" w:ascii="仿宋_GB2312" w:eastAsia="仿宋_GB2312"/>
          <w:color w:val="000000" w:themeColor="text1"/>
          <w:sz w:val="32"/>
          <w:szCs w:val="32"/>
          <w14:textFill>
            <w14:solidFill>
              <w14:schemeClr w14:val="tx1"/>
            </w14:solidFill>
          </w14:textFill>
        </w:rPr>
      </w:pPr>
    </w:p>
    <w:p>
      <w:pPr>
        <w:spacing w:line="640" w:lineRule="exact"/>
        <w:ind w:firstLine="2080" w:firstLineChars="650"/>
        <w:rPr>
          <w:rFonts w:ascii="仿宋_GB2312" w:eastAsia="仿宋_GB2312"/>
          <w:color w:val="000000" w:themeColor="text1"/>
          <w:sz w:val="32"/>
          <w:szCs w:val="32"/>
          <w:u w:val="single"/>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授权单位（盖章）：</w:t>
      </w:r>
      <w:r>
        <w:rPr>
          <w:rFonts w:hint="eastAsia" w:ascii="仿宋_GB2312" w:eastAsia="仿宋_GB2312"/>
          <w:color w:val="000000" w:themeColor="text1"/>
          <w:sz w:val="32"/>
          <w:szCs w:val="32"/>
          <w:u w:val="single"/>
          <w14:textFill>
            <w14:solidFill>
              <w14:schemeClr w14:val="tx1"/>
            </w14:solidFill>
          </w14:textFill>
        </w:rPr>
        <w:t xml:space="preserve">                      </w:t>
      </w:r>
    </w:p>
    <w:p>
      <w:pPr>
        <w:spacing w:line="640" w:lineRule="exact"/>
        <w:ind w:firstLine="2080" w:firstLineChars="650"/>
        <w:jc w:val="left"/>
        <w:rPr>
          <w:rFonts w:hint="eastAsia" w:ascii="仿宋_GB2312" w:eastAsia="仿宋_GB2312"/>
          <w:color w:val="000000" w:themeColor="text1"/>
          <w:sz w:val="32"/>
          <w:szCs w:val="32"/>
          <w14:textFill>
            <w14:solidFill>
              <w14:schemeClr w14:val="tx1"/>
            </w14:solidFill>
          </w14:textFill>
        </w:rPr>
      </w:pPr>
    </w:p>
    <w:p>
      <w:pPr>
        <w:spacing w:line="640" w:lineRule="exact"/>
        <w:ind w:firstLine="2080" w:firstLineChars="650"/>
        <w:jc w:val="left"/>
        <w:rPr>
          <w:rFonts w:ascii="仿宋_GB2312" w:eastAsia="仿宋_GB2312"/>
          <w:color w:val="000000" w:themeColor="text1"/>
          <w:sz w:val="32"/>
          <w:szCs w:val="32"/>
          <w:u w:val="single"/>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法定代表人（签字）：</w:t>
      </w:r>
      <w:r>
        <w:rPr>
          <w:rFonts w:hint="eastAsia" w:ascii="仿宋_GB2312" w:eastAsia="仿宋_GB2312"/>
          <w:color w:val="000000" w:themeColor="text1"/>
          <w:sz w:val="32"/>
          <w:szCs w:val="32"/>
          <w:u w:val="single"/>
          <w14:textFill>
            <w14:solidFill>
              <w14:schemeClr w14:val="tx1"/>
            </w14:solidFill>
          </w14:textFill>
        </w:rPr>
        <w:t xml:space="preserve">                    </w:t>
      </w:r>
    </w:p>
    <w:p>
      <w:pPr>
        <w:adjustRightInd w:val="0"/>
        <w:snapToGrid w:val="0"/>
        <w:spacing w:line="640" w:lineRule="exact"/>
        <w:ind w:firstLine="2080" w:firstLineChars="650"/>
        <w:rPr>
          <w:rFonts w:ascii="仿宋_GB2312" w:eastAsia="仿宋_GB2312"/>
          <w:color w:val="000000" w:themeColor="text1"/>
          <w:sz w:val="32"/>
          <w:szCs w:val="32"/>
          <w14:textFill>
            <w14:solidFill>
              <w14:schemeClr w14:val="tx1"/>
            </w14:solidFill>
          </w14:textFill>
        </w:rPr>
        <w:sectPr>
          <w:pgSz w:w="11906" w:h="16838"/>
          <w:pgMar w:top="1440" w:right="1800" w:bottom="1440" w:left="1800" w:header="851" w:footer="737" w:gutter="0"/>
          <w:cols w:space="425" w:num="1"/>
          <w:docGrid w:type="lines" w:linePitch="312" w:charSpace="0"/>
        </w:sectPr>
      </w:pPr>
      <w:r>
        <w:rPr>
          <w:rFonts w:hint="eastAsia" w:ascii="仿宋_GB2312" w:eastAsia="仿宋_GB2312"/>
          <w:color w:val="000000" w:themeColor="text1"/>
          <w:sz w:val="32"/>
          <w:szCs w:val="32"/>
          <w14:textFill>
            <w14:solidFill>
              <w14:schemeClr w14:val="tx1"/>
            </w14:solidFill>
          </w14:textFill>
        </w:rPr>
        <w:t>授权日期：</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日</w:t>
      </w:r>
    </w:p>
    <w:p>
      <w:pPr>
        <w:spacing w:line="640"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附录B</w:t>
      </w:r>
    </w:p>
    <w:p>
      <w:pPr>
        <w:pStyle w:val="2"/>
        <w:spacing w:line="640" w:lineRule="exact"/>
        <w:jc w:val="center"/>
        <w:rPr>
          <w:rFonts w:hint="eastAsia" w:asciiTheme="majorEastAsia" w:hAnsiTheme="majorEastAsia" w:eastAsiaTheme="majorEastAsia"/>
          <w:b/>
          <w:sz w:val="42"/>
          <w:szCs w:val="42"/>
        </w:rPr>
      </w:pPr>
    </w:p>
    <w:p>
      <w:pPr>
        <w:spacing w:line="640" w:lineRule="exact"/>
        <w:jc w:val="center"/>
        <w:rPr>
          <w:rFonts w:cs="方正小标宋简体" w:asciiTheme="majorEastAsia" w:hAnsiTheme="majorEastAsia" w:eastAsiaTheme="majorEastAsia"/>
          <w:b/>
          <w:bCs/>
          <w:color w:val="000000" w:themeColor="text1"/>
          <w:sz w:val="42"/>
          <w:szCs w:val="42"/>
          <w14:textFill>
            <w14:solidFill>
              <w14:schemeClr w14:val="tx1"/>
            </w14:solidFill>
          </w14:textFill>
        </w:rPr>
      </w:pPr>
      <w:r>
        <w:rPr>
          <w:rFonts w:hint="eastAsia" w:cs="方正小标宋简体" w:asciiTheme="majorEastAsia" w:hAnsiTheme="majorEastAsia" w:eastAsiaTheme="majorEastAsia"/>
          <w:b/>
          <w:bCs/>
          <w:color w:val="000000" w:themeColor="text1"/>
          <w:sz w:val="42"/>
          <w:szCs w:val="42"/>
          <w14:textFill>
            <w14:solidFill>
              <w14:schemeClr w14:val="tx1"/>
            </w14:solidFill>
          </w14:textFill>
        </w:rPr>
        <w:t>承诺书</w:t>
      </w:r>
    </w:p>
    <w:p>
      <w:pPr>
        <w:spacing w:line="640" w:lineRule="exact"/>
        <w:jc w:val="center"/>
        <w:rPr>
          <w:rFonts w:cs="仿宋_GB2312" w:asciiTheme="majorEastAsia" w:hAnsiTheme="majorEastAsia" w:eastAsiaTheme="majorEastAsia"/>
          <w:b/>
          <w:color w:val="000000" w:themeColor="text1"/>
          <w:sz w:val="42"/>
          <w:szCs w:val="42"/>
          <w:u w:val="single"/>
          <w14:textFill>
            <w14:solidFill>
              <w14:schemeClr w14:val="tx1"/>
            </w14:solidFill>
          </w14:textFill>
        </w:rPr>
      </w:pPr>
    </w:p>
    <w:p>
      <w:pPr>
        <w:adjustRightInd w:val="0"/>
        <w:snapToGrid w:val="0"/>
        <w:spacing w:line="64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（使用单位全称）</w:t>
      </w:r>
      <w:r>
        <w:rPr>
          <w:rFonts w:hint="eastAsia" w:ascii="仿宋_GB2312" w:hAnsi="仿宋_GB2312" w:eastAsia="仿宋_GB2312" w:cs="仿宋_GB2312"/>
          <w:color w:val="000000" w:themeColor="text1"/>
          <w:sz w:val="32"/>
          <w:szCs w:val="32"/>
          <w14:textFill>
            <w14:solidFill>
              <w14:schemeClr w14:val="tx1"/>
            </w14:solidFill>
          </w14:textFill>
        </w:rPr>
        <w:t>郑重承诺：</w:t>
      </w:r>
    </w:p>
    <w:p>
      <w:pPr>
        <w:adjustRightInd w:val="0"/>
        <w:snapToGrid w:val="0"/>
        <w:spacing w:line="6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我单位登记使用深圳市新能源汽车充电设施公共品牌标识（以下简称“深圳充电公共标识”）的</w:t>
      </w:r>
      <w:bookmarkStart w:id="2" w:name="_Hlk150603033"/>
      <w:r>
        <w:rPr>
          <w:rFonts w:hint="eastAsia" w:ascii="仿宋_GB2312" w:hAnsi="仿宋_GB2312" w:eastAsia="仿宋_GB2312" w:cs="仿宋_GB2312"/>
          <w:color w:val="000000" w:themeColor="text1"/>
          <w:sz w:val="32"/>
          <w:szCs w:val="32"/>
          <w14:textFill>
            <w14:solidFill>
              <w14:schemeClr w14:val="tx1"/>
            </w14:solidFill>
          </w14:textFill>
        </w:rPr>
        <w:t>公共充电站（信息如下）</w:t>
      </w:r>
      <w:bookmarkEnd w:id="2"/>
      <w:r>
        <w:rPr>
          <w:rFonts w:hint="eastAsia" w:ascii="仿宋_GB2312" w:hAnsi="仿宋_GB2312" w:eastAsia="仿宋_GB2312" w:cs="仿宋_GB2312"/>
          <w:color w:val="000000" w:themeColor="text1"/>
          <w:sz w:val="32"/>
          <w:szCs w:val="32"/>
          <w14:textFill>
            <w14:solidFill>
              <w14:schemeClr w14:val="tx1"/>
            </w14:solidFill>
          </w14:textFill>
        </w:rPr>
        <w:t>，保证所提供的材料真实、合法、有效；建设充电站用地权属清晰，无争议；严格按照国家、深圳相关政策法规、标准、规范要求，满足《深圳市发展和改革委员会关于进一步规范新能源汽车充换电设施管理的通知》（深发改〔2024〕113号）中《深圳市新能源汽车充换电设施建设运营主体质量安全管理规范》关于充（换）电设施建设运营主体资源配置、管理制度、客户权益、安全风险防控体系等要求，认真组织实施充电站的建设及验收，实时上传相关数据至深圳市电力充储放一张网平台，高效保障客户权益；履行安全生产主体责任，依法从事生产经营活动，在授权范围内使用深圳充电公共标识。</w:t>
      </w:r>
    </w:p>
    <w:p>
      <w:pPr>
        <w:adjustRightInd w:val="0"/>
        <w:snapToGrid w:val="0"/>
        <w:spacing w:line="6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如有不实，我单位愿意承担相应的法律责任及由此产生的损失。特此承诺！</w:t>
      </w:r>
    </w:p>
    <w:p>
      <w:pPr>
        <w:adjustRightInd w:val="0"/>
        <w:snapToGrid w:val="0"/>
        <w:spacing w:line="640" w:lineRule="exact"/>
        <w:ind w:firstLine="640" w:firstLineChars="200"/>
        <w:rPr>
          <w:rFonts w:ascii="仿宋_GB2312" w:eastAsia="仿宋_GB2312"/>
          <w:color w:val="000000" w:themeColor="text1"/>
          <w:sz w:val="32"/>
          <w:szCs w:val="32"/>
          <w14:textFill>
            <w14:solidFill>
              <w14:schemeClr w14:val="tx1"/>
            </w14:solidFill>
          </w14:textFill>
        </w:rPr>
      </w:pPr>
      <w:bookmarkStart w:id="3" w:name="_Hlk150603084"/>
      <w:r>
        <w:rPr>
          <w:rFonts w:hint="eastAsia" w:ascii="仿宋_GB2312" w:eastAsia="仿宋_GB2312"/>
          <w:color w:val="000000" w:themeColor="text1"/>
          <w:sz w:val="32"/>
          <w:szCs w:val="32"/>
          <w14:textFill>
            <w14:solidFill>
              <w14:schemeClr w14:val="tx1"/>
            </w14:solidFill>
          </w14:textFill>
        </w:rPr>
        <w:t>公共充电站列表如下：</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1950"/>
        <w:gridCol w:w="5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pct"/>
            <w:vAlign w:val="center"/>
          </w:tcPr>
          <w:p>
            <w:pPr>
              <w:adjustRightInd w:val="0"/>
              <w:snapToGrid w:val="0"/>
              <w:jc w:val="center"/>
              <w:rPr>
                <w:rFonts w:ascii="仿宋_GB2312" w:hAnsi="等线" w:eastAsia="仿宋_GB2312" w:cs="仿宋_GB2312"/>
                <w:b/>
                <w:bCs/>
                <w:color w:val="000000" w:themeColor="text1"/>
                <w:kern w:val="0"/>
                <w:sz w:val="24"/>
                <w:lang w:bidi="ar"/>
                <w14:textFill>
                  <w14:solidFill>
                    <w14:schemeClr w14:val="tx1"/>
                  </w14:solidFill>
                </w14:textFill>
              </w:rPr>
            </w:pPr>
            <w:r>
              <w:rPr>
                <w:rFonts w:hint="eastAsia" w:ascii="仿宋_GB2312" w:hAnsi="等线" w:eastAsia="仿宋_GB2312" w:cs="仿宋_GB2312"/>
                <w:b/>
                <w:bCs/>
                <w:color w:val="000000" w:themeColor="text1"/>
                <w:kern w:val="0"/>
                <w:sz w:val="24"/>
                <w:lang w:bidi="ar"/>
                <w14:textFill>
                  <w14:solidFill>
                    <w14:schemeClr w14:val="tx1"/>
                  </w14:solidFill>
                </w14:textFill>
              </w:rPr>
              <w:t>序号</w:t>
            </w:r>
          </w:p>
        </w:tc>
        <w:tc>
          <w:tcPr>
            <w:tcW w:w="1144" w:type="pct"/>
            <w:vAlign w:val="center"/>
          </w:tcPr>
          <w:p>
            <w:pPr>
              <w:adjustRightInd w:val="0"/>
              <w:snapToGrid w:val="0"/>
              <w:jc w:val="center"/>
              <w:rPr>
                <w:rFonts w:ascii="仿宋_GB2312" w:hAnsi="等线" w:eastAsia="仿宋_GB2312" w:cs="仿宋_GB2312"/>
                <w:b/>
                <w:bCs/>
                <w:color w:val="000000" w:themeColor="text1"/>
                <w:kern w:val="0"/>
                <w:sz w:val="24"/>
                <w:lang w:bidi="ar"/>
                <w14:textFill>
                  <w14:solidFill>
                    <w14:schemeClr w14:val="tx1"/>
                  </w14:solidFill>
                </w14:textFill>
              </w:rPr>
            </w:pPr>
            <w:r>
              <w:rPr>
                <w:rFonts w:hint="eastAsia" w:ascii="仿宋_GB2312" w:hAnsi="等线" w:eastAsia="仿宋_GB2312" w:cs="仿宋_GB2312"/>
                <w:b/>
                <w:bCs/>
                <w:color w:val="000000" w:themeColor="text1"/>
                <w:kern w:val="0"/>
                <w:sz w:val="24"/>
                <w:lang w:bidi="ar"/>
                <w14:textFill>
                  <w14:solidFill>
                    <w14:schemeClr w14:val="tx1"/>
                  </w14:solidFill>
                </w14:textFill>
              </w:rPr>
              <w:t>充电站名称</w:t>
            </w:r>
          </w:p>
        </w:tc>
        <w:tc>
          <w:tcPr>
            <w:tcW w:w="3230" w:type="pct"/>
            <w:vAlign w:val="center"/>
          </w:tcPr>
          <w:p>
            <w:pPr>
              <w:adjustRightInd w:val="0"/>
              <w:snapToGrid w:val="0"/>
              <w:jc w:val="center"/>
              <w:rPr>
                <w:rFonts w:ascii="仿宋_GB2312" w:hAnsi="等线" w:eastAsia="仿宋_GB2312" w:cs="仿宋_GB2312"/>
                <w:b/>
                <w:bCs/>
                <w:color w:val="000000" w:themeColor="text1"/>
                <w:kern w:val="0"/>
                <w:sz w:val="24"/>
                <w:lang w:bidi="ar"/>
                <w14:textFill>
                  <w14:solidFill>
                    <w14:schemeClr w14:val="tx1"/>
                  </w14:solidFill>
                </w14:textFill>
              </w:rPr>
            </w:pPr>
            <w:r>
              <w:rPr>
                <w:rFonts w:hint="eastAsia" w:ascii="仿宋_GB2312" w:hAnsi="等线" w:eastAsia="仿宋_GB2312" w:cs="仿宋_GB2312"/>
                <w:b/>
                <w:bCs/>
                <w:color w:val="000000" w:themeColor="text1"/>
                <w:kern w:val="0"/>
                <w:sz w:val="24"/>
                <w:lang w:bidi="ar"/>
                <w14:textFill>
                  <w14:solidFill>
                    <w14:schemeClr w14:val="tx1"/>
                  </w14:solidFill>
                </w14:textFill>
              </w:rPr>
              <w:t>充电站详细地址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pct"/>
            <w:vAlign w:val="center"/>
          </w:tcPr>
          <w:p>
            <w:pPr>
              <w:adjustRightInd w:val="0"/>
              <w:snapToGrid w:val="0"/>
              <w:jc w:val="center"/>
              <w:rPr>
                <w:rFonts w:ascii="仿宋_GB2312" w:hAnsi="等线" w:eastAsia="仿宋_GB2312" w:cs="仿宋_GB2312"/>
                <w:color w:val="000000" w:themeColor="text1"/>
                <w:kern w:val="0"/>
                <w:sz w:val="24"/>
                <w:lang w:bidi="ar"/>
                <w14:textFill>
                  <w14:solidFill>
                    <w14:schemeClr w14:val="tx1"/>
                  </w14:solidFill>
                </w14:textFill>
              </w:rPr>
            </w:pPr>
          </w:p>
        </w:tc>
        <w:tc>
          <w:tcPr>
            <w:tcW w:w="1144" w:type="pct"/>
            <w:vAlign w:val="center"/>
          </w:tcPr>
          <w:p>
            <w:pPr>
              <w:adjustRightInd w:val="0"/>
              <w:snapToGrid w:val="0"/>
              <w:jc w:val="center"/>
              <w:rPr>
                <w:rFonts w:ascii="仿宋_GB2312" w:hAnsi="等线" w:eastAsia="仿宋_GB2312" w:cs="仿宋_GB2312"/>
                <w:color w:val="000000" w:themeColor="text1"/>
                <w:kern w:val="0"/>
                <w:sz w:val="24"/>
                <w:lang w:bidi="ar"/>
                <w14:textFill>
                  <w14:solidFill>
                    <w14:schemeClr w14:val="tx1"/>
                  </w14:solidFill>
                </w14:textFill>
              </w:rPr>
            </w:pPr>
          </w:p>
        </w:tc>
        <w:tc>
          <w:tcPr>
            <w:tcW w:w="3230" w:type="pct"/>
            <w:vAlign w:val="center"/>
          </w:tcPr>
          <w:p>
            <w:pPr>
              <w:adjustRightInd w:val="0"/>
              <w:snapToGrid w:val="0"/>
              <w:jc w:val="center"/>
              <w:rPr>
                <w:rFonts w:ascii="仿宋_GB2312" w:hAnsi="等线" w:eastAsia="仿宋_GB2312" w:cs="仿宋_GB2312"/>
                <w:color w:val="000000" w:themeColor="text1"/>
                <w:kern w:val="0"/>
                <w:sz w:val="24"/>
                <w:lang w:bidi="ar"/>
                <w14:textFill>
                  <w14:solidFill>
                    <w14:schemeClr w14:val="tx1"/>
                  </w14:solidFill>
                </w14:textFill>
              </w:rPr>
            </w:pPr>
          </w:p>
        </w:tc>
      </w:tr>
      <w:bookmarkEnd w:id="3"/>
    </w:tbl>
    <w:p>
      <w:pPr>
        <w:adjustRightInd w:val="0"/>
        <w:snapToGrid w:val="0"/>
        <w:spacing w:line="560" w:lineRule="exact"/>
        <w:ind w:firstLine="3840" w:firstLineChars="1200"/>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napToGrid w:val="0"/>
        <w:spacing w:line="560" w:lineRule="exact"/>
        <w:ind w:firstLine="3840" w:firstLineChars="1200"/>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napToGrid w:val="0"/>
        <w:spacing w:line="560" w:lineRule="exact"/>
        <w:ind w:firstLine="3840" w:firstLineChars="1200"/>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napToGrid w:val="0"/>
        <w:spacing w:line="560" w:lineRule="exact"/>
        <w:ind w:firstLine="3840" w:firstLineChars="1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使用单位（公章）：</w:t>
      </w:r>
    </w:p>
    <w:p>
      <w:pPr>
        <w:adjustRightInd w:val="0"/>
        <w:snapToGrid w:val="0"/>
        <w:spacing w:line="560" w:lineRule="exact"/>
        <w:ind w:firstLine="3840" w:firstLineChars="1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法定代表人签字：</w:t>
      </w:r>
    </w:p>
    <w:p>
      <w:pPr>
        <w:adjustRightInd w:val="0"/>
        <w:snapToGrid w:val="0"/>
        <w:spacing w:line="560" w:lineRule="exact"/>
        <w:ind w:firstLine="3840" w:firstLineChars="1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日期：      年     月    日</w:t>
      </w:r>
    </w:p>
    <w:sectPr>
      <w:pgSz w:w="11906" w:h="16838"/>
      <w:pgMar w:top="1440" w:right="1800" w:bottom="1440" w:left="1800"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黑体-GB2312">
    <w:altName w:val="微软雅黑"/>
    <w:panose1 w:val="00000000000000000000"/>
    <w:charset w:val="86"/>
    <w:family w:val="auto"/>
    <w:pitch w:val="default"/>
    <w:sig w:usb0="00000000" w:usb1="00000000" w:usb2="00000012" w:usb3="00000000" w:csb0="0004000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7616856"/>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ODMxYTE0ZTc0ZGU3Y2QwODc3MzYzN2Q1YmNiM2EifQ=="/>
  </w:docVars>
  <w:rsids>
    <w:rsidRoot w:val="00A3061B"/>
    <w:rsid w:val="005A520F"/>
    <w:rsid w:val="00A3061B"/>
    <w:rsid w:val="00D65696"/>
    <w:rsid w:val="00EB30C0"/>
    <w:rsid w:val="00FE2E2B"/>
    <w:rsid w:val="112C784F"/>
    <w:rsid w:val="1BDA1735"/>
    <w:rsid w:val="6CEE4E46"/>
    <w:rsid w:val="7E820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semiHidden/>
    <w:unhideWhenUsed/>
    <w:qFormat/>
    <w:uiPriority w:val="99"/>
    <w:rPr>
      <w:rFonts w:ascii="宋体" w:hAnsi="Courier New" w:cs="Courier New"/>
      <w:szCs w:val="21"/>
    </w:rPr>
  </w:style>
  <w:style w:type="paragraph" w:styleId="3">
    <w:name w:val="annotation text"/>
    <w:basedOn w:val="1"/>
    <w:link w:val="11"/>
    <w:unhideWhenUsed/>
    <w:qFormat/>
    <w:uiPriority w:val="99"/>
    <w:pPr>
      <w:jc w:val="left"/>
    </w:pPr>
    <w:rPr>
      <w:szCs w:val="22"/>
    </w:rPr>
  </w:style>
  <w:style w:type="paragraph" w:styleId="4">
    <w:name w:val="Balloon Text"/>
    <w:basedOn w:val="1"/>
    <w:link w:val="12"/>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纯文本 Char"/>
    <w:basedOn w:val="9"/>
    <w:link w:val="2"/>
    <w:semiHidden/>
    <w:qFormat/>
    <w:uiPriority w:val="99"/>
    <w:rPr>
      <w:rFonts w:ascii="宋体" w:hAnsi="Courier New" w:eastAsia="宋体" w:cs="Courier New"/>
      <w:szCs w:val="21"/>
    </w:rPr>
  </w:style>
  <w:style w:type="character" w:customStyle="1" w:styleId="11">
    <w:name w:val="批注文字 Char"/>
    <w:basedOn w:val="9"/>
    <w:link w:val="3"/>
    <w:qFormat/>
    <w:uiPriority w:val="99"/>
    <w:rPr>
      <w:rFonts w:ascii="Calibri" w:hAnsi="Calibri" w:eastAsia="宋体" w:cs="Times New Roman"/>
    </w:rPr>
  </w:style>
  <w:style w:type="character" w:customStyle="1" w:styleId="12">
    <w:name w:val="批注框文本 Char"/>
    <w:basedOn w:val="9"/>
    <w:link w:val="4"/>
    <w:semiHidden/>
    <w:uiPriority w:val="99"/>
    <w:rPr>
      <w:rFonts w:ascii="Calibri" w:hAnsi="Calibri" w:eastAsia="宋体" w:cs="Times New Roman"/>
      <w:sz w:val="18"/>
      <w:szCs w:val="18"/>
    </w:rPr>
  </w:style>
  <w:style w:type="character" w:customStyle="1" w:styleId="13">
    <w:name w:val="页眉 Char"/>
    <w:basedOn w:val="9"/>
    <w:link w:val="6"/>
    <w:uiPriority w:val="99"/>
    <w:rPr>
      <w:rFonts w:ascii="Calibri" w:hAnsi="Calibri" w:eastAsia="宋体" w:cs="Times New Roman"/>
      <w:sz w:val="18"/>
      <w:szCs w:val="18"/>
    </w:rPr>
  </w:style>
  <w:style w:type="character" w:customStyle="1" w:styleId="14">
    <w:name w:val="页脚 Char"/>
    <w:basedOn w:val="9"/>
    <w:link w:val="5"/>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2984</Words>
  <Characters>3194</Characters>
  <Lines>26</Lines>
  <Paragraphs>7</Paragraphs>
  <TotalTime>18</TotalTime>
  <ScaleCrop>false</ScaleCrop>
  <LinksUpToDate>false</LinksUpToDate>
  <CharactersWithSpaces>3337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2024-06-03T06:57:00Z</dcterms:created>
  <dc:creator>汤靖</dc:creator>
  <cp:lastModifiedBy>Administrator</cp:lastModifiedBy>
  <dcterms:modified xsi:type="dcterms:W3CDTF">2024-06-05T09:14:06Z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2DE6C0D15B214AFEA266B3934992D646_13</vt:lpwstr>
  </property>
</Properties>
</file>