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340" w:rightChars="-162"/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spacing w:line="2" w:lineRule="atLeast"/>
        <w:jc w:val="center"/>
        <w:rPr>
          <w:rFonts w:hint="eastAsia" w:ascii="Times New Roman" w:hAnsi="Times New Roman"/>
          <w:bCs/>
          <w:color w:val="auto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重点节能技术应用典型案例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项目情况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6"/>
          <w:szCs w:val="36"/>
          <w:highlight w:val="none"/>
        </w:rPr>
        <w:t>表</w:t>
      </w:r>
    </w:p>
    <w:tbl>
      <w:tblPr>
        <w:tblStyle w:val="4"/>
        <w:tblW w:w="8423" w:type="dxa"/>
        <w:jc w:val="center"/>
        <w:tblInd w:w="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063"/>
        <w:gridCol w:w="2065"/>
        <w:gridCol w:w="2034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申报案例项目名称</w:t>
            </w:r>
          </w:p>
        </w:tc>
        <w:tc>
          <w:tcPr>
            <w:tcW w:w="6162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9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162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案例项目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开工时间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竣工时间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投资额（万元）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投资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回收期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年）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新建或改造主要内容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（包括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主要建设或改造内容项目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建设条件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建设规模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等，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案例为改造项目的，同时提供改造前后的对比情况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案例项目总节能量（tec)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hint="eastAsia" w:ascii="Times New Roman" w:hAnsi="Times New Roman" w:cs="Times New Roman"/>
                <w:bCs/>
                <w:i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案例项目总碳减排量（tCO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hint="eastAsia" w:ascii="Times New Roman" w:hAnsi="Times New Roman" w:cs="Times New Roman"/>
                <w:bCs/>
                <w:i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申报的案例技术在该案例中应用及发挥节能作用情况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经济、环境</w:t>
            </w:r>
          </w:p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及社会效益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包括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项目整体节能减排效益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运行情况、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使用性能、经济效益等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案例亮点</w:t>
            </w:r>
          </w:p>
        </w:tc>
        <w:tc>
          <w:tcPr>
            <w:tcW w:w="6192" w:type="dxa"/>
            <w:gridSpan w:val="4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left"/>
              <w:rPr>
                <w:rFonts w:hint="eastAsia" w:ascii="Times New Roman" w:hAnsi="Times New Roman" w:eastAsia="仿宋_GB2312" w:cs="Times New Roman"/>
                <w:bCs/>
                <w:i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总结本案例最突出的亮点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如采用先进适用的技术、节能效果显著、经济效益突出、业主满意度高或其他实施单位认为值得借鉴的项目经验等</w:t>
            </w:r>
            <w:r>
              <w:rPr>
                <w:rFonts w:hint="eastAsia" w:ascii="Times New Roman" w:hAnsi="Times New Roman" w:cs="Times New Roman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VlYWE1MjE1ZmMxMjQ1NjQxMTFiZTk4ZDlmZGEifQ=="/>
  </w:docVars>
  <w:rsids>
    <w:rsidRoot w:val="00000000"/>
    <w:rsid w:val="138362CD"/>
    <w:rsid w:val="14B16DBD"/>
    <w:rsid w:val="4F792F56"/>
    <w:rsid w:val="63C22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</dc:creator>
  <cp:lastModifiedBy>倪修缘</cp:lastModifiedBy>
  <dcterms:modified xsi:type="dcterms:W3CDTF">2024-04-22T09:58:56Z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617B12BBC31C4AC3BF5E005FA472D328_12</vt:lpwstr>
  </property>
</Properties>
</file>