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spacing w:line="600" w:lineRule="exact"/>
        <w:ind w:firstLine="0" w:firstLineChars="0"/>
        <w:jc w:val="center"/>
        <w:rPr>
          <w:rFonts w:hint="eastAsia" w:asciiTheme="minorEastAsia" w:hAnsiTheme="minorEastAsia" w:eastAsiaTheme="minorEastAsia" w:cstheme="minorEastAsia"/>
          <w:b/>
          <w:bCs w:val="0"/>
          <w:color w:val="000000" w:themeColor="text1"/>
          <w:sz w:val="44"/>
          <w:szCs w:val="44"/>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44"/>
          <w:szCs w:val="44"/>
          <w:highlight w:val="none"/>
          <w14:textFill>
            <w14:solidFill>
              <w14:schemeClr w14:val="tx1"/>
            </w14:solidFill>
          </w14:textFill>
        </w:rPr>
        <w:t>深圳市基本公共服务全覆盖研究</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微软雅黑" w:hAnsi="宋体" w:cs="Arial"/>
          <w:sz w:val="48"/>
          <w:szCs w:val="48"/>
        </w:rPr>
      </w:pPr>
    </w:p>
    <w:p>
      <w:pPr>
        <w:spacing w:line="360" w:lineRule="auto"/>
        <w:rPr>
          <w:rFonts w:ascii="微软雅黑" w:hAnsi="宋体" w:cs="Arial"/>
          <w:sz w:val="48"/>
          <w:szCs w:val="48"/>
        </w:rPr>
      </w:pPr>
    </w:p>
    <w:p>
      <w:pPr>
        <w:adjustRightInd w:val="0"/>
        <w:snapToGrid w:val="0"/>
        <w:spacing w:line="600" w:lineRule="exact"/>
        <w:ind w:firstLine="0" w:firstLineChars="0"/>
        <w:jc w:val="center"/>
        <w:rPr>
          <w:rFonts w:hint="eastAsia"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highlight w:val="none"/>
          <w:lang w:eastAsia="zh-CN"/>
          <w14:textFill>
            <w14:solidFill>
              <w14:schemeClr w14:val="tx1"/>
            </w14:solidFill>
          </w14:textFill>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rPr>
        <w:t>4年</w:t>
      </w:r>
      <w:r>
        <w:rPr>
          <w:rFonts w:hint="eastAsia" w:ascii="宋体" w:hAnsi="宋体"/>
          <w:b/>
          <w:bCs/>
          <w:sz w:val="32"/>
          <w:szCs w:val="32"/>
          <w:lang w:val="en-US" w:eastAsia="zh-CN"/>
        </w:rPr>
        <w:t>4</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pgNumType w:fmt="decimal"/>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深圳市基本公共服务全覆盖研究招标书</w:t>
      </w:r>
    </w:p>
    <w:p>
      <w:pPr>
        <w:spacing w:line="560" w:lineRule="exact"/>
        <w:ind w:firstLine="643" w:firstLineChars="200"/>
        <w:rPr>
          <w:rFonts w:ascii="黑体" w:hAnsi="黑体" w:eastAsia="黑体"/>
          <w:b/>
          <w:bCs/>
          <w:sz w:val="32"/>
          <w:szCs w:val="32"/>
        </w:rPr>
      </w:pP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（一）项目名称：深圳市基本公共服务全覆盖研究。</w:t>
      </w:r>
    </w:p>
    <w:p>
      <w:pPr>
        <w:adjustRightInd w:val="0"/>
        <w:snapToGrid w:val="0"/>
        <w:spacing w:line="560" w:lineRule="exact"/>
        <w:ind w:firstLine="640" w:firstLineChars="200"/>
        <w:outlineLvl w:val="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（二）服务期限：自合同签订之日起</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个月</w:t>
      </w:r>
      <w:r>
        <w:rPr>
          <w:rFonts w:hint="eastAsia" w:ascii="仿宋_GB2312" w:hAnsi="仿宋" w:eastAsia="仿宋_GB2312" w:cs="仿宋_GB2312"/>
          <w:sz w:val="32"/>
          <w:szCs w:val="32"/>
          <w:lang w:eastAsia="zh-CN"/>
        </w:rPr>
        <w:t>。</w:t>
      </w:r>
    </w:p>
    <w:p>
      <w:pPr>
        <w:adjustRightInd w:val="0"/>
        <w:snapToGrid w:val="0"/>
        <w:spacing w:line="560" w:lineRule="exact"/>
        <w:ind w:firstLine="640" w:firstLineChars="200"/>
        <w:outlineLvl w:val="0"/>
        <w:rPr>
          <w:rFonts w:hint="eastAsia" w:ascii="仿宋_GB2312" w:hAnsi="仿宋" w:eastAsia="仿宋_GB2312" w:cs="仿宋_GB2312"/>
          <w:sz w:val="32"/>
          <w:szCs w:val="32"/>
          <w:highlight w:val="yellow"/>
          <w:lang w:eastAsia="zh-CN"/>
        </w:rPr>
      </w:pPr>
      <w:r>
        <w:rPr>
          <w:rFonts w:hint="eastAsia" w:ascii="仿宋_GB2312" w:hAnsi="仿宋" w:eastAsia="仿宋_GB2312" w:cs="仿宋_GB2312"/>
          <w:sz w:val="32"/>
          <w:szCs w:val="32"/>
        </w:rPr>
        <w:t>（三）项目预算：</w:t>
      </w:r>
      <w:r>
        <w:rPr>
          <w:rFonts w:hint="eastAsia" w:ascii="仿宋_GB2312" w:hAnsi="仿宋" w:eastAsia="仿宋_GB2312" w:cs="仿宋_GB2312"/>
          <w:sz w:val="32"/>
          <w:szCs w:val="32"/>
          <w:lang w:eastAsia="zh-CN"/>
        </w:rPr>
        <w:t>上限</w:t>
      </w:r>
      <w:r>
        <w:rPr>
          <w:rFonts w:hint="eastAsia" w:ascii="仿宋_GB2312" w:hAnsi="仿宋" w:eastAsia="仿宋_GB2312" w:cs="仿宋_GB2312"/>
          <w:sz w:val="32"/>
          <w:szCs w:val="32"/>
          <w:lang w:val="en-US" w:eastAsia="zh-CN"/>
        </w:rPr>
        <w:t>27</w:t>
      </w:r>
      <w:r>
        <w:rPr>
          <w:rFonts w:hint="eastAsia" w:ascii="仿宋_GB2312" w:hAnsi="仿宋" w:eastAsia="仿宋_GB2312" w:cs="仿宋_GB2312"/>
          <w:sz w:val="32"/>
          <w:szCs w:val="32"/>
        </w:rPr>
        <w:t>万元</w:t>
      </w:r>
      <w:r>
        <w:rPr>
          <w:rFonts w:hint="eastAsia" w:ascii="仿宋_GB2312" w:hAnsi="仿宋" w:eastAsia="仿宋_GB2312" w:cs="仿宋_GB2312"/>
          <w:sz w:val="32"/>
          <w:szCs w:val="32"/>
          <w:lang w:eastAsia="zh-CN"/>
        </w:rPr>
        <w:t>。</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二、项目内容</w:t>
      </w:r>
    </w:p>
    <w:p>
      <w:pPr>
        <w:adjustRightInd w:val="0"/>
        <w:snapToGrid w:val="0"/>
        <w:spacing w:line="560" w:lineRule="exact"/>
        <w:ind w:firstLine="640" w:firstLineChars="200"/>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一是对照国家、省基本公共服务标准，综合评估深圳市落实情况。二是借鉴先进城市经验做法，结合深圳人口特点和财力因素等实际情况，研究提出深圳市稳步推进基本公共服务常住人口全覆盖的总体思路和举措建议。</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三、项目实施要求</w:t>
      </w:r>
    </w:p>
    <w:p>
      <w:pPr>
        <w:pStyle w:val="2"/>
        <w:keepNext w:val="0"/>
        <w:keepLines w:val="0"/>
        <w:spacing w:before="0" w:after="0" w:line="560" w:lineRule="exact"/>
        <w:ind w:firstLine="640" w:firstLineChars="200"/>
        <w:rPr>
          <w:rFonts w:ascii="仿宋_GB2312" w:hAnsi="Times New Roman" w:eastAsia="仿宋_GB2312"/>
          <w:color w:val="auto"/>
        </w:rPr>
      </w:pPr>
      <w:r>
        <w:rPr>
          <w:rFonts w:hint="eastAsia" w:ascii="仿宋_GB2312" w:hAnsi="Times New Roman" w:eastAsia="仿宋_GB2312"/>
          <w:b w:val="0"/>
          <w:color w:val="auto"/>
        </w:rPr>
        <w:t>（一）项目成果应遵循国家颁布的有关</w:t>
      </w:r>
      <w:r>
        <w:rPr>
          <w:rFonts w:hint="eastAsia" w:ascii="仿宋_GB2312" w:hAnsi="Times New Roman" w:eastAsia="仿宋_GB2312"/>
          <w:b w:val="0"/>
          <w:color w:val="auto"/>
          <w:lang w:eastAsia="zh-CN"/>
        </w:rPr>
        <w:t>法律法规</w:t>
      </w:r>
      <w:r>
        <w:rPr>
          <w:rFonts w:hint="eastAsia" w:ascii="仿宋_GB2312" w:hAnsi="Times New Roman" w:eastAsia="仿宋_GB2312"/>
          <w:b w:val="0"/>
          <w:color w:val="auto"/>
        </w:rPr>
        <w:t>及政策要求，符合相关的技术规范和标准。</w:t>
      </w:r>
    </w:p>
    <w:p>
      <w:pPr>
        <w:pStyle w:val="2"/>
        <w:keepNext w:val="0"/>
        <w:keepLines w:val="0"/>
        <w:spacing w:before="0" w:after="0" w:line="560" w:lineRule="exact"/>
        <w:ind w:firstLine="640" w:firstLineChars="200"/>
        <w:rPr>
          <w:rFonts w:ascii="仿宋_GB2312" w:hAnsi="Times New Roman" w:eastAsia="仿宋_GB2312"/>
          <w:color w:val="auto"/>
        </w:rPr>
      </w:pPr>
      <w:r>
        <w:rPr>
          <w:rFonts w:hint="eastAsia" w:ascii="仿宋_GB2312" w:hAnsi="Times New Roman" w:eastAsia="仿宋_GB2312"/>
          <w:b w:val="0"/>
          <w:color w:val="auto"/>
        </w:rPr>
        <w:t>（二）研究过程中应当进行深入调查研究，充分把握深圳现有基础条件、存在问题等相关信息和基础资料。</w:t>
      </w:r>
    </w:p>
    <w:p>
      <w:pPr>
        <w:pStyle w:val="2"/>
        <w:keepNext w:val="0"/>
        <w:keepLines w:val="0"/>
        <w:spacing w:before="0" w:after="0" w:line="560" w:lineRule="exact"/>
        <w:ind w:firstLine="640" w:firstLineChars="200"/>
        <w:rPr>
          <w:color w:val="auto"/>
        </w:rPr>
      </w:pPr>
      <w:r>
        <w:rPr>
          <w:rFonts w:hint="eastAsia" w:ascii="仿宋_GB2312" w:hAnsi="Times New Roman" w:eastAsia="仿宋_GB2312"/>
          <w:b w:val="0"/>
          <w:color w:val="auto"/>
        </w:rPr>
        <w:t>（三）研究成果要具有前瞻性，面向未来、视野开阔；具有系统性，体系完整、内容全面、材料丰富；具有实用性，符合深圳实际情况，针对性和可操作性强。</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四、项目成果交付要求</w:t>
      </w:r>
    </w:p>
    <w:p>
      <w:pPr>
        <w:spacing w:line="560" w:lineRule="exact"/>
        <w:ind w:firstLine="640" w:firstLineChars="200"/>
        <w:rPr>
          <w:rFonts w:ascii="Times New Roman" w:hAnsi="Times New Roman" w:eastAsia="仿宋_GB2312"/>
          <w:color w:val="000000" w:themeColor="text1"/>
          <w:sz w:val="32"/>
          <w:szCs w:val="24"/>
          <w14:textFill>
            <w14:solidFill>
              <w14:schemeClr w14:val="tx1"/>
            </w14:solidFill>
          </w14:textFill>
        </w:rPr>
      </w:pPr>
      <w:r>
        <w:rPr>
          <w:rFonts w:hint="eastAsia" w:ascii="Times New Roman" w:hAnsi="Times New Roman" w:eastAsia="仿宋_GB2312"/>
          <w:color w:val="000000" w:themeColor="text1"/>
          <w:sz w:val="32"/>
          <w:szCs w:val="24"/>
          <w14:textFill>
            <w14:solidFill>
              <w14:schemeClr w14:val="tx1"/>
            </w14:solidFill>
          </w14:textFill>
        </w:rPr>
        <w:t>提交研究成果纸</w:t>
      </w:r>
      <w:r>
        <w:rPr>
          <w:rFonts w:hint="eastAsia" w:ascii="仿宋_GB2312" w:hAnsi="仿宋_GB2312" w:eastAsia="仿宋_GB2312" w:cs="仿宋_GB2312"/>
          <w:color w:val="000000" w:themeColor="text1"/>
          <w:sz w:val="32"/>
          <w:szCs w:val="24"/>
          <w14:textFill>
            <w14:solidFill>
              <w14:schemeClr w14:val="tx1"/>
            </w14:solidFill>
          </w14:textFill>
        </w:rPr>
        <w:t>质版</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24"/>
          <w14:textFill>
            <w14:solidFill>
              <w14:schemeClr w14:val="tx1"/>
            </w14:solidFill>
          </w14:textFill>
        </w:rPr>
        <w:t>份</w:t>
      </w:r>
      <w:r>
        <w:rPr>
          <w:rFonts w:hint="eastAsia" w:ascii="Times New Roman" w:hAnsi="Times New Roman" w:eastAsia="仿宋_GB2312"/>
          <w:color w:val="000000" w:themeColor="text1"/>
          <w:sz w:val="32"/>
          <w:szCs w:val="24"/>
          <w14:textFill>
            <w14:solidFill>
              <w14:schemeClr w14:val="tx1"/>
            </w14:solidFill>
          </w14:textFill>
        </w:rPr>
        <w:t>和电子版，文件能够简明扼要介绍成果核心内容与主要结论。</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五、投标资格要求</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2"/>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六、投标时间、方式及联系人</w:t>
      </w:r>
    </w:p>
    <w:p>
      <w:pPr>
        <w:spacing w:line="560" w:lineRule="exact"/>
        <w:ind w:firstLine="640" w:firstLineChars="200"/>
        <w:rPr>
          <w:rFonts w:ascii="Times New Roman" w:hAnsi="Times New Roman" w:eastAsia="仿宋_GB2312"/>
          <w:color w:val="0000FF"/>
          <w:sz w:val="32"/>
          <w:szCs w:val="24"/>
        </w:rPr>
      </w:pPr>
      <w:r>
        <w:rPr>
          <w:rFonts w:hint="eastAsia" w:ascii="Times New Roman" w:hAnsi="Times New Roman" w:eastAsia="仿宋_GB2312"/>
          <w:color w:val="000000" w:themeColor="text1"/>
          <w:sz w:val="32"/>
          <w:szCs w:val="24"/>
          <w14:textFill>
            <w14:solidFill>
              <w14:schemeClr w14:val="tx1"/>
            </w14:solidFill>
          </w14:textFill>
        </w:rPr>
        <w:t>（一）投标</w:t>
      </w:r>
      <w:r>
        <w:rPr>
          <w:rFonts w:ascii="仿宋_GB2312" w:hAnsi="仿宋_GB2312" w:eastAsia="仿宋_GB2312" w:cs="仿宋_GB2312"/>
          <w:color w:val="000000" w:themeColor="text1"/>
          <w:sz w:val="32"/>
          <w:szCs w:val="24"/>
          <w14:textFill>
            <w14:solidFill>
              <w14:schemeClr w14:val="tx1"/>
            </w14:solidFill>
          </w14:textFill>
        </w:rPr>
        <w:t>时间：202</w:t>
      </w:r>
      <w:r>
        <w:rPr>
          <w:rFonts w:hint="eastAsia" w:ascii="仿宋_GB2312" w:hAnsi="仿宋_GB2312" w:eastAsia="仿宋_GB2312" w:cs="仿宋_GB2312"/>
          <w:color w:val="000000" w:themeColor="text1"/>
          <w:sz w:val="32"/>
          <w:szCs w:val="24"/>
          <w14:textFill>
            <w14:solidFill>
              <w14:schemeClr w14:val="tx1"/>
            </w14:solidFill>
          </w14:textFill>
        </w:rPr>
        <w:t>4</w:t>
      </w:r>
      <w:r>
        <w:rPr>
          <w:rFonts w:ascii="仿宋_GB2312" w:hAnsi="仿宋_GB2312" w:eastAsia="仿宋_GB2312" w:cs="仿宋_GB2312"/>
          <w:color w:val="000000" w:themeColor="text1"/>
          <w:sz w:val="32"/>
          <w:szCs w:val="24"/>
          <w14:textFill>
            <w14:solidFill>
              <w14:schemeClr w14:val="tx1"/>
            </w14:solidFill>
          </w14:textFill>
        </w:rPr>
        <w:t>年</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4</w:t>
      </w:r>
      <w:r>
        <w:rPr>
          <w:rFonts w:ascii="仿宋_GB2312" w:hAnsi="仿宋_GB2312" w:eastAsia="仿宋_GB2312" w:cs="仿宋_GB2312"/>
          <w:color w:val="000000" w:themeColor="text1"/>
          <w:sz w:val="32"/>
          <w:szCs w:val="24"/>
          <w14:textFill>
            <w14:solidFill>
              <w14:schemeClr w14:val="tx1"/>
            </w14:solidFill>
          </w14:textFill>
        </w:rPr>
        <w:t>月</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1</w:t>
      </w:r>
      <w:r>
        <w:rPr>
          <w:rFonts w:ascii="仿宋_GB2312" w:hAnsi="仿宋_GB2312" w:eastAsia="仿宋_GB2312" w:cs="仿宋_GB2312"/>
          <w:color w:val="000000" w:themeColor="text1"/>
          <w:sz w:val="32"/>
          <w:szCs w:val="24"/>
          <w14:textFill>
            <w14:solidFill>
              <w14:schemeClr w14:val="tx1"/>
            </w14:solidFill>
          </w14:textFill>
        </w:rPr>
        <w:t>日至20</w:t>
      </w:r>
      <w:r>
        <w:rPr>
          <w:rFonts w:hint="eastAsia" w:ascii="仿宋_GB2312" w:hAnsi="仿宋_GB2312" w:eastAsia="仿宋_GB2312" w:cs="仿宋_GB2312"/>
          <w:color w:val="000000" w:themeColor="text1"/>
          <w:sz w:val="32"/>
          <w:szCs w:val="24"/>
          <w14:textFill>
            <w14:solidFill>
              <w14:schemeClr w14:val="tx1"/>
            </w14:solidFill>
          </w14:textFill>
        </w:rPr>
        <w:t>24</w:t>
      </w:r>
      <w:r>
        <w:rPr>
          <w:rFonts w:ascii="仿宋_GB2312" w:hAnsi="仿宋_GB2312" w:eastAsia="仿宋_GB2312" w:cs="仿宋_GB2312"/>
          <w:color w:val="000000" w:themeColor="text1"/>
          <w:sz w:val="32"/>
          <w:szCs w:val="24"/>
          <w14:textFill>
            <w14:solidFill>
              <w14:schemeClr w14:val="tx1"/>
            </w14:solidFill>
          </w14:textFill>
        </w:rPr>
        <w:t>年</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4</w:t>
      </w:r>
      <w:r>
        <w:rPr>
          <w:rFonts w:ascii="仿宋_GB2312" w:hAnsi="仿宋_GB2312" w:eastAsia="仿宋_GB2312" w:cs="仿宋_GB2312"/>
          <w:color w:val="000000" w:themeColor="text1"/>
          <w:sz w:val="32"/>
          <w:szCs w:val="24"/>
          <w14:textFill>
            <w14:solidFill>
              <w14:schemeClr w14:val="tx1"/>
            </w14:solidFill>
          </w14:textFill>
        </w:rPr>
        <w:t>月</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11</w:t>
      </w:r>
      <w:r>
        <w:rPr>
          <w:rFonts w:ascii="仿宋_GB2312" w:hAnsi="仿宋_GB2312" w:eastAsia="仿宋_GB2312" w:cs="仿宋_GB2312"/>
          <w:color w:val="000000" w:themeColor="text1"/>
          <w:sz w:val="32"/>
          <w:szCs w:val="24"/>
          <w14:textFill>
            <w14:solidFill>
              <w14:schemeClr w14:val="tx1"/>
            </w14:solidFill>
          </w14:textFill>
        </w:rPr>
        <w:t>日，每日上午9:00-12:00，下午2:00-5:45（节假日除外）。逾期未投标将不再受理</w:t>
      </w:r>
      <w:r>
        <w:rPr>
          <w:rFonts w:hint="eastAsia" w:ascii="Times New Roman" w:hAnsi="Times New Roman" w:eastAsia="仿宋_GB2312"/>
          <w:color w:val="000000" w:themeColor="text1"/>
          <w:sz w:val="32"/>
          <w:szCs w:val="24"/>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24"/>
          <w14:textFill>
            <w14:solidFill>
              <w14:schemeClr w14:val="tx1"/>
            </w14:solidFill>
          </w14:textFill>
        </w:rPr>
      </w:pPr>
      <w:r>
        <w:rPr>
          <w:rFonts w:hint="eastAsia" w:ascii="Times New Roman" w:hAnsi="Times New Roman" w:eastAsia="仿宋_GB2312"/>
          <w:color w:val="000000" w:themeColor="text1"/>
          <w:sz w:val="32"/>
          <w:szCs w:val="24"/>
          <w14:textFill>
            <w14:solidFill>
              <w14:schemeClr w14:val="tx1"/>
            </w14:solidFill>
          </w14:textFill>
        </w:rPr>
        <w:t>（二）投</w:t>
      </w:r>
      <w:r>
        <w:rPr>
          <w:rFonts w:ascii="仿宋_GB2312" w:hAnsi="仿宋_GB2312" w:eastAsia="仿宋_GB2312" w:cs="仿宋_GB2312"/>
          <w:color w:val="000000" w:themeColor="text1"/>
          <w:sz w:val="32"/>
          <w:szCs w:val="24"/>
          <w14:textFill>
            <w14:solidFill>
              <w14:schemeClr w14:val="tx1"/>
            </w14:solidFill>
          </w14:textFill>
        </w:rPr>
        <w:t>标地点：深圳市福田区福中三路市民中心B区行政服务大厅2号市发展和改革委卡座（可邮寄，以送达日期为投标日期）。</w:t>
      </w:r>
    </w:p>
    <w:p>
      <w:pPr>
        <w:spacing w:line="560" w:lineRule="exact"/>
        <w:ind w:firstLine="640" w:firstLineChars="200"/>
        <w:rPr>
          <w:rFonts w:hint="eastAsia" w:ascii="仿宋_GB2312" w:hAnsi="仿宋_GB2312" w:eastAsia="仿宋_GB2312" w:cs="仿宋_GB2312"/>
          <w:color w:val="000000" w:themeColor="text1"/>
          <w:sz w:val="32"/>
          <w:szCs w:val="24"/>
          <w:lang w:eastAsia="zh-CN"/>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（三）联系人：</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刘合庆</w:t>
      </w:r>
      <w:r>
        <w:rPr>
          <w:rFonts w:hint="eastAsia" w:ascii="仿宋_GB2312" w:hAnsi="仿宋_GB2312" w:eastAsia="仿宋_GB2312" w:cs="仿宋_GB2312"/>
          <w:color w:val="000000" w:themeColor="text1"/>
          <w:sz w:val="32"/>
          <w:szCs w:val="24"/>
          <w14:textFill>
            <w14:solidFill>
              <w14:schemeClr w14:val="tx1"/>
            </w14:solidFill>
          </w14:textFill>
        </w:rPr>
        <w:t>，0755-8812</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7931</w:t>
      </w:r>
      <w:r>
        <w:rPr>
          <w:rFonts w:hint="eastAsia" w:ascii="仿宋_GB2312" w:hAnsi="仿宋_GB2312" w:eastAsia="仿宋_GB2312" w:cs="仿宋_GB2312"/>
          <w:color w:val="000000" w:themeColor="text1"/>
          <w:sz w:val="32"/>
          <w:szCs w:val="24"/>
          <w:lang w:eastAsia="zh-CN"/>
          <w14:textFill>
            <w14:solidFill>
              <w14:schemeClr w14:val="tx1"/>
            </w14:solidFill>
          </w14:textFill>
        </w:rPr>
        <w:t>。</w:t>
      </w:r>
    </w:p>
    <w:p>
      <w:pPr>
        <w:adjustRightInd w:val="0"/>
        <w:snapToGrid w:val="0"/>
        <w:spacing w:line="560" w:lineRule="exact"/>
        <w:ind w:firstLine="640" w:firstLineChars="200"/>
        <w:outlineLvl w:val="0"/>
        <w:rPr>
          <w:rFonts w:ascii="黑体" w:hAnsi="黑体" w:eastAsia="黑体"/>
          <w:b w:val="0"/>
          <w:bCs w:val="0"/>
          <w:color w:val="auto"/>
          <w:sz w:val="32"/>
          <w:szCs w:val="32"/>
        </w:rPr>
      </w:pPr>
      <w:r>
        <w:rPr>
          <w:rFonts w:ascii="黑体" w:hAnsi="黑体" w:eastAsia="黑体"/>
          <w:b w:val="0"/>
          <w:bCs w:val="0"/>
          <w:color w:val="auto"/>
          <w:sz w:val="32"/>
          <w:szCs w:val="32"/>
        </w:rPr>
        <w:t>七</w:t>
      </w:r>
      <w:r>
        <w:rPr>
          <w:rFonts w:hint="eastAsia" w:ascii="黑体" w:hAnsi="黑体" w:eastAsia="黑体"/>
          <w:b w:val="0"/>
          <w:bCs w:val="0"/>
          <w:color w:val="auto"/>
          <w:sz w:val="32"/>
          <w:szCs w:val="32"/>
        </w:rPr>
        <w:t>、投标文件递交内容</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（二）法定代表人证明书及授权委托书（原件加盖公章）。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（三）法定代表人及受委托人身份证复印件（复印件加盖公章）。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（四）项目方案及报价单（原件加盖公章）。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（五）投标人相关领域/项目经验证明材料（复印件加盖公章）。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（六）投标人无重大违法记录声明函（原件加盖公章，格式自拟）。</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（七）投标及履约承诺函原件（格式见附件）。</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（八）住所地不在深圳的投标人应提供营业场所证明原件。</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（九）投标人认为有必要提供</w:t>
      </w:r>
      <w:r>
        <w:rPr>
          <w:rFonts w:hint="eastAsia" w:ascii="仿宋_GB2312" w:hAnsi="Times New Roman" w:eastAsia="仿宋_GB2312"/>
          <w:bCs/>
          <w:sz w:val="32"/>
          <w:szCs w:val="32"/>
          <w:lang w:eastAsia="zh-CN"/>
        </w:rPr>
        <w:t>的其他</w:t>
      </w:r>
      <w:r>
        <w:rPr>
          <w:rFonts w:hint="eastAsia" w:ascii="仿宋_GB2312" w:hAnsi="Times New Roman" w:eastAsia="仿宋_GB2312"/>
          <w:bCs/>
          <w:sz w:val="32"/>
          <w:szCs w:val="32"/>
        </w:rPr>
        <w:t>材料。</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投标文件纸质版一式</w:t>
      </w:r>
      <w:r>
        <w:rPr>
          <w:rFonts w:hint="eastAsia" w:ascii="仿宋_GB2312" w:hAnsi="Times New Roman" w:eastAsia="仿宋_GB2312"/>
          <w:bCs/>
          <w:sz w:val="32"/>
          <w:szCs w:val="32"/>
          <w:lang w:eastAsia="zh-CN"/>
        </w:rPr>
        <w:t>六</w:t>
      </w:r>
      <w:r>
        <w:rPr>
          <w:rFonts w:hint="eastAsia" w:ascii="仿宋_GB2312" w:hAnsi="Times New Roman" w:eastAsia="仿宋_GB2312"/>
          <w:bCs/>
          <w:sz w:val="32"/>
          <w:szCs w:val="32"/>
        </w:rPr>
        <w:t>份</w:t>
      </w:r>
      <w:r>
        <w:rPr>
          <w:rFonts w:hint="eastAsia" w:ascii="仿宋_GB2312" w:hAnsi="Times New Roman" w:eastAsia="仿宋_GB2312"/>
          <w:bCs/>
          <w:sz w:val="32"/>
          <w:szCs w:val="32"/>
          <w:lang w:eastAsia="zh-CN"/>
        </w:rPr>
        <w:t>（另附光盘拷贝电子版）</w:t>
      </w:r>
      <w:r>
        <w:rPr>
          <w:rFonts w:hint="eastAsia" w:ascii="仿宋_GB2312" w:hAnsi="Times New Roman" w:eastAsia="仿宋_GB2312"/>
          <w:bCs/>
          <w:sz w:val="32"/>
          <w:szCs w:val="32"/>
        </w:rPr>
        <w:t>，整套材料密封并加盖骑缝章，封面注明投标人的名称、地址、联系人及手机号码。</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（一）未在规定时间内将投标文件送达规定地点的。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（二）投标人不具备投标资格要求，或未提交相应资格证明材料。</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（三）投标文件未按规定密封、签字、盖章。</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（五）分项报价或投标总价高于预算金额（最高投标限价）的。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（九）</w:t>
      </w:r>
      <w:r>
        <w:rPr>
          <w:rFonts w:hint="eastAsia" w:ascii="仿宋_GB2312" w:hAnsi="Times New Roman" w:eastAsia="仿宋_GB2312"/>
          <w:bCs/>
          <w:sz w:val="32"/>
          <w:szCs w:val="32"/>
          <w:lang w:eastAsia="zh-CN"/>
        </w:rPr>
        <w:t>法律法规</w:t>
      </w:r>
      <w:r>
        <w:rPr>
          <w:rFonts w:hint="eastAsia" w:ascii="仿宋_GB2312" w:hAnsi="Times New Roman" w:eastAsia="仿宋_GB2312"/>
          <w:bCs/>
          <w:sz w:val="32"/>
          <w:szCs w:val="32"/>
        </w:rPr>
        <w:t>规定的其他情形。</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rPr>
          <w:rFonts w:ascii="仿宋_GB2312" w:hAnsi="Times New Roman" w:eastAsia="仿宋_GB2312"/>
          <w:bCs/>
          <w:sz w:val="32"/>
          <w:szCs w:val="32"/>
        </w:rPr>
      </w:pPr>
      <w:r>
        <w:rPr>
          <w:rFonts w:hint="eastAsia" w:ascii="仿宋_GB2312" w:hAnsi="Times New Roman" w:eastAsia="仿宋_GB2312"/>
          <w:bCs/>
          <w:sz w:val="32"/>
          <w:szCs w:val="32"/>
        </w:rPr>
        <w:t>（二）综合评分表</w:t>
      </w:r>
    </w:p>
    <w:tbl>
      <w:tblPr>
        <w:tblStyle w:val="4"/>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hint="eastAsia" w:ascii="宋体" w:hAnsi="宋体"/>
                <w:b/>
                <w:sz w:val="22"/>
                <w:szCs w:val="24"/>
                <w:lang w:val="en-US" w:eastAsia="zh-CN"/>
              </w:rPr>
              <w:t>40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hint="eastAsia" w:ascii="宋体" w:hAnsi="宋体"/>
                <w:sz w:val="22"/>
                <w:szCs w:val="24"/>
                <w:lang w:eastAsia="zh-CN"/>
              </w:rPr>
            </w:pPr>
            <w:r>
              <w:rPr>
                <w:rFonts w:ascii="宋体" w:hAnsi="宋体"/>
                <w:sz w:val="22"/>
                <w:szCs w:val="24"/>
              </w:rPr>
              <w:t>2</w:t>
            </w:r>
            <w:r>
              <w:rPr>
                <w:rFonts w:hint="eastAsia" w:ascii="宋体" w:hAnsi="宋体"/>
                <w:sz w:val="22"/>
                <w:szCs w:val="24"/>
                <w:lang w:val="en-US" w:eastAsia="zh-CN"/>
              </w:rPr>
              <w:t>5</w:t>
            </w:r>
          </w:p>
        </w:tc>
        <w:tc>
          <w:tcPr>
            <w:tcW w:w="851" w:type="dxa"/>
            <w:tcBorders>
              <w:left w:val="single" w:color="auto" w:sz="4" w:space="0"/>
            </w:tcBorders>
            <w:vAlign w:val="center"/>
          </w:tcPr>
          <w:p>
            <w:pPr>
              <w:jc w:val="center"/>
              <w:rPr>
                <w:rFonts w:hint="eastAsia" w:ascii="宋体" w:hAnsi="宋体"/>
                <w:sz w:val="22"/>
                <w:szCs w:val="24"/>
                <w:lang w:eastAsia="zh-CN"/>
              </w:rPr>
            </w:pPr>
            <w:r>
              <w:rPr>
                <w:rFonts w:hint="eastAsia" w:ascii="宋体" w:hAnsi="宋体"/>
                <w:sz w:val="22"/>
                <w:szCs w:val="24"/>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1"/>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hint="default" w:ascii="宋体" w:hAnsi="宋体"/>
                <w:sz w:val="22"/>
                <w:szCs w:val="24"/>
                <w:lang w:val="en-US"/>
              </w:rPr>
            </w:pPr>
            <w:r>
              <w:rPr>
                <w:rFonts w:hint="eastAsia" w:ascii="宋体" w:hAnsi="宋体"/>
                <w:sz w:val="22"/>
                <w:szCs w:val="24"/>
                <w:lang w:val="en-US" w:eastAsia="zh-CN"/>
              </w:rPr>
              <w:t>10</w:t>
            </w:r>
          </w:p>
        </w:tc>
        <w:tc>
          <w:tcPr>
            <w:tcW w:w="851" w:type="dxa"/>
            <w:tcBorders>
              <w:left w:val="single" w:color="auto" w:sz="4" w:space="0"/>
            </w:tcBorders>
            <w:vAlign w:val="center"/>
          </w:tcPr>
          <w:p>
            <w:pPr>
              <w:jc w:val="center"/>
              <w:rPr>
                <w:rFonts w:ascii="宋体" w:hAnsi="宋体"/>
                <w:sz w:val="22"/>
                <w:szCs w:val="24"/>
              </w:rPr>
            </w:pPr>
            <w:r>
              <w:rPr>
                <w:rFonts w:hint="eastAsia" w:ascii="宋体" w:hAnsi="宋体"/>
                <w:sz w:val="22"/>
                <w:szCs w:val="24"/>
                <w:lang w:val="en-US" w:eastAsia="zh-CN"/>
              </w:rPr>
              <w:t>1</w:t>
            </w:r>
            <w:r>
              <w:rPr>
                <w:rFonts w:ascii="宋体" w:hAnsi="宋体"/>
                <w:sz w:val="22"/>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1"/>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w:t>
            </w:r>
            <w:r>
              <w:rPr>
                <w:rFonts w:hint="eastAsia" w:ascii="宋体" w:hAnsi="宋体" w:cs="宋体"/>
                <w:kern w:val="0"/>
                <w:sz w:val="22"/>
                <w:szCs w:val="24"/>
                <w:lang w:eastAsia="zh-CN"/>
              </w:rPr>
              <w:t>的</w:t>
            </w:r>
            <w:r>
              <w:rPr>
                <w:rFonts w:hint="eastAsia" w:ascii="宋体" w:hAnsi="宋体" w:cs="宋体"/>
                <w:kern w:val="0"/>
                <w:sz w:val="22"/>
                <w:szCs w:val="24"/>
              </w:rPr>
              <w:t>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hint="eastAsia" w:ascii="宋体" w:hAnsi="宋体"/>
                <w:b/>
                <w:sz w:val="22"/>
                <w:szCs w:val="24"/>
                <w:lang w:val="en-US" w:eastAsia="zh-CN"/>
              </w:rPr>
              <w:t>50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hint="default" w:ascii="宋体" w:hAnsi="宋体"/>
                <w:sz w:val="22"/>
                <w:szCs w:val="24"/>
                <w:lang w:val="en-US" w:eastAsia="zh-CN"/>
              </w:rPr>
            </w:pPr>
            <w:r>
              <w:rPr>
                <w:rFonts w:hint="eastAsia" w:ascii="宋体" w:hAnsi="宋体"/>
                <w:sz w:val="22"/>
                <w:szCs w:val="24"/>
                <w:lang w:val="en-US" w:eastAsia="zh-CN"/>
              </w:rPr>
              <w:t>15</w:t>
            </w:r>
          </w:p>
        </w:tc>
        <w:tc>
          <w:tcPr>
            <w:tcW w:w="851" w:type="dxa"/>
            <w:tcBorders>
              <w:left w:val="single" w:color="auto" w:sz="4" w:space="0"/>
            </w:tcBorders>
            <w:vAlign w:val="center"/>
          </w:tcPr>
          <w:p>
            <w:pPr>
              <w:jc w:val="center"/>
              <w:rPr>
                <w:rFonts w:hint="default" w:ascii="宋体" w:hAnsi="宋体"/>
                <w:sz w:val="22"/>
                <w:szCs w:val="24"/>
                <w:lang w:val="en-US" w:eastAsia="zh-CN"/>
              </w:rPr>
            </w:pPr>
            <w:r>
              <w:rPr>
                <w:rFonts w:hint="eastAsia" w:ascii="宋体" w:hAnsi="宋体"/>
                <w:sz w:val="22"/>
                <w:szCs w:val="24"/>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投标人承担的研究项目，获得市级及以上级别的奖励，或作为市级及以上级别政策文件进行公开发布的，每提供1个得50%，最高得分不超过100%。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（1）项目负责人具有高级以上（含）职称或博士学位，得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（2）项目负责人主持或参与过国家、省或市级政策研究、规划编制评估等政府项目的，每提供1个得2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2"/>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hint="eastAsia" w:ascii="宋体" w:hAnsi="宋体"/>
                <w:sz w:val="22"/>
                <w:szCs w:val="24"/>
                <w:lang w:eastAsia="zh-CN"/>
              </w:rPr>
            </w:pPr>
            <w:r>
              <w:rPr>
                <w:rFonts w:ascii="宋体" w:hAnsi="宋体"/>
                <w:sz w:val="22"/>
                <w:szCs w:val="24"/>
              </w:rPr>
              <w:t>1</w:t>
            </w:r>
            <w:r>
              <w:rPr>
                <w:rFonts w:hint="eastAsia" w:ascii="宋体" w:hAnsi="宋体"/>
                <w:sz w:val="22"/>
                <w:szCs w:val="24"/>
                <w:lang w:val="en-US" w:eastAsia="zh-CN"/>
              </w:rPr>
              <w:t>5</w:t>
            </w:r>
          </w:p>
        </w:tc>
        <w:tc>
          <w:tcPr>
            <w:tcW w:w="851" w:type="dxa"/>
            <w:tcBorders>
              <w:left w:val="single" w:color="auto" w:sz="4" w:space="0"/>
            </w:tcBorders>
            <w:vAlign w:val="center"/>
          </w:tcPr>
          <w:p>
            <w:pPr>
              <w:jc w:val="center"/>
              <w:rPr>
                <w:rFonts w:hint="default" w:ascii="宋体" w:hAnsi="宋体"/>
                <w:sz w:val="22"/>
                <w:szCs w:val="24"/>
                <w:lang w:val="en-US" w:eastAsia="zh-CN"/>
              </w:rPr>
            </w:pPr>
            <w:r>
              <w:rPr>
                <w:rFonts w:hint="eastAsia" w:ascii="宋体" w:hAnsi="宋体"/>
                <w:sz w:val="22"/>
                <w:szCs w:val="24"/>
                <w:lang w:val="en-US" w:eastAsia="zh-CN"/>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hint="eastAsia" w:ascii="宋体" w:hAnsi="宋体"/>
                <w:b/>
                <w:sz w:val="22"/>
                <w:szCs w:val="24"/>
                <w:lang w:val="en-US" w:eastAsia="zh-CN"/>
              </w:rPr>
              <w:t>10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3"/>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bCs/>
                <w:sz w:val="22"/>
                <w:szCs w:val="24"/>
                <w:lang w:eastAsia="zh-CN"/>
              </w:rPr>
              <w:t>，</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jc w:val="center"/>
              <w:rPr>
                <w:rFonts w:hint="default" w:ascii="宋体" w:hAnsi="宋体"/>
                <w:sz w:val="22"/>
                <w:szCs w:val="24"/>
                <w:lang w:val="en-US" w:eastAsia="zh-CN"/>
              </w:rPr>
            </w:pPr>
            <w:r>
              <w:rPr>
                <w:rFonts w:hint="eastAsia" w:ascii="宋体" w:hAnsi="宋体"/>
                <w:sz w:val="22"/>
                <w:szCs w:val="24"/>
                <w:lang w:val="en-US" w:eastAsia="zh-CN"/>
              </w:rPr>
              <w:t>10</w:t>
            </w:r>
          </w:p>
        </w:tc>
        <w:tc>
          <w:tcPr>
            <w:tcW w:w="851" w:type="dxa"/>
            <w:tcBorders>
              <w:left w:val="single" w:color="auto" w:sz="4" w:space="0"/>
            </w:tcBorders>
            <w:vAlign w:val="center"/>
          </w:tcPr>
          <w:p>
            <w:pPr>
              <w:jc w:val="center"/>
              <w:rPr>
                <w:rFonts w:hint="default" w:ascii="宋体" w:hAnsi="宋体"/>
                <w:sz w:val="22"/>
                <w:szCs w:val="24"/>
                <w:lang w:val="en-US" w:eastAsia="zh-CN"/>
              </w:rPr>
            </w:pPr>
            <w:r>
              <w:rPr>
                <w:rFonts w:hint="eastAsia" w:ascii="宋体" w:hAnsi="宋体"/>
                <w:sz w:val="22"/>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hint="eastAsia" w:ascii="宋体" w:hAnsi="宋体"/>
          <w:b/>
          <w:sz w:val="24"/>
          <w:szCs w:val="24"/>
        </w:rPr>
      </w:pPr>
      <w:r>
        <w:rPr>
          <w:rFonts w:hint="eastAsia" w:ascii="宋体" w:hAnsi="宋体"/>
          <w:b/>
          <w:sz w:val="24"/>
          <w:szCs w:val="24"/>
        </w:rPr>
        <w:t>备注：</w:t>
      </w:r>
    </w:p>
    <w:p>
      <w:pPr>
        <w:spacing w:line="300" w:lineRule="exact"/>
        <w:ind w:firstLine="720" w:firstLineChars="300"/>
        <w:rPr>
          <w:rFonts w:ascii="宋体" w:hAnsi="宋体" w:cs="宋体"/>
          <w:kern w:val="0"/>
          <w:sz w:val="24"/>
          <w:szCs w:val="24"/>
        </w:rPr>
      </w:pP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w:t>
      </w:r>
      <w:r>
        <w:rPr>
          <w:rFonts w:hint="eastAsia" w:ascii="仿宋_GB2312" w:hAnsi="宋体" w:eastAsia="仿宋_GB2312" w:cs="仿宋_GB2312"/>
          <w:sz w:val="32"/>
          <w:szCs w:val="22"/>
          <w:lang w:eastAsia="zh-CN"/>
        </w:rPr>
        <w:t>所做的</w:t>
      </w:r>
      <w:r>
        <w:rPr>
          <w:rFonts w:hint="eastAsia" w:ascii="仿宋_GB2312" w:hAnsi="宋体" w:eastAsia="仿宋_GB2312" w:cs="仿宋_GB2312"/>
          <w:sz w:val="32"/>
          <w:szCs w:val="22"/>
        </w:rPr>
        <w:t>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-154305</wp:posOffset>
              </wp:positionV>
              <wp:extent cx="60579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605790" cy="1828800"/>
                      </a:xfrm>
                      <a:prstGeom prst="rect">
                        <a:avLst/>
                      </a:prstGeom>
                      <a:noFill/>
                      <a:ln w="9525">
                        <a:noFill/>
                      </a:ln>
                      <a:effectLst/>
                    </wps:spPr>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vert="horz" wrap="square" lIns="0" tIns="0" rIns="0" bIns="0" anchor="t">
                      <a:spAutoFit/>
                    </wps:bodyPr>
                  </wps:wsp>
                </a:graphicData>
              </a:graphic>
            </wp:anchor>
          </w:drawing>
        </mc:Choice>
        <mc:Fallback>
          <w:pict>
            <v:shape id="文本框 1" o:spid="_x0000_s1026" o:spt="202" type="#_x0000_t202" style="position:absolute;left:0pt;margin-top:-12.15pt;height:144pt;width:47.7pt;mso-position-horizontal:outside;mso-position-horizontal-relative:margin;z-index:251659264;mso-width-relative:page;mso-height-relative:page;" filled="f" stroked="f" coordsize="21600,21600" o:gfxdata="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n6Ok1QAAAAcB&#10;AAAPAAAAAAAAAAEAIAAAACIAAABkcnMvZG93bnJldi54bWxQSwECFAAUAAAACACHTuJADnXITOUB&#10;AAC8AwAADgAAAAAAAAABACAAAAAkAQAAZHJzL2Uyb0RvYy54bWxQSwUGAAAAAAYABgBZAQAAewUA&#10;AAAA&#10;">
              <v:fill on="f" focussize="0,0"/>
              <v:stroke on="f"/>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-154305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2.15pt;height:144pt;width:144pt;mso-position-horizontal:outside;mso-position-horizontal-relative:margin;mso-wrap-style:none;z-index:251660288;mso-width-relative:page;mso-height-relative:page;" filled="f" stroked="f" coordsize="21600,21600" o:gfxdata="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wxn41gAAAAgBAAAPAAAAAAAAAAEAIAAAACIAAABkcnMvZG93bnJldi54bWxQ&#10;SwECFAAUAAAACACHTuJA2Zxg5DICAABjBAAADgAAAAAAAAABACAAAAAlAQAAZHJzL2Uyb0RvYy54&#10;bWxQSwUGAAAAAAYABgBZAQAAyQ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E4A3683"/>
    <w:rsid w:val="4A1947CF"/>
    <w:rsid w:val="7ED7B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小陈</cp:lastModifiedBy>
  <dcterms:modified xsi:type="dcterms:W3CDTF">2024-04-01T02:24:41Z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7DFDE62AA22E4C8D91252132C6666EC3_13</vt:lpwstr>
  </property>
</Properties>
</file>