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p>
    <w:p>
      <w:pPr>
        <w:adjustRightInd w:val="0"/>
        <w:snapToGrid w:val="0"/>
        <w:jc w:val="center"/>
        <w:rPr>
          <w:rFonts w:ascii="宋体" w:hAnsi="宋体" w:cs="Arial"/>
          <w:b/>
          <w:bCs/>
          <w:sz w:val="32"/>
          <w:szCs w:val="44"/>
        </w:rPr>
      </w:pPr>
      <w:bookmarkStart w:id="0" w:name="_GoBack"/>
      <w:r>
        <w:rPr>
          <w:rFonts w:hint="eastAsia" w:ascii="宋体" w:hAnsi="宋体" w:cs="Arial"/>
          <w:b/>
          <w:bCs/>
          <w:sz w:val="32"/>
          <w:szCs w:val="44"/>
        </w:rPr>
        <w:t>深圳市电化学储能产业项目谋划预研</w:t>
      </w:r>
      <w:bookmarkEnd w:id="0"/>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4年</w:t>
      </w:r>
      <w:r>
        <w:rPr>
          <w:rFonts w:ascii="宋体" w:hAnsi="宋体"/>
          <w:b/>
          <w:bCs/>
          <w:sz w:val="32"/>
          <w:szCs w:val="32"/>
        </w:rPr>
        <w:t>1</w:t>
      </w:r>
      <w:r>
        <w:rPr>
          <w:rFonts w:hint="eastAsia" w:ascii="宋体" w:hAnsi="宋体"/>
          <w:b/>
          <w:bCs/>
          <w:sz w:val="32"/>
          <w:szCs w:val="32"/>
        </w:rPr>
        <w:t>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深圳市电化学储能产业项目谋划预研</w:t>
      </w:r>
    </w:p>
    <w:p>
      <w:pPr>
        <w:adjustRightInd w:val="0"/>
        <w:snapToGrid w:val="0"/>
        <w:jc w:val="center"/>
        <w:rPr>
          <w:rFonts w:ascii="宋体" w:hAnsi="宋体" w:cs="Arial"/>
          <w:b/>
          <w:bCs/>
          <w:sz w:val="44"/>
          <w:szCs w:val="44"/>
        </w:rPr>
      </w:pPr>
      <w:r>
        <w:rPr>
          <w:rFonts w:hint="eastAsia" w:ascii="宋体" w:hAnsi="宋体" w:cs="Arial"/>
          <w:b/>
          <w:bCs/>
          <w:sz w:val="44"/>
          <w:szCs w:val="44"/>
        </w:rPr>
        <w:t>招标书</w:t>
      </w:r>
    </w:p>
    <w:p>
      <w:pPr>
        <w:spacing w:line="560" w:lineRule="exact"/>
        <w:ind w:firstLine="643" w:firstLineChars="200"/>
        <w:rPr>
          <w:rFonts w:ascii="黑体" w:hAnsi="黑体" w:eastAsia="黑体"/>
          <w:b/>
          <w:bCs/>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（一）项目名称：深圳市电化学储能产业项目谋划预研。</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ascii="仿宋_GB2312" w:hAnsi="仿宋" w:eastAsia="仿宋_GB2312" w:cs="仿宋_GB2312"/>
          <w:sz w:val="32"/>
          <w:szCs w:val="32"/>
        </w:rPr>
        <w:t>85.6</w:t>
      </w:r>
      <w:r>
        <w:rPr>
          <w:rFonts w:hint="eastAsia" w:ascii="仿宋_GB2312" w:hAnsi="仿宋" w:eastAsia="仿宋_GB2312" w:cs="仿宋_GB2312"/>
          <w:sz w:val="32"/>
          <w:szCs w:val="32"/>
        </w:rPr>
        <w:t>万元以下。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二、项目内容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（一）分析全球电化学储能产业发展形势，梳理欧洲、美洲、其他(非洲、中东、东南亚等)地区电化学储能市场情况，总结不同地区电化学储能市场特点，研究提出深圳电化学储能的发力方向。</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（二）从总部研发、生产制造、应用示范、进出口贸易等环节入手，通过座谈交流、实地调研等方式，深入研究深圳电化学储能产业发展现状、主要优势和存在问题。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（三）重点围绕钠离子电池市场前景、产业链和应用场景，开展前沿储能技术路线研究，进一步巩固深圳电化学储能产业领先优势。</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聚焦“补链、延链、强链”，谋划提出一批符合产业政策、市场前景好、带动力强的电化学储能重大项目，编制形成重大项目谋划报告，重点论证项目建设必要性、紧迫性等，明确项目建设内容、规模、意义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三、项目实施要求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（三）研究成果要具有前瞻性，面向未来、视野开阔；具有系统性，研究成果要体系完整、内容全面、材料丰富；具有实用性，研究成果符合深圳实际，针对性和可操作性强。</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提交研究成果纸</w:t>
      </w:r>
      <w:r>
        <w:rPr>
          <w:rFonts w:hint="eastAsia" w:ascii="仿宋_GB2312" w:hAnsi="仿宋_GB2312" w:eastAsia="仿宋_GB2312" w:cs="仿宋_GB2312"/>
          <w:sz w:val="32"/>
          <w:szCs w:val="24"/>
        </w:rPr>
        <w:t>质版10份</w:t>
      </w:r>
      <w:r>
        <w:rPr>
          <w:rFonts w:hint="eastAsia" w:ascii="Times New Roman" w:hAnsi="Times New Roman" w:eastAsia="仿宋_GB2312"/>
          <w:sz w:val="32"/>
          <w:szCs w:val="24"/>
        </w:rPr>
        <w:t>和电子版，文件能够简明扼要介绍成果核心内容与主要结论，明确项目谋划情况。</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五、投标资格要求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六、投标时间、方式及联系人</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（一）投标</w:t>
      </w:r>
      <w:r>
        <w:rPr>
          <w:rFonts w:hint="eastAsia" w:ascii="仿宋_GB2312" w:hAnsi="仿宋_GB2312" w:eastAsia="仿宋_GB2312" w:cs="仿宋_GB2312"/>
          <w:sz w:val="32"/>
          <w:szCs w:val="24"/>
        </w:rPr>
        <w:t>时间：202</w:t>
      </w:r>
      <w:r>
        <w:rPr>
          <w:rFonts w:ascii="仿宋_GB2312" w:hAnsi="仿宋_GB2312" w:eastAsia="仿宋_GB2312" w:cs="仿宋_GB2312"/>
          <w:sz w:val="32"/>
          <w:szCs w:val="24"/>
        </w:rPr>
        <w:t>3</w:t>
      </w:r>
      <w:r>
        <w:rPr>
          <w:rFonts w:hint="eastAsia" w:ascii="仿宋_GB2312" w:hAnsi="仿宋_GB2312" w:eastAsia="仿宋_GB2312" w:cs="仿宋_GB2312"/>
          <w:sz w:val="32"/>
          <w:szCs w:val="24"/>
        </w:rPr>
        <w:t>年</w:t>
      </w:r>
      <w:r>
        <w:rPr>
          <w:rFonts w:ascii="仿宋_GB2312" w:hAnsi="仿宋_GB2312" w:eastAsia="仿宋_GB2312" w:cs="仿宋_GB2312"/>
          <w:sz w:val="32"/>
          <w:szCs w:val="24"/>
        </w:rPr>
        <w:t>1</w:t>
      </w:r>
      <w:r>
        <w:rPr>
          <w:rFonts w:hint="eastAsia" w:ascii="仿宋_GB2312" w:hAnsi="仿宋_GB2312" w:eastAsia="仿宋_GB2312" w:cs="仿宋_GB2312"/>
          <w:sz w:val="32"/>
          <w:szCs w:val="24"/>
        </w:rPr>
        <w:t>月9日至202</w:t>
      </w:r>
      <w:r>
        <w:rPr>
          <w:rFonts w:ascii="仿宋_GB2312" w:hAnsi="仿宋_GB2312" w:eastAsia="仿宋_GB2312" w:cs="仿宋_GB2312"/>
          <w:sz w:val="32"/>
          <w:szCs w:val="24"/>
        </w:rPr>
        <w:t>3</w:t>
      </w:r>
      <w:r>
        <w:rPr>
          <w:rFonts w:hint="eastAsia" w:ascii="仿宋_GB2312" w:hAnsi="仿宋_GB2312" w:eastAsia="仿宋_GB2312" w:cs="仿宋_GB2312"/>
          <w:sz w:val="32"/>
          <w:szCs w:val="24"/>
        </w:rPr>
        <w:t>年</w:t>
      </w:r>
      <w:r>
        <w:rPr>
          <w:rFonts w:ascii="仿宋_GB2312" w:hAnsi="仿宋_GB2312" w:eastAsia="仿宋_GB2312" w:cs="仿宋_GB2312"/>
          <w:sz w:val="32"/>
          <w:szCs w:val="24"/>
        </w:rPr>
        <w:t>1</w:t>
      </w:r>
      <w:r>
        <w:rPr>
          <w:rFonts w:hint="eastAsia" w:ascii="仿宋_GB2312" w:hAnsi="仿宋_GB2312" w:eastAsia="仿宋_GB2312" w:cs="仿宋_GB2312"/>
          <w:sz w:val="32"/>
          <w:szCs w:val="24"/>
        </w:rPr>
        <w:t>月</w:t>
      </w:r>
      <w:r>
        <w:rPr>
          <w:rFonts w:ascii="仿宋_GB2312" w:hAnsi="仿宋_GB2312" w:eastAsia="仿宋_GB2312" w:cs="仿宋_GB2312"/>
          <w:sz w:val="32"/>
          <w:szCs w:val="24"/>
        </w:rPr>
        <w:t>22</w:t>
      </w:r>
      <w:r>
        <w:rPr>
          <w:rFonts w:hint="eastAsia" w:ascii="仿宋_GB2312" w:hAnsi="仿宋_GB2312" w:eastAsia="仿宋_GB2312" w:cs="仿宋_GB2312"/>
          <w:sz w:val="32"/>
          <w:szCs w:val="24"/>
        </w:rPr>
        <w:t>日，每日上午9:00-12:00，下午2:00-</w:t>
      </w:r>
      <w:r>
        <w:rPr>
          <w:rFonts w:ascii="仿宋_GB2312" w:hAnsi="仿宋_GB2312" w:eastAsia="仿宋_GB2312" w:cs="仿宋_GB2312"/>
          <w:sz w:val="32"/>
          <w:szCs w:val="24"/>
        </w:rPr>
        <w:t>5</w:t>
      </w:r>
      <w:r>
        <w:rPr>
          <w:rFonts w:hint="eastAsia" w:ascii="仿宋_GB2312" w:hAnsi="仿宋_GB2312" w:eastAsia="仿宋_GB2312" w:cs="仿宋_GB2312"/>
          <w:sz w:val="32"/>
          <w:szCs w:val="24"/>
        </w:rPr>
        <w:t>:</w:t>
      </w:r>
      <w:r>
        <w:rPr>
          <w:rFonts w:ascii="仿宋_GB2312" w:hAnsi="仿宋_GB2312" w:eastAsia="仿宋_GB2312" w:cs="仿宋_GB2312"/>
          <w:sz w:val="32"/>
          <w:szCs w:val="24"/>
        </w:rPr>
        <w:t>45</w:t>
      </w:r>
      <w:r>
        <w:rPr>
          <w:rFonts w:hint="eastAsia" w:ascii="仿宋_GB2312" w:hAnsi="仿宋_GB2312" w:eastAsia="仿宋_GB2312" w:cs="仿宋_GB2312"/>
          <w:sz w:val="32"/>
          <w:szCs w:val="24"/>
        </w:rPr>
        <w:t>（节假日除外）。逾期未投标将不再受理</w:t>
      </w:r>
      <w:r>
        <w:rPr>
          <w:rFonts w:ascii="Times New Roman" w:hAnsi="Times New Roman" w:eastAsia="仿宋_GB2312"/>
          <w:sz w:val="32"/>
          <w:szCs w:val="24"/>
        </w:rPr>
        <w:t>。</w:t>
      </w:r>
    </w:p>
    <w:p>
      <w:pPr>
        <w:spacing w:line="560" w:lineRule="exact"/>
        <w:ind w:firstLine="640" w:firstLineChars="200"/>
        <w:rPr>
          <w:rFonts w:ascii="仿宋_GB2312" w:hAnsi="仿宋_GB2312" w:eastAsia="仿宋_GB2312" w:cs="仿宋_GB2312"/>
          <w:sz w:val="32"/>
          <w:szCs w:val="24"/>
        </w:rPr>
      </w:pPr>
      <w:r>
        <w:rPr>
          <w:rFonts w:hint="eastAsia" w:ascii="Times New Roman" w:hAnsi="Times New Roman" w:eastAsia="仿宋_GB2312"/>
          <w:sz w:val="32"/>
          <w:szCs w:val="24"/>
        </w:rPr>
        <w:t>（二）投</w:t>
      </w:r>
      <w:r>
        <w:rPr>
          <w:rFonts w:hint="eastAsia" w:ascii="仿宋_GB2312" w:hAnsi="仿宋_GB2312" w:eastAsia="仿宋_GB2312" w:cs="仿宋_GB2312"/>
          <w:sz w:val="32"/>
          <w:szCs w:val="24"/>
        </w:rPr>
        <w:t>标地点：深圳市福田区福中三路市民中心B区行政服务大厅2号市发展和改革委卡座（可邮寄，以送达日期为投标日期）。</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（三）联系人：付先生</w:t>
      </w:r>
      <w:r>
        <w:rPr>
          <w:rFonts w:ascii="仿宋_GB2312" w:hAnsi="仿宋_GB2312" w:eastAsia="仿宋_GB2312" w:cs="仿宋_GB2312"/>
          <w:sz w:val="32"/>
          <w:szCs w:val="24"/>
        </w:rPr>
        <w:t>88121581</w:t>
      </w:r>
      <w:r>
        <w:rPr>
          <w:rFonts w:hint="eastAsia" w:ascii="仿宋_GB2312" w:hAnsi="仿宋_GB2312" w:eastAsia="仿宋_GB2312" w:cs="仿宋_GB2312"/>
          <w:sz w:val="32"/>
          <w:szCs w:val="24"/>
        </w:rPr>
        <w:t>，刘女士88125842（窗口电话）。</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（二）法定代表人证明书及授权委托书（原件加盖公章）。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（三）法定代表人及受委托人身份证复印件（复印件加盖公章）。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（四）项目方案及报价单（原件加盖公章）。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（五）投标人相关领域</w:t>
      </w:r>
      <w:r>
        <w:rPr>
          <w:rFonts w:ascii="仿宋_GB2312" w:hAnsi="Times New Roman" w:eastAsia="仿宋_GB2312"/>
          <w:bCs/>
          <w:sz w:val="32"/>
          <w:szCs w:val="32"/>
        </w:rPr>
        <w:t>/项目经验证明材料（复印件加盖公章）。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（六）投标人无重大违法记录声明函（原件加盖公章，格式自拟）。</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（七）投标及履约承诺函原件（格式见附件）。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（八）住所地不在深圳的投标人应提供营业场所证明原件。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（九）投标人认为有必要提供的其它材料。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投标文件一式三份，整套材料密封并加盖骑缝章，封面注明投标人的名称、地址、联系人及手机号码。</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投标单位有下列情况之一的，其投标将被拒绝或作无效投标处理：</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（一）未在规定时间内将投标文件送达规定地点的。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（二）投标人不具备投标资格要求，或未提交相应资格证明材料。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（三）投标文件未按规定密封、签字、盖章。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（四）投标文件无法定代表人签字或无法定代表人有效授权委托的。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（五）分项报价或投标总价高于预算金额（最高投标限价）的。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（六）同一项目出现两个及以上报价，且按规定无法确定哪个是有效报价。</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（八）所投服务在质量、技术、方案等方面没有实质性满足招标文件要求。</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（九）法律、法规规定的其他情形。</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（二）综合评分表</w:t>
      </w:r>
    </w:p>
    <w:tbl>
      <w:tblPr>
        <w:tblStyle w:val="5"/>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1"/>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1"/>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1"/>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45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牵头承担过国家、省或市级政策研究、规划编制、制度评估，按国家级每项20%、省级每项15%、市级每项10%进行计分，最高得分不超过100%。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投标人承担的研究项目，获得市级及以上级别的奖励，或作为市级及以上级别政策文件进行公开发布的，每提供1个得50%，最高得分不超过100%。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（2）项目负责人主持或参与过国家、省或市级政策研究、规划编制、制度评估等政府项目的，每提供1个得2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ascii="宋体" w:hAnsi="宋体"/>
                <w:b/>
                <w:sz w:val="22"/>
                <w:szCs w:val="24"/>
              </w:rPr>
              <w:t>20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3"/>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ascii="宋体" w:hAnsi="宋体"/>
                <w:bCs/>
                <w:sz w:val="22"/>
                <w:szCs w:val="24"/>
              </w:rPr>
            </w:pPr>
            <w:r>
              <w:rPr>
                <w:rFonts w:hint="eastAsia" w:ascii="宋体" w:hAnsi="宋体"/>
                <w:bCs/>
                <w:sz w:val="22"/>
                <w:szCs w:val="24"/>
              </w:rPr>
              <w:t>备注：</w:t>
            </w:r>
          </w:p>
          <w:p>
            <w:pPr>
              <w:spacing w:line="300" w:lineRule="exact"/>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ascii="宋体" w:hAnsi="宋体" w:cs="宋体"/>
                <w:sz w:val="22"/>
                <w:szCs w:val="24"/>
              </w:rPr>
              <w:t>20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3"/>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8E53F0"/>
    <w:rsid w:val="00081EB9"/>
    <w:rsid w:val="0011777D"/>
    <w:rsid w:val="001277BD"/>
    <w:rsid w:val="001C7A19"/>
    <w:rsid w:val="002103AB"/>
    <w:rsid w:val="002403DD"/>
    <w:rsid w:val="00320042"/>
    <w:rsid w:val="0036728B"/>
    <w:rsid w:val="003C38A6"/>
    <w:rsid w:val="004950CC"/>
    <w:rsid w:val="004C0FF1"/>
    <w:rsid w:val="00637B11"/>
    <w:rsid w:val="00693491"/>
    <w:rsid w:val="006E1C2F"/>
    <w:rsid w:val="0088469D"/>
    <w:rsid w:val="008E53F0"/>
    <w:rsid w:val="008F4EDE"/>
    <w:rsid w:val="00933C9E"/>
    <w:rsid w:val="009925CE"/>
    <w:rsid w:val="009A1DBC"/>
    <w:rsid w:val="00A5078C"/>
    <w:rsid w:val="00AE31F4"/>
    <w:rsid w:val="00B70FCC"/>
    <w:rsid w:val="00BB2F91"/>
    <w:rsid w:val="00D06B1E"/>
    <w:rsid w:val="00D70493"/>
    <w:rsid w:val="00D871A1"/>
    <w:rsid w:val="00D94445"/>
    <w:rsid w:val="00DB0D01"/>
    <w:rsid w:val="00EC5E78"/>
    <w:rsid w:val="00EF70F4"/>
    <w:rsid w:val="00F86463"/>
    <w:rsid w:val="1EDE065E"/>
    <w:rsid w:val="3F76A4ED"/>
    <w:rsid w:val="555FB05A"/>
    <w:rsid w:val="577FC58B"/>
    <w:rsid w:val="5CD7A537"/>
    <w:rsid w:val="621E6D11"/>
    <w:rsid w:val="63292B09"/>
    <w:rsid w:val="65FB0B73"/>
    <w:rsid w:val="75F8BD40"/>
    <w:rsid w:val="7DFE5FBC"/>
    <w:rsid w:val="7F5D8869"/>
    <w:rsid w:val="B572CEFA"/>
    <w:rsid w:val="BD3FC427"/>
    <w:rsid w:val="D7F926D7"/>
    <w:rsid w:val="D93F5B41"/>
    <w:rsid w:val="DEFFDC86"/>
    <w:rsid w:val="E3FA9D7A"/>
    <w:rsid w:val="F5DBF2F9"/>
    <w:rsid w:val="F7FF5233"/>
    <w:rsid w:val="FEF7E8FF"/>
    <w:rsid w:val="FFEE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link w:val="9"/>
    <w:autoRedefine/>
    <w:unhideWhenUsed/>
    <w:qFormat/>
    <w:uiPriority w:val="0"/>
    <w:pPr>
      <w:keepNext/>
      <w:keepLines/>
      <w:spacing w:before="260" w:after="260" w:line="416" w:lineRule="auto"/>
      <w:outlineLvl w:val="2"/>
    </w:pPr>
    <w:rPr>
      <w:b/>
      <w:bCs/>
      <w:sz w:val="32"/>
      <w:szCs w:val="32"/>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仿宋_GB2312" w:eastAsia="仿宋_GB2312"/>
      <w:sz w:val="18"/>
      <w:szCs w:val="18"/>
    </w:rPr>
  </w:style>
  <w:style w:type="character" w:customStyle="1" w:styleId="8">
    <w:name w:val="页脚 字符"/>
    <w:basedOn w:val="6"/>
    <w:link w:val="3"/>
    <w:autoRedefine/>
    <w:qFormat/>
    <w:uiPriority w:val="0"/>
    <w:rPr>
      <w:rFonts w:ascii="仿宋_GB2312" w:eastAsia="仿宋_GB2312"/>
      <w:sz w:val="18"/>
      <w:szCs w:val="18"/>
    </w:rPr>
  </w:style>
  <w:style w:type="character" w:customStyle="1" w:styleId="9">
    <w:name w:val="标题 3 字符"/>
    <w:basedOn w:val="6"/>
    <w:link w:val="2"/>
    <w:autoRedefine/>
    <w:qFormat/>
    <w:uiPriority w:val="0"/>
    <w:rPr>
      <w:rFonts w:ascii="Calibri" w:hAnsi="Calibri" w:eastAsia="宋体" w:cs="Times New Roman"/>
      <w:b/>
      <w:bCs/>
      <w:sz w:val="32"/>
      <w:szCs w:val="32"/>
    </w:rPr>
  </w:style>
  <w:style w:type="paragraph" w:customStyle="1" w:styleId="10">
    <w:name w:val="修订1"/>
    <w:autoRedefine/>
    <w:hidden/>
    <w:semiHidden/>
    <w:qFormat/>
    <w:uiPriority w:val="99"/>
    <w:rPr>
      <w:rFonts w:ascii="Calibri" w:hAnsi="Calibri" w:eastAsia="宋体" w:cs="Times New Roman"/>
      <w:kern w:val="2"/>
      <w:sz w:val="21"/>
      <w:szCs w:val="21"/>
      <w:lang w:val="en-US" w:eastAsia="zh-CN" w:bidi="ar-SA"/>
    </w:rPr>
  </w:style>
  <w:style w:type="paragraph" w:customStyle="1" w:styleId="11">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9C7DA-A433-4BA1-AF75-2415FE88D891}">
  <ds:schemaRefs/>
</ds:datastoreItem>
</file>

<file path=docProps/app.xml><?xml version="1.0" encoding="utf-8"?>
<Properties xmlns="http://schemas.openxmlformats.org/officeDocument/2006/extended-properties" xmlns:vt="http://schemas.openxmlformats.org/officeDocument/2006/docPropsVTypes">
  <Template>Normal</Template>
  <Pages>9</Pages>
  <Words>612</Words>
  <Characters>3494</Characters>
  <Lines>29</Lines>
  <Paragraphs>8</Paragraphs>
  <TotalTime>26</TotalTime>
  <ScaleCrop>false</ScaleCrop>
  <LinksUpToDate>false</LinksUpToDate>
  <CharactersWithSpaces>4098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2023-12-02T14:38:00Z</dcterms:created>
  <dc:creator>天浩 沈</dc:creator>
  <cp:lastModifiedBy>小陈</cp:lastModifiedBy>
  <dcterms:modified xsi:type="dcterms:W3CDTF">2024-01-08T07:31:31Z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55E28A37E2DA46DEA64CFC59CA5FEDAD_13</vt:lpwstr>
  </property>
</Properties>
</file>