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spacing w:line="700" w:lineRule="exact"/>
        <w:jc w:val="center"/>
        <w:rPr>
          <w:rFonts w:ascii="宋体" w:hAnsi="宋体" w:cs="Arial"/>
          <w:b/>
          <w:bCs/>
          <w:sz w:val="44"/>
          <w:szCs w:val="44"/>
        </w:rPr>
      </w:pPr>
      <w:bookmarkStart w:id="0" w:name="_Hlk133159184"/>
      <w:r>
        <w:rPr>
          <w:rFonts w:hint="eastAsia" w:ascii="宋体" w:hAnsi="宋体" w:cs="Arial"/>
          <w:b/>
          <w:bCs/>
          <w:sz w:val="44"/>
          <w:szCs w:val="44"/>
        </w:rPr>
        <w:t>深圳利用外债扩大有效投资的项目谋划和策略研究项目</w:t>
      </w:r>
    </w:p>
    <w:bookmarkEnd w:id="0"/>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招</w:t>
      </w:r>
    </w:p>
    <w:p>
      <w:pPr>
        <w:spacing w:before="156" w:beforeLines="50" w:after="156" w:afterLines="50" w:line="360" w:lineRule="auto"/>
        <w:jc w:val="center"/>
        <w:rPr>
          <w:rFonts w:ascii="黑体" w:hAnsi="宋体" w:eastAsia="黑体"/>
          <w:b/>
          <w:bCs/>
          <w:sz w:val="72"/>
          <w:szCs w:val="72"/>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标</w:t>
      </w:r>
    </w:p>
    <w:p>
      <w:pPr>
        <w:spacing w:before="156" w:beforeLines="50" w:after="156" w:afterLines="50" w:line="360" w:lineRule="auto"/>
        <w:jc w:val="center"/>
        <w:rPr>
          <w:rFonts w:ascii="黑体" w:hAnsi="宋体" w:eastAsia="黑体"/>
          <w:b/>
          <w:bCs/>
          <w:sz w:val="48"/>
          <w:szCs w:val="48"/>
        </w:rPr>
      </w:pPr>
    </w:p>
    <w:p>
      <w:pPr>
        <w:spacing w:before="156" w:beforeLines="50" w:after="156" w:afterLines="50"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360" w:lineRule="auto"/>
        <w:ind w:left="420" w:leftChars="200"/>
        <w:jc w:val="center"/>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23</w:t>
      </w:r>
      <w:r>
        <w:rPr>
          <w:rFonts w:hint="eastAsia" w:ascii="宋体" w:hAnsi="宋体"/>
          <w:b/>
          <w:bCs/>
          <w:sz w:val="32"/>
          <w:szCs w:val="32"/>
        </w:rPr>
        <w:t>年</w:t>
      </w:r>
      <w:r>
        <w:rPr>
          <w:rFonts w:ascii="宋体" w:hAnsi="宋体"/>
          <w:b/>
          <w:bCs/>
          <w:sz w:val="32"/>
          <w:szCs w:val="32"/>
        </w:rPr>
        <w:t>5</w:t>
      </w:r>
      <w:r>
        <w:rPr>
          <w:rFonts w:hint="eastAsia" w:ascii="宋体" w:hAnsi="宋体"/>
          <w:b/>
          <w:bCs/>
          <w:sz w:val="32"/>
          <w:szCs w:val="32"/>
        </w:rPr>
        <w:t>月</w:t>
      </w:r>
    </w:p>
    <w:p>
      <w:pPr>
        <w:widowControl/>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spacing w:before="156" w:beforeLines="50" w:after="156" w:afterLines="50" w:line="560" w:lineRule="exact"/>
        <w:jc w:val="center"/>
        <w:outlineLvl w:val="0"/>
        <w:rPr>
          <w:rFonts w:ascii="宋体" w:hAnsi="宋体" w:cs="Arial"/>
          <w:b/>
          <w:bCs/>
          <w:sz w:val="44"/>
          <w:szCs w:val="44"/>
        </w:rPr>
      </w:pPr>
      <w:r>
        <w:rPr>
          <w:rFonts w:hint="eastAsia" w:ascii="宋体" w:hAnsi="宋体" w:cs="Arial"/>
          <w:b/>
          <w:bCs/>
          <w:sz w:val="44"/>
          <w:szCs w:val="44"/>
        </w:rPr>
        <w:t>深圳利用外债扩大有效投资的项目谋划和策略研究项目招标书</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（一）项目名称：深圳利用外债扩大有效投资的项目谋划和策略研究。</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（三）项目预算：预算金额</w:t>
      </w:r>
      <w:r>
        <w:rPr>
          <w:rFonts w:hint="eastAsia" w:ascii="仿宋_GB2312" w:hAnsi="仿宋" w:eastAsia="仿宋_GB2312" w:cs="仿宋_GB2312"/>
          <w:sz w:val="32"/>
          <w:szCs w:val="32"/>
          <w:lang w:val="en-US" w:eastAsia="zh-CN"/>
        </w:rPr>
        <w:t>不超过19.8万元。</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二、项目内容</w:t>
      </w:r>
    </w:p>
    <w:p>
      <w:pPr>
        <w:adjustRightInd w:val="0"/>
        <w:snapToGrid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项目研究内容包括但不限于以下内容：</w:t>
      </w:r>
    </w:p>
    <w:p>
      <w:pPr>
        <w:adjustRightInd w:val="0"/>
        <w:snapToGrid w:val="0"/>
        <w:spacing w:line="560" w:lineRule="exact"/>
        <w:ind w:firstLine="643" w:firstLineChars="200"/>
        <w:rPr>
          <w:rFonts w:ascii="仿宋_GB2312" w:hAnsi="CESI仿宋-GB2312" w:eastAsia="仿宋_GB2312" w:cs="CESI仿宋-GB2312"/>
          <w:sz w:val="32"/>
          <w:szCs w:val="32"/>
        </w:rPr>
      </w:pPr>
      <w:bookmarkStart w:id="1" w:name="_Hlk133151730"/>
      <w:r>
        <w:rPr>
          <w:rFonts w:hint="eastAsia" w:ascii="仿宋_GB2312" w:hAnsi="仿宋_GB2312" w:eastAsia="仿宋_GB2312" w:cs="仿宋_GB2312"/>
          <w:b/>
          <w:bCs/>
          <w:sz w:val="32"/>
          <w:szCs w:val="32"/>
        </w:rPr>
        <w:t>一是</w:t>
      </w:r>
      <w:r>
        <w:rPr>
          <w:rFonts w:hint="eastAsia" w:ascii="仿宋_GB2312" w:hAnsi="CESI仿宋-GB2312" w:eastAsia="仿宋_GB2312" w:cs="CESI仿宋-GB2312"/>
          <w:b/>
          <w:bCs/>
          <w:sz w:val="32"/>
          <w:szCs w:val="32"/>
        </w:rPr>
        <w:t>准确认识国际国内</w:t>
      </w:r>
      <w:r>
        <w:rPr>
          <w:rFonts w:hint="eastAsia" w:ascii="仿宋_GB2312" w:hAnsi="CESI仿宋-GB2312" w:eastAsia="仿宋_GB2312" w:cs="CESI仿宋-GB2312"/>
          <w:b/>
          <w:sz w:val="32"/>
          <w:szCs w:val="32"/>
        </w:rPr>
        <w:t>外债市场新形势。</w:t>
      </w:r>
      <w:r>
        <w:rPr>
          <w:rFonts w:hint="eastAsia" w:ascii="仿宋_GB2312" w:hAnsi="CESI仿宋-GB2312" w:eastAsia="仿宋_GB2312" w:cs="CESI仿宋-GB2312"/>
          <w:sz w:val="32"/>
          <w:szCs w:val="32"/>
        </w:rPr>
        <w:t>通过案头研究、专家访谈形式，分析国际国内外债市场环境，研判国内外中长期外债市场发展新环境新形势。</w:t>
      </w:r>
    </w:p>
    <w:p>
      <w:pPr>
        <w:adjustRightInd w:val="0"/>
        <w:snapToGrid w:val="0"/>
        <w:spacing w:line="56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二是分析深圳利用外债总体情况和问题。</w:t>
      </w:r>
      <w:r>
        <w:rPr>
          <w:rFonts w:hint="eastAsia" w:ascii="仿宋_GB2312" w:hAnsi="CESI仿宋-GB2312" w:eastAsia="仿宋_GB2312" w:cs="CESI仿宋-GB2312"/>
          <w:sz w:val="32"/>
          <w:szCs w:val="32"/>
        </w:rPr>
        <w:t>总结深圳外债项目总体情况和主要特征，深入剖析深圳外债项目</w:t>
      </w:r>
      <w:r>
        <w:rPr>
          <w:rFonts w:hint="eastAsia" w:ascii="仿宋_GB2312" w:hAnsi="CESI仿宋-GB2312" w:eastAsia="仿宋_GB2312" w:cs="CESI仿宋-GB2312"/>
          <w:sz w:val="32"/>
          <w:szCs w:val="32"/>
          <w:lang w:val="en-US" w:eastAsia="zh-CN"/>
        </w:rPr>
        <w:t>高质量发展</w:t>
      </w:r>
      <w:r>
        <w:rPr>
          <w:rFonts w:hint="eastAsia" w:ascii="仿宋_GB2312" w:hAnsi="CESI仿宋-GB2312" w:eastAsia="仿宋_GB2312" w:cs="CESI仿宋-GB2312"/>
          <w:sz w:val="32"/>
          <w:szCs w:val="32"/>
        </w:rPr>
        <w:t>存在的问题。</w:t>
      </w:r>
    </w:p>
    <w:p>
      <w:pPr>
        <w:adjustRightInd w:val="0"/>
        <w:snapToGrid w:val="0"/>
        <w:spacing w:line="56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sz w:val="32"/>
          <w:szCs w:val="32"/>
        </w:rPr>
        <w:t>三是调研分析深圳企业发行外债新需求</w:t>
      </w:r>
      <w:r>
        <w:rPr>
          <w:rFonts w:ascii="仿宋_GB2312" w:hAnsi="CESI仿宋-GB2312" w:eastAsia="仿宋_GB2312" w:cs="CESI仿宋-GB2312"/>
          <w:b/>
          <w:sz w:val="32"/>
          <w:szCs w:val="32"/>
        </w:rPr>
        <w:t>。</w:t>
      </w:r>
      <w:r>
        <w:rPr>
          <w:rFonts w:hint="eastAsia" w:ascii="仿宋_GB2312" w:hAnsi="CESI仿宋-GB2312" w:eastAsia="仿宋_GB2312" w:cs="CESI仿宋-GB2312"/>
          <w:sz w:val="32"/>
          <w:szCs w:val="32"/>
        </w:rPr>
        <w:t>研究深圳企业如何进一步扩大非美元外债发行规模，提出优化深圳利用外债结构的策略。</w:t>
      </w:r>
    </w:p>
    <w:p>
      <w:pPr>
        <w:adjustRightInd w:val="0"/>
        <w:snapToGrid w:val="0"/>
        <w:spacing w:line="560" w:lineRule="exact"/>
        <w:ind w:firstLine="643" w:firstLineChars="200"/>
        <w:rPr>
          <w:rFonts w:ascii="仿宋_GB2312" w:hAnsi="Times New Roman" w:eastAsia="仿宋_GB2312"/>
          <w:bCs/>
          <w:color w:val="000000"/>
          <w:sz w:val="32"/>
          <w:szCs w:val="32"/>
        </w:rPr>
      </w:pPr>
      <w:r>
        <w:rPr>
          <w:rFonts w:hint="eastAsia" w:ascii="仿宋_GB2312" w:hAnsi="Times New Roman" w:eastAsia="仿宋_GB2312"/>
          <w:b/>
          <w:bCs/>
          <w:color w:val="000000"/>
          <w:sz w:val="32"/>
          <w:szCs w:val="32"/>
        </w:rPr>
        <w:t>四是研究深圳利用外债资金投资重点领域和项目谋划。</w:t>
      </w:r>
      <w:r>
        <w:rPr>
          <w:rFonts w:hint="eastAsia" w:ascii="仿宋_GB2312" w:hAnsi="Times New Roman" w:eastAsia="仿宋_GB2312"/>
          <w:bCs/>
          <w:color w:val="000000"/>
          <w:sz w:val="32"/>
          <w:szCs w:val="32"/>
        </w:rPr>
        <w:t>围绕更好发挥外债资金促进有效投资，梳理深圳外债资金投入领域，</w:t>
      </w:r>
      <w:r>
        <w:rPr>
          <w:rFonts w:hint="eastAsia" w:ascii="仿宋_GB2312" w:hAnsi="CESI仿宋-GB2312" w:eastAsia="仿宋_GB2312" w:cs="CESI仿宋-GB2312"/>
          <w:sz w:val="32"/>
          <w:szCs w:val="32"/>
        </w:rPr>
        <w:t>提出</w:t>
      </w:r>
      <w:r>
        <w:rPr>
          <w:rFonts w:hint="eastAsia" w:ascii="仿宋_GB2312" w:hAnsi="Times New Roman" w:eastAsia="仿宋_GB2312"/>
          <w:bCs/>
          <w:color w:val="000000"/>
          <w:sz w:val="32"/>
          <w:szCs w:val="32"/>
        </w:rPr>
        <w:t>推动外债投资重点领域的可行路径</w:t>
      </w:r>
      <w:r>
        <w:rPr>
          <w:rFonts w:hint="eastAsia" w:ascii="仿宋_GB2312" w:hAnsi="Times New Roman" w:eastAsia="仿宋_GB2312"/>
          <w:bCs/>
          <w:color w:val="000000"/>
          <w:sz w:val="32"/>
          <w:szCs w:val="32"/>
          <w:lang w:eastAsia="zh-CN"/>
        </w:rPr>
        <w:t>，</w:t>
      </w:r>
      <w:r>
        <w:rPr>
          <w:rFonts w:hint="eastAsia" w:ascii="仿宋_GB2312" w:hAnsi="Times New Roman" w:eastAsia="仿宋_GB2312"/>
          <w:bCs/>
          <w:color w:val="000000"/>
          <w:sz w:val="32"/>
          <w:szCs w:val="32"/>
          <w:lang w:val="en-US" w:eastAsia="zh-CN"/>
        </w:rPr>
        <w:t>并关联一批重大项目</w:t>
      </w:r>
      <w:r>
        <w:rPr>
          <w:rFonts w:hint="eastAsia" w:ascii="仿宋_GB2312" w:hAnsi="Times New Roman" w:eastAsia="仿宋_GB2312"/>
          <w:bCs/>
          <w:color w:val="000000"/>
          <w:sz w:val="32"/>
          <w:szCs w:val="32"/>
        </w:rPr>
        <w:t>。</w:t>
      </w:r>
    </w:p>
    <w:p>
      <w:pPr>
        <w:adjustRightInd w:val="0"/>
        <w:snapToGrid w:val="0"/>
        <w:spacing w:line="56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五是研提深圳利用外债扩大有效投资对策建议</w:t>
      </w:r>
      <w:r>
        <w:rPr>
          <w:rFonts w:hint="eastAsia" w:ascii="仿宋_GB2312" w:hAnsi="CESI仿宋-GB2312" w:eastAsia="仿宋_GB2312" w:cs="CESI仿宋-GB2312"/>
          <w:sz w:val="32"/>
          <w:szCs w:val="32"/>
        </w:rPr>
        <w:t>。针对目前深圳企业境外发债项目的痛点和堵点，充分发挥深港合作、综合改革试点等优势，研究提出促进外债项目落地实施的对策建议</w:t>
      </w:r>
      <w:r>
        <w:rPr>
          <w:rFonts w:hint="eastAsia" w:ascii="仿宋_GB2312" w:hAnsi="仿宋_GB2312" w:eastAsia="仿宋_GB2312" w:cs="仿宋_GB2312"/>
          <w:sz w:val="32"/>
          <w:szCs w:val="32"/>
        </w:rPr>
        <w:t>。</w:t>
      </w:r>
    </w:p>
    <w:bookmarkEnd w:id="1"/>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三、项目技术要求</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（一）项目成果应遵循国家颁布的有关法律、法规及政策要求，符合相关的技术规范和标准。</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（二）研究过程中应当进行深入调查研究，把握深圳发展相关信息和基础资料。</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四、项目成果交付要求</w:t>
      </w:r>
    </w:p>
    <w:p>
      <w:pPr>
        <w:pStyle w:val="3"/>
        <w:keepNext w:val="0"/>
        <w:keepLines w:val="0"/>
        <w:spacing w:before="0" w:after="0" w:line="560" w:lineRule="exact"/>
        <w:ind w:firstLine="640" w:firstLineChars="200"/>
        <w:rPr>
          <w:rFonts w:ascii="仿宋_GB2312" w:hAnsi="Times New Roman" w:eastAsia="仿宋_GB2312"/>
          <w:b w:val="0"/>
        </w:rPr>
      </w:pPr>
      <w:r>
        <w:rPr>
          <w:rFonts w:hint="eastAsia" w:ascii="仿宋_GB2312" w:hAnsi="Times New Roman" w:eastAsia="仿宋_GB2312"/>
          <w:b w:val="0"/>
        </w:rPr>
        <w:t>提交《深圳利用外债扩大有效投资的项目谋划和策略研究》报告及相关附件成果。</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五、项目保密要求</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中标人应当对其在项目开展过程中所知悉的国家秘密、商业秘密和技术秘密负有保密责任，建立并实施相应的保密措施，具体保密要求如下：</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（一）中标人不得利用所获取、掌握的采购人及其他政府部门的任何保密内容从事采购人及其他政府部门授权工作以外的任何事情，不得披露、允许第三方使用。</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（二）中标人按照采购人要求完成项目后，须立即将项目成果提交采购人存档，未经采购人许可，不得向第三方披露。</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（三）中标人应建立相应的保密制度，明确项目开展过程中各环节的保密性要求，确保相关资料和信息的保密性。</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六、投标资格要求</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（一）具有独立承担民事责任能力的在中华人民共和国境内注册的法人。</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（二）投标人必须具备相关经营范围（咨询服务等），具备开展本项目研究的基本条件和研究能力。</w:t>
      </w:r>
    </w:p>
    <w:p>
      <w:pPr>
        <w:keepLines/>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七、投标时间、地点及联系人</w:t>
      </w:r>
    </w:p>
    <w:p>
      <w:pPr>
        <w:pStyle w:val="38"/>
        <w:keepLines/>
        <w:widowControl/>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（一）投标时间：</w:t>
      </w:r>
      <w:r>
        <w:rPr>
          <w:rFonts w:hint="eastAsia" w:ascii="仿宋_GB2312" w:hAnsi="仿宋_GB2312" w:eastAsia="仿宋_GB2312" w:cs="仿宋_GB2312"/>
          <w:sz w:val="32"/>
          <w:szCs w:val="32"/>
          <w:highlight w:val="none"/>
        </w:rPr>
        <w:t>202</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年5月</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日至202</w:t>
      </w:r>
      <w:r>
        <w:rPr>
          <w:rFonts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rPr>
        <w:t>年</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17</w:t>
      </w:r>
      <w:bookmarkStart w:id="2" w:name="_GoBack"/>
      <w:bookmarkEnd w:id="2"/>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rPr>
        <w:t>逾期未投标将不再受理。</w:t>
      </w:r>
    </w:p>
    <w:p>
      <w:pPr>
        <w:pStyle w:val="38"/>
        <w:widowControl/>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（二）投标地点：</w:t>
      </w:r>
      <w:r>
        <w:rPr>
          <w:rFonts w:hint="eastAsia" w:ascii="仿宋_GB2312" w:hAnsi="仿宋_GB2312" w:eastAsia="仿宋_GB2312" w:cs="仿宋_GB2312"/>
          <w:sz w:val="32"/>
          <w:szCs w:val="32"/>
        </w:rPr>
        <w:t>深圳市福田区福中三路市民中心B区行政服务大厅2号市发展改革委卡座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邮箱：fwyc@fgw.sz.gov.cn</w:t>
      </w:r>
      <w:r>
        <w:rPr>
          <w:rFonts w:hint="eastAsia" w:ascii="仿宋_GB2312" w:hAnsi="仿宋_GB2312" w:eastAsia="仿宋_GB2312" w:cs="仿宋_GB2312"/>
          <w:sz w:val="32"/>
          <w:szCs w:val="32"/>
        </w:rPr>
        <w:t>（可邮寄，以送达日期为投标日期）。</w:t>
      </w:r>
    </w:p>
    <w:p>
      <w:pPr>
        <w:adjustRightInd w:val="0"/>
        <w:snapToGrid w:val="0"/>
        <w:spacing w:line="560" w:lineRule="exact"/>
        <w:ind w:firstLine="643"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（三）联系人及联系方式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88127048、88125842（窗口电话）</w:t>
      </w:r>
      <w:r>
        <w:rPr>
          <w:rFonts w:hint="eastAsia" w:ascii="仿宋_GB2312" w:hAnsi="仿宋_GB2312" w:eastAsia="仿宋_GB2312" w:cs="仿宋_GB2312"/>
          <w:sz w:val="32"/>
          <w:szCs w:val="32"/>
          <w:highlight w:val="none"/>
        </w:rPr>
        <w:t>。</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八、投标文件递交内容</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（一）投标单位简介、投标人营业执照及相关证照（提供加盖公章的复印件）。</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（二）法定代表人证明书及授权委托书（复印件加盖公章）。</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（八）住所地不在深圳的投标人应提供营业场所证明原件；</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（九）投标人认为有必要提供的其它材料。</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投标文件一式三份，整套材料密封并加盖骑缝。</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九、重要提示</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（一）未在规定时间内将投标文件送达规定地点的。</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（二）投标人不具备投标资格要求，或未提交相应资格证明材料。</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（三）投标文件未按规定密封、签字、盖章。</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（四）投标文件无法定代表人签字或无法定代表人有效授权委托的。</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（五）法律、法规规定的其他情形。</w:t>
      </w:r>
    </w:p>
    <w:p>
      <w:pPr>
        <w:adjustRightInd w:val="0"/>
        <w:snapToGrid w:val="0"/>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十、评标方法</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实施方案</w:t>
            </w:r>
          </w:p>
        </w:tc>
        <w:tc>
          <w:tcPr>
            <w:tcW w:w="4678" w:type="dxa"/>
          </w:tcPr>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根据投标人提供的项目实施方案的全面性、针对性、可操作性等进行分档评审：</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1.评价为优，得100%；</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w:t>
            </w:r>
            <w:r>
              <w:rPr>
                <w:rFonts w:ascii="宋体" w:hAnsi="宋体" w:cs="宋体"/>
                <w:kern w:val="0"/>
                <w:sz w:val="22"/>
                <w:szCs w:val="24"/>
              </w:rPr>
              <w:t>7</w:t>
            </w:r>
            <w:r>
              <w:rPr>
                <w:rFonts w:hint="eastAsia" w:ascii="宋体" w:hAnsi="宋体" w:cs="宋体"/>
                <w:kern w:val="0"/>
                <w:sz w:val="22"/>
                <w:szCs w:val="24"/>
              </w:rPr>
              <w:t>0%；</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w:t>
            </w:r>
            <w:r>
              <w:rPr>
                <w:rFonts w:ascii="宋体" w:hAnsi="宋体" w:cs="宋体"/>
                <w:kern w:val="0"/>
                <w:sz w:val="22"/>
                <w:szCs w:val="24"/>
              </w:rPr>
              <w:t>4</w:t>
            </w:r>
            <w:r>
              <w:rPr>
                <w:rFonts w:hint="eastAsia" w:ascii="宋体" w:hAnsi="宋体" w:cs="宋体"/>
                <w:kern w:val="0"/>
                <w:sz w:val="22"/>
                <w:szCs w:val="24"/>
              </w:rPr>
              <w:t>0%；</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20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质量保障措施及方案</w:t>
            </w:r>
          </w:p>
        </w:tc>
        <w:tc>
          <w:tcPr>
            <w:tcW w:w="4678" w:type="dxa"/>
          </w:tcPr>
          <w:p>
            <w:pPr>
              <w:widowControl/>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widowControl/>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违约承诺</w:t>
            </w:r>
          </w:p>
        </w:tc>
        <w:tc>
          <w:tcPr>
            <w:tcW w:w="4678" w:type="dxa"/>
          </w:tcPr>
          <w:p>
            <w:pPr>
              <w:widowControl/>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widowControl/>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w:t>
            </w:r>
            <w:r>
              <w:rPr>
                <w:rFonts w:ascii="宋体" w:hAnsi="宋体"/>
                <w:b/>
                <w:sz w:val="22"/>
                <w:szCs w:val="24"/>
              </w:rPr>
              <w:t>50</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投标人经验</w:t>
            </w:r>
          </w:p>
        </w:tc>
        <w:tc>
          <w:tcPr>
            <w:tcW w:w="4678" w:type="dxa"/>
            <w:vAlign w:val="center"/>
          </w:tcPr>
          <w:p>
            <w:pPr>
              <w:widowControl/>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widowControl/>
              <w:jc w:val="left"/>
              <w:rPr>
                <w:rFonts w:ascii="宋体" w:hAnsi="宋体" w:cs="宋体"/>
                <w:kern w:val="0"/>
                <w:sz w:val="22"/>
                <w:szCs w:val="24"/>
              </w:rPr>
            </w:pPr>
            <w:r>
              <w:rPr>
                <w:rFonts w:hint="eastAsia" w:ascii="宋体" w:hAnsi="宋体" w:cs="宋体"/>
                <w:kern w:val="0"/>
                <w:sz w:val="22"/>
                <w:szCs w:val="24"/>
              </w:rPr>
              <w:t>牵头承担过国家、省或市级政策研究、规划编制等政府项目的，按国家级每项</w:t>
            </w:r>
            <w:r>
              <w:rPr>
                <w:rFonts w:ascii="宋体" w:hAnsi="宋体" w:cs="宋体"/>
                <w:kern w:val="0"/>
                <w:sz w:val="22"/>
                <w:szCs w:val="24"/>
              </w:rPr>
              <w:t>20%、省级</w:t>
            </w:r>
            <w:r>
              <w:rPr>
                <w:rFonts w:hint="eastAsia" w:ascii="宋体" w:hAnsi="宋体" w:cs="宋体"/>
                <w:kern w:val="0"/>
                <w:sz w:val="22"/>
                <w:szCs w:val="24"/>
              </w:rPr>
              <w:t>或</w:t>
            </w:r>
            <w:r>
              <w:rPr>
                <w:rFonts w:ascii="宋体" w:hAnsi="宋体" w:cs="宋体"/>
                <w:kern w:val="0"/>
                <w:sz w:val="22"/>
                <w:szCs w:val="24"/>
              </w:rPr>
              <w:t>市级每项10%进行计分</w:t>
            </w:r>
            <w:r>
              <w:rPr>
                <w:rFonts w:hint="eastAsia" w:ascii="宋体" w:hAnsi="宋体" w:cs="宋体"/>
                <w:kern w:val="0"/>
                <w:sz w:val="22"/>
                <w:szCs w:val="24"/>
              </w:rPr>
              <w:t>，最高得分不超过100%。</w:t>
            </w:r>
          </w:p>
          <w:p>
            <w:pPr>
              <w:widowControl/>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widowControl/>
              <w:jc w:val="left"/>
              <w:rPr>
                <w:rFonts w:ascii="宋体" w:hAnsi="宋体" w:cs="宋体"/>
                <w:b/>
                <w:kern w:val="0"/>
                <w:sz w:val="22"/>
                <w:szCs w:val="24"/>
              </w:rPr>
            </w:pPr>
            <w:r>
              <w:rPr>
                <w:rFonts w:hint="eastAsia" w:ascii="宋体" w:hAnsi="宋体" w:cs="宋体"/>
                <w:kern w:val="0"/>
                <w:sz w:val="22"/>
                <w:szCs w:val="24"/>
              </w:rPr>
              <w:t>（1）要求提供中标通知书、合同关键页或其他证明文件。</w:t>
            </w:r>
          </w:p>
          <w:p>
            <w:pPr>
              <w:widowControl/>
              <w:ind w:left="-63" w:leftChars="-30" w:right="-88" w:rightChars="-42"/>
              <w:jc w:val="left"/>
              <w:rPr>
                <w:rFonts w:ascii="宋体" w:hAnsi="宋体" w:cs="宋体"/>
                <w:kern w:val="0"/>
                <w:sz w:val="22"/>
                <w:szCs w:val="24"/>
              </w:rPr>
            </w:pPr>
            <w:r>
              <w:rPr>
                <w:rFonts w:hint="eastAsia" w:ascii="宋体" w:hAnsi="宋体" w:cs="宋体"/>
                <w:kern w:val="0"/>
                <w:sz w:val="22"/>
                <w:szCs w:val="24"/>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highlight w:val="yellow"/>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投标人获奖情况</w:t>
            </w:r>
          </w:p>
        </w:tc>
        <w:tc>
          <w:tcPr>
            <w:tcW w:w="4678" w:type="dxa"/>
          </w:tcPr>
          <w:p>
            <w:pPr>
              <w:widowControl/>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widowControl/>
              <w:jc w:val="left"/>
              <w:rPr>
                <w:rFonts w:ascii="宋体" w:hAnsi="宋体" w:cs="宋体"/>
                <w:kern w:val="0"/>
                <w:sz w:val="22"/>
                <w:szCs w:val="24"/>
              </w:rPr>
            </w:pPr>
            <w:r>
              <w:rPr>
                <w:rFonts w:hint="eastAsia" w:ascii="宋体" w:hAnsi="宋体" w:cs="宋体"/>
                <w:kern w:val="0"/>
                <w:sz w:val="22"/>
                <w:szCs w:val="24"/>
              </w:rPr>
              <w:t>投标人承担的相关项目，获得市级及以上奖励或作为市级及以上政策文件进行公开发布的，每提供1个得50%，最高得分不超过100%。</w:t>
            </w:r>
          </w:p>
          <w:p>
            <w:pPr>
              <w:widowControl/>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widowControl/>
              <w:jc w:val="left"/>
              <w:rPr>
                <w:rFonts w:ascii="宋体" w:hAnsi="宋体" w:cs="宋体"/>
                <w:kern w:val="0"/>
                <w:sz w:val="22"/>
                <w:szCs w:val="24"/>
              </w:rPr>
            </w:pPr>
            <w:r>
              <w:rPr>
                <w:rFonts w:hint="eastAsia" w:ascii="宋体" w:hAnsi="宋体" w:cs="宋体"/>
                <w:kern w:val="0"/>
                <w:sz w:val="22"/>
                <w:szCs w:val="24"/>
              </w:rPr>
              <w:t>（1）要求提供相关证明文件。</w:t>
            </w:r>
          </w:p>
          <w:p>
            <w:pPr>
              <w:widowControl/>
              <w:jc w:val="left"/>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widowControl/>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widowControl/>
              <w:jc w:val="left"/>
              <w:rPr>
                <w:rFonts w:ascii="宋体" w:hAnsi="宋体" w:cs="宋体"/>
                <w:kern w:val="0"/>
                <w:sz w:val="22"/>
                <w:szCs w:val="24"/>
              </w:rPr>
            </w:pPr>
            <w:r>
              <w:rPr>
                <w:rFonts w:hint="eastAsia" w:ascii="宋体" w:hAnsi="宋体" w:cs="宋体"/>
                <w:kern w:val="0"/>
                <w:sz w:val="22"/>
                <w:szCs w:val="24"/>
              </w:rPr>
              <w:t>（1）项目负责人具有中级职称和博士学位及以上级别证书，得2</w:t>
            </w:r>
            <w:r>
              <w:rPr>
                <w:rFonts w:ascii="宋体" w:hAnsi="宋体" w:cs="宋体"/>
                <w:kern w:val="0"/>
                <w:sz w:val="22"/>
                <w:szCs w:val="24"/>
              </w:rPr>
              <w:t>0</w:t>
            </w:r>
            <w:r>
              <w:rPr>
                <w:rFonts w:hint="eastAsia" w:ascii="宋体" w:hAnsi="宋体" w:cs="宋体"/>
                <w:kern w:val="0"/>
                <w:sz w:val="22"/>
                <w:szCs w:val="24"/>
              </w:rPr>
              <w:t>%，否则不得分；</w:t>
            </w:r>
          </w:p>
          <w:p>
            <w:pPr>
              <w:widowControl/>
              <w:jc w:val="left"/>
              <w:rPr>
                <w:rFonts w:ascii="宋体" w:hAnsi="宋体" w:cs="宋体"/>
                <w:kern w:val="0"/>
                <w:sz w:val="22"/>
                <w:szCs w:val="24"/>
              </w:rPr>
            </w:pPr>
            <w:r>
              <w:rPr>
                <w:rFonts w:hint="eastAsia" w:ascii="宋体" w:hAnsi="宋体" w:cs="宋体"/>
                <w:kern w:val="0"/>
                <w:sz w:val="22"/>
                <w:szCs w:val="24"/>
              </w:rPr>
              <w:t>（2）项目负责人主持或参与过国际形势、港澳合作、创新要素集聚及流通相关市级及以上战略研究、规划编制、制度评估等政府项目的，国家级（含国家部委委托课题）每提供1个得20%，最高得分不超过40%；省市级每提供1个得</w:t>
            </w:r>
            <w:r>
              <w:rPr>
                <w:rFonts w:ascii="宋体" w:hAnsi="宋体" w:cs="宋体"/>
                <w:kern w:val="0"/>
                <w:sz w:val="22"/>
                <w:szCs w:val="24"/>
              </w:rPr>
              <w:t>1</w:t>
            </w:r>
            <w:r>
              <w:rPr>
                <w:rFonts w:hint="eastAsia" w:ascii="宋体" w:hAnsi="宋体" w:cs="宋体"/>
                <w:kern w:val="0"/>
                <w:sz w:val="22"/>
                <w:szCs w:val="24"/>
              </w:rPr>
              <w:t>0%，最高得分不超过</w:t>
            </w:r>
            <w:r>
              <w:rPr>
                <w:rFonts w:ascii="宋体" w:hAnsi="宋体" w:cs="宋体"/>
                <w:kern w:val="0"/>
                <w:sz w:val="22"/>
                <w:szCs w:val="24"/>
              </w:rPr>
              <w:t>2</w:t>
            </w:r>
            <w:r>
              <w:rPr>
                <w:rFonts w:hint="eastAsia" w:ascii="宋体" w:hAnsi="宋体" w:cs="宋体"/>
                <w:kern w:val="0"/>
                <w:sz w:val="22"/>
                <w:szCs w:val="24"/>
              </w:rPr>
              <w:t>0%。本项最高得分不超过</w:t>
            </w:r>
            <w:r>
              <w:rPr>
                <w:rFonts w:ascii="宋体" w:hAnsi="宋体" w:cs="宋体"/>
                <w:kern w:val="0"/>
                <w:sz w:val="22"/>
                <w:szCs w:val="24"/>
              </w:rPr>
              <w:t>6</w:t>
            </w:r>
            <w:r>
              <w:rPr>
                <w:rFonts w:hint="eastAsia" w:ascii="宋体" w:hAnsi="宋体" w:cs="宋体"/>
                <w:kern w:val="0"/>
                <w:sz w:val="22"/>
                <w:szCs w:val="24"/>
              </w:rPr>
              <w:t>0%。</w:t>
            </w:r>
          </w:p>
          <w:p>
            <w:pPr>
              <w:widowControl/>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项目负责人</w:t>
            </w:r>
            <w:r>
              <w:rPr>
                <w:rFonts w:hint="eastAsia" w:ascii="宋体" w:hAnsi="宋体" w:cs="宋体"/>
                <w:kern w:val="0"/>
                <w:sz w:val="22"/>
                <w:szCs w:val="24"/>
              </w:rPr>
              <w:t>自2</w:t>
            </w:r>
            <w:r>
              <w:rPr>
                <w:rFonts w:ascii="宋体" w:hAnsi="宋体" w:cs="宋体"/>
                <w:kern w:val="0"/>
                <w:sz w:val="22"/>
                <w:szCs w:val="24"/>
              </w:rPr>
              <w:t>020</w:t>
            </w:r>
            <w:r>
              <w:rPr>
                <w:rFonts w:hint="eastAsia" w:ascii="宋体" w:hAnsi="宋体" w:cs="宋体"/>
                <w:kern w:val="0"/>
                <w:sz w:val="22"/>
                <w:szCs w:val="24"/>
              </w:rPr>
              <w:t>年起，牵头或参与的研究</w:t>
            </w:r>
            <w:r>
              <w:rPr>
                <w:rFonts w:ascii="宋体" w:hAnsi="宋体" w:cs="宋体"/>
                <w:kern w:val="0"/>
                <w:sz w:val="22"/>
                <w:szCs w:val="24"/>
              </w:rPr>
              <w:t>成果</w:t>
            </w:r>
            <w:r>
              <w:rPr>
                <w:rFonts w:hint="eastAsia" w:ascii="宋体" w:hAnsi="宋体" w:cs="宋体"/>
                <w:kern w:val="0"/>
                <w:sz w:val="22"/>
                <w:szCs w:val="24"/>
              </w:rPr>
              <w:t>获得市级及以上级别奖励，或者获得《深圳信息》等</w:t>
            </w:r>
            <w:r>
              <w:rPr>
                <w:rFonts w:ascii="宋体" w:hAnsi="宋体" w:cs="宋体"/>
                <w:kern w:val="0"/>
                <w:sz w:val="22"/>
                <w:szCs w:val="24"/>
              </w:rPr>
              <w:t>市级及以上党政信息刊物采用的</w:t>
            </w:r>
            <w:r>
              <w:rPr>
                <w:rFonts w:hint="eastAsia" w:ascii="宋体" w:hAnsi="宋体" w:cs="宋体"/>
                <w:kern w:val="0"/>
                <w:sz w:val="22"/>
                <w:szCs w:val="24"/>
              </w:rPr>
              <w:t>，或者获得市领导批示的，</w:t>
            </w:r>
            <w:r>
              <w:rPr>
                <w:rFonts w:ascii="宋体" w:hAnsi="宋体" w:cs="宋体"/>
                <w:kern w:val="0"/>
                <w:sz w:val="22"/>
                <w:szCs w:val="24"/>
              </w:rPr>
              <w:t>每提供</w:t>
            </w:r>
            <w:r>
              <w:rPr>
                <w:rFonts w:hint="eastAsia" w:ascii="宋体" w:hAnsi="宋体" w:cs="宋体"/>
                <w:kern w:val="0"/>
                <w:sz w:val="22"/>
                <w:szCs w:val="24"/>
              </w:rPr>
              <w:t>1个得</w:t>
            </w:r>
            <w:r>
              <w:rPr>
                <w:rFonts w:ascii="宋体" w:hAnsi="宋体" w:cs="宋体"/>
                <w:kern w:val="0"/>
                <w:sz w:val="22"/>
                <w:szCs w:val="24"/>
              </w:rPr>
              <w:t>5</w:t>
            </w:r>
            <w:r>
              <w:rPr>
                <w:rFonts w:hint="eastAsia" w:ascii="宋体" w:hAnsi="宋体" w:cs="宋体"/>
                <w:kern w:val="0"/>
                <w:sz w:val="22"/>
                <w:szCs w:val="24"/>
              </w:rPr>
              <w:t>%。</w:t>
            </w:r>
          </w:p>
          <w:p>
            <w:pPr>
              <w:widowControl/>
              <w:jc w:val="left"/>
              <w:rPr>
                <w:rFonts w:ascii="宋体" w:hAnsi="宋体" w:cs="宋体"/>
                <w:kern w:val="0"/>
                <w:sz w:val="22"/>
                <w:szCs w:val="24"/>
              </w:rPr>
            </w:pPr>
            <w:r>
              <w:rPr>
                <w:rFonts w:ascii="宋体" w:hAnsi="宋体" w:cs="宋体"/>
                <w:kern w:val="0"/>
                <w:sz w:val="22"/>
                <w:szCs w:val="24"/>
              </w:rPr>
              <w:t>以上</w:t>
            </w:r>
            <w:r>
              <w:rPr>
                <w:rFonts w:hint="eastAsia" w:ascii="宋体" w:hAnsi="宋体" w:cs="宋体"/>
                <w:kern w:val="0"/>
                <w:sz w:val="22"/>
                <w:szCs w:val="24"/>
              </w:rPr>
              <w:t>3</w:t>
            </w:r>
            <w:r>
              <w:rPr>
                <w:rFonts w:ascii="宋体" w:hAnsi="宋体" w:cs="宋体"/>
                <w:kern w:val="0"/>
                <w:sz w:val="22"/>
                <w:szCs w:val="24"/>
              </w:rPr>
              <w:t>项合计最高得分不超过</w:t>
            </w:r>
            <w:r>
              <w:rPr>
                <w:rFonts w:hint="eastAsia" w:ascii="宋体" w:hAnsi="宋体" w:cs="宋体"/>
                <w:kern w:val="0"/>
                <w:sz w:val="22"/>
                <w:szCs w:val="24"/>
              </w:rPr>
              <w:t>1</w:t>
            </w:r>
            <w:r>
              <w:rPr>
                <w:rFonts w:ascii="宋体" w:hAnsi="宋体" w:cs="宋体"/>
                <w:kern w:val="0"/>
                <w:sz w:val="22"/>
                <w:szCs w:val="24"/>
              </w:rPr>
              <w:t>00</w:t>
            </w:r>
            <w:r>
              <w:rPr>
                <w:rFonts w:hint="eastAsia" w:ascii="宋体" w:hAnsi="宋体" w:cs="宋体"/>
                <w:kern w:val="0"/>
                <w:sz w:val="22"/>
                <w:szCs w:val="24"/>
              </w:rPr>
              <w:t>%。</w:t>
            </w:r>
          </w:p>
          <w:p>
            <w:pPr>
              <w:widowControl/>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widowControl/>
              <w:jc w:val="left"/>
              <w:rPr>
                <w:rFonts w:ascii="宋体" w:hAnsi="宋体" w:cs="宋体"/>
                <w:kern w:val="0"/>
                <w:sz w:val="22"/>
                <w:szCs w:val="24"/>
              </w:rPr>
            </w:pPr>
            <w:r>
              <w:rPr>
                <w:rFonts w:hint="eastAsia" w:ascii="宋体" w:hAnsi="宋体" w:cs="宋体"/>
                <w:kern w:val="0"/>
                <w:sz w:val="22"/>
                <w:szCs w:val="24"/>
              </w:rPr>
              <w:t>（1）要求提供通过投标人购买的项目负责人近三个月社保，学位和职称文件，业绩合同关键页或其他证明文件（需要体现人员信息，若无人员信息，须提供工作单位出具的证明材料）。</w:t>
            </w:r>
          </w:p>
          <w:p>
            <w:pPr>
              <w:widowControl/>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widowControl/>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widowControl/>
              <w:jc w:val="left"/>
              <w:rPr>
                <w:rFonts w:ascii="宋体" w:hAnsi="宋体" w:cs="宋体"/>
                <w:kern w:val="0"/>
                <w:sz w:val="22"/>
                <w:szCs w:val="24"/>
              </w:rPr>
            </w:pPr>
            <w:r>
              <w:rPr>
                <w:rFonts w:hint="eastAsia" w:ascii="宋体" w:hAnsi="宋体" w:cs="宋体"/>
                <w:kern w:val="0"/>
                <w:sz w:val="22"/>
                <w:szCs w:val="24"/>
              </w:rPr>
              <w:t>项目团队中每提供1位有中级职称及以上或博士学位及以上人员得2</w:t>
            </w:r>
            <w:r>
              <w:rPr>
                <w:rFonts w:ascii="宋体" w:hAnsi="宋体" w:cs="宋体"/>
                <w:kern w:val="0"/>
                <w:sz w:val="22"/>
                <w:szCs w:val="24"/>
              </w:rPr>
              <w:t>5</w:t>
            </w:r>
            <w:r>
              <w:rPr>
                <w:rFonts w:hint="eastAsia" w:ascii="宋体" w:hAnsi="宋体" w:cs="宋体"/>
                <w:kern w:val="0"/>
                <w:sz w:val="22"/>
                <w:szCs w:val="24"/>
              </w:rPr>
              <w:t>%，硕士得2</w:t>
            </w:r>
            <w:r>
              <w:rPr>
                <w:rFonts w:ascii="宋体" w:hAnsi="宋体" w:cs="宋体"/>
                <w:kern w:val="0"/>
                <w:sz w:val="22"/>
                <w:szCs w:val="24"/>
              </w:rPr>
              <w:t>0</w:t>
            </w:r>
            <w:r>
              <w:rPr>
                <w:rFonts w:hint="eastAsia" w:ascii="宋体" w:hAnsi="宋体" w:cs="宋体"/>
                <w:kern w:val="0"/>
                <w:sz w:val="22"/>
                <w:szCs w:val="24"/>
              </w:rPr>
              <w:t>%，最高得分不超过100%。</w:t>
            </w:r>
          </w:p>
          <w:p>
            <w:pPr>
              <w:widowControl/>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widowControl/>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widowControl/>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价格部分（合计</w:t>
            </w:r>
            <w:r>
              <w:rPr>
                <w:rFonts w:ascii="宋体" w:hAnsi="宋体"/>
                <w:b/>
                <w:sz w:val="22"/>
                <w:szCs w:val="24"/>
              </w:rPr>
              <w:t>15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rPr>
                <w:rFonts w:ascii="宋体" w:hAnsi="宋体" w:cs="宋体"/>
                <w:kern w:val="0"/>
                <w:sz w:val="22"/>
                <w:szCs w:val="24"/>
              </w:rPr>
            </w:pPr>
            <w:r>
              <w:rPr>
                <w:rFonts w:hint="eastAsia" w:ascii="宋体" w:hAnsi="宋体" w:cs="宋体"/>
                <w:kern w:val="0"/>
                <w:sz w:val="22"/>
                <w:szCs w:val="24"/>
              </w:rPr>
              <w:t>所有投标人报价作为投标人的评标价。</w:t>
            </w:r>
          </w:p>
          <w:p>
            <w:pPr>
              <w:autoSpaceDE w:val="0"/>
              <w:autoSpaceDN w:val="0"/>
              <w:adjustRightInd w:val="0"/>
              <w:snapToGrid w:val="0"/>
              <w:rPr>
                <w:rFonts w:ascii="宋体" w:hAnsi="宋体" w:cs="宋体"/>
                <w:kern w:val="0"/>
                <w:sz w:val="22"/>
                <w:szCs w:val="24"/>
              </w:rPr>
            </w:pPr>
            <w:r>
              <w:rPr>
                <w:rFonts w:hint="eastAsia" w:ascii="宋体" w:hAnsi="宋体" w:cs="宋体"/>
                <w:kern w:val="0"/>
                <w:sz w:val="22"/>
                <w:szCs w:val="24"/>
              </w:rPr>
              <w:t>取所有投标人评标价的算术平均值为基准价，基准价得满分。</w:t>
            </w:r>
          </w:p>
          <w:p>
            <w:pPr>
              <w:autoSpaceDE w:val="0"/>
              <w:autoSpaceDN w:val="0"/>
              <w:adjustRightInd w:val="0"/>
              <w:snapToGrid w:val="0"/>
              <w:rPr>
                <w:rFonts w:ascii="宋体" w:hAnsi="宋体" w:cs="宋体"/>
                <w:kern w:val="0"/>
                <w:sz w:val="22"/>
                <w:szCs w:val="24"/>
              </w:rPr>
            </w:pPr>
            <w:r>
              <w:rPr>
                <w:rFonts w:hint="eastAsia" w:ascii="宋体" w:hAnsi="宋体" w:cs="宋体"/>
                <w:kern w:val="0"/>
                <w:sz w:val="22"/>
                <w:szCs w:val="24"/>
              </w:rPr>
              <w:t>价格得分计算公式为：</w:t>
            </w:r>
          </w:p>
          <w:p>
            <w:pPr>
              <w:autoSpaceDE w:val="0"/>
              <w:autoSpaceDN w:val="0"/>
              <w:adjustRightInd w:val="0"/>
              <w:snapToGrid w:val="0"/>
              <w:rPr>
                <w:rFonts w:ascii="宋体" w:hAnsi="宋体" w:cs="宋体"/>
                <w:kern w:val="0"/>
                <w:sz w:val="22"/>
                <w:szCs w:val="24"/>
              </w:rPr>
            </w:pPr>
            <w:r>
              <w:rPr>
                <w:rFonts w:hint="eastAsia" w:ascii="宋体" w:hAnsi="宋体" w:cs="宋体"/>
                <w:kern w:val="0"/>
                <w:sz w:val="22"/>
                <w:szCs w:val="24"/>
              </w:rPr>
              <w:t>价格得分 = [1-A×|1-评标价格/评标基准价|]×</w:t>
            </w:r>
            <w:r>
              <w:rPr>
                <w:rFonts w:ascii="宋体" w:hAnsi="宋体" w:cs="宋体"/>
                <w:kern w:val="0"/>
                <w:sz w:val="22"/>
                <w:szCs w:val="24"/>
              </w:rPr>
              <w:t>15</w:t>
            </w:r>
          </w:p>
          <w:p>
            <w:pPr>
              <w:autoSpaceDE w:val="0"/>
              <w:autoSpaceDN w:val="0"/>
              <w:adjustRightInd w:val="0"/>
              <w:snapToGrid w:val="0"/>
              <w:rPr>
                <w:rFonts w:ascii="宋体" w:hAnsi="宋体" w:cs="宋体"/>
                <w:kern w:val="0"/>
                <w:sz w:val="22"/>
                <w:szCs w:val="24"/>
              </w:rPr>
            </w:pPr>
            <w:r>
              <w:rPr>
                <w:rFonts w:hint="eastAsia" w:ascii="宋体" w:hAnsi="宋体" w:cs="宋体"/>
                <w:kern w:val="0"/>
                <w:sz w:val="22"/>
                <w:szCs w:val="24"/>
              </w:rPr>
              <w:t xml:space="preserve">价格调整系数A:当评标价低于基准价时，A=0.5；当评标价格高于基准价时，A=1。 </w:t>
            </w:r>
          </w:p>
          <w:p>
            <w:pPr>
              <w:rPr>
                <w:rFonts w:ascii="宋体" w:hAnsi="宋体"/>
                <w:b/>
                <w:bCs/>
                <w:sz w:val="22"/>
                <w:szCs w:val="24"/>
                <w:u w:val="double"/>
              </w:rPr>
            </w:pPr>
            <w:r>
              <w:rPr>
                <w:rFonts w:hint="eastAsia" w:ascii="宋体" w:hAnsi="宋体" w:cs="宋体"/>
                <w:kern w:val="0"/>
                <w:sz w:val="22"/>
                <w:szCs w:val="24"/>
              </w:rPr>
              <w:t>经以上算法得出的数值即为投标人的价格得分（计算过程及计算结果四舍五入保留小数点后两位）。价格得分为负数时，计为0分。</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ascii="宋体" w:hAnsi="宋体" w:cs="宋体"/>
                <w:sz w:val="22"/>
                <w:szCs w:val="24"/>
              </w:rPr>
              <w:t>15</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rPr>
          <w:rFonts w:ascii="仿宋_GB2312" w:hAnsi="仿宋_GB2312" w:eastAsia="仿宋_GB2312" w:cs="仿宋_GB2312"/>
          <w:kern w:val="0"/>
          <w:sz w:val="24"/>
          <w:szCs w:val="24"/>
        </w:rPr>
      </w:pPr>
      <w:r>
        <w:rPr>
          <w:rFonts w:hint="eastAsia" w:ascii="仿宋_GB2312" w:hAnsi="仿宋_GB2312" w:eastAsia="仿宋_GB2312" w:cs="仿宋_GB2312"/>
          <w:b/>
          <w:sz w:val="24"/>
          <w:szCs w:val="24"/>
        </w:rPr>
        <w:t>备注：</w:t>
      </w:r>
      <w:r>
        <w:rPr>
          <w:rFonts w:hint="eastAsia" w:ascii="仿宋_GB2312" w:hAnsi="仿宋_GB2312" w:eastAsia="仿宋_GB2312" w:cs="仿宋_GB2312"/>
          <w:kern w:val="0"/>
          <w:sz w:val="24"/>
          <w:szCs w:val="24"/>
        </w:rPr>
        <w:t>1.评标信息内评分方法的说明：</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（1）权重：按百分比进行设置；</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（2）评分准则：按照评标系统设置要求，每项“评分准则”皆按百分制打分；</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（3）每项“评分因素”的得分=对应“评分准则”的分值×对应权重%。</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2.价格扣除</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（1）根据财政部、工业和信息化部印发的《政府采购促进中小企业发展管理办法》（财库〔2020〕46号）的规定，对小型和微型企业产品的价格给予6%的扣除，用扣除后的价格参与评审。</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（2）组成联合体（如允许）或者接受分包的小微企业与联合体内其他企业、分包企业之间存在直接控股、管理关系的，不享受价格扣除优惠政策。</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（3）监狱企业产品价格扣除：监狱企业视同小微企业，按上述第（1）、（2）条款享受评审中价格扣除。</w:t>
      </w:r>
    </w:p>
    <w:p>
      <w:pPr>
        <w:ind w:firstLine="600" w:firstLineChars="25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附件：投标及履约承诺函</w:t>
      </w:r>
    </w:p>
    <w:p>
      <w:pPr>
        <w:widowControl/>
        <w:jc w:val="left"/>
        <w:rPr>
          <w:rFonts w:ascii="仿宋" w:hAnsi="仿宋" w:eastAsia="仿宋" w:cs="仿宋_GB2312"/>
          <w:sz w:val="32"/>
          <w:szCs w:val="32"/>
        </w:rPr>
      </w:pPr>
      <w:r>
        <w:rPr>
          <w:rFonts w:ascii="仿宋" w:hAnsi="仿宋" w:eastAsia="仿宋" w:cs="仿宋_GB2312"/>
          <w:sz w:val="32"/>
          <w:szCs w:val="32"/>
        </w:rPr>
        <w:br w:type="page"/>
      </w:r>
    </w:p>
    <w:p>
      <w:pPr>
        <w:adjustRightInd w:val="0"/>
        <w:snapToGrid w:val="0"/>
        <w:jc w:val="left"/>
        <w:rPr>
          <w:rFonts w:ascii="黑体" w:hAnsi="黑体" w:eastAsia="黑体" w:cs="黑体"/>
          <w:sz w:val="32"/>
          <w:szCs w:val="32"/>
        </w:rPr>
      </w:pPr>
      <w:r>
        <w:rPr>
          <w:rFonts w:hint="eastAsia" w:ascii="黑体" w:hAnsi="黑体" w:eastAsia="黑体" w:cs="黑体"/>
          <w:spacing w:val="10"/>
          <w:kern w:val="0"/>
          <w:sz w:val="32"/>
          <w:szCs w:val="32"/>
          <w:lang w:val="zh-CN"/>
        </w:rPr>
        <w:t>附件</w:t>
      </w:r>
    </w:p>
    <w:p>
      <w:pPr>
        <w:adjustRightInd w:val="0"/>
        <w:snapToGrid w:val="0"/>
        <w:jc w:val="center"/>
        <w:rPr>
          <w:rFonts w:ascii="宋体" w:hAnsi="宋体" w:cs="宋体"/>
          <w:b/>
          <w:bCs/>
          <w:sz w:val="44"/>
          <w:szCs w:val="44"/>
        </w:rPr>
      </w:pPr>
      <w:r>
        <w:rPr>
          <w:rFonts w:hint="eastAsia" w:ascii="宋体" w:hAnsi="宋体" w:cs="宋体"/>
          <w:b/>
          <w:bCs/>
          <w:sz w:val="44"/>
          <w:szCs w:val="44"/>
        </w:rPr>
        <w:t xml:space="preserve"> </w:t>
      </w:r>
    </w:p>
    <w:p>
      <w:pPr>
        <w:adjustRightInd w:val="0"/>
        <w:snapToGrid w:val="0"/>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4.如果中标，做到守信，不偷工减料，依照本项目招标文件需求内容、签署的采购合同及在投标中所作的一切承诺履约。项目验收达到全部指标合格，力争优良。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 xml:space="preserve">5.我单位已认真阅读本项目需求，我单位承诺按时递交标书。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6.我单位承诺不非法转包或分包。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微软雅黑"/>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CESI仿宋-GB2312">
    <w:altName w:val="Microsoft YaHei UI"/>
    <w:panose1 w:val="00000000000000000000"/>
    <w:charset w:val="86"/>
    <w:family w:val="auto"/>
    <w:pitch w:val="default"/>
    <w:sig w:usb0="00000000" w:usb1="00000000" w:usb2="00000010"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8A"/>
    <w:rsid w:val="00000F65"/>
    <w:rsid w:val="00001322"/>
    <w:rsid w:val="00015BC4"/>
    <w:rsid w:val="00021F8A"/>
    <w:rsid w:val="00023BBB"/>
    <w:rsid w:val="000308FC"/>
    <w:rsid w:val="000322CF"/>
    <w:rsid w:val="000558D3"/>
    <w:rsid w:val="00057629"/>
    <w:rsid w:val="0007094F"/>
    <w:rsid w:val="00087B33"/>
    <w:rsid w:val="0009025E"/>
    <w:rsid w:val="000943CB"/>
    <w:rsid w:val="000A0D86"/>
    <w:rsid w:val="000A2ECD"/>
    <w:rsid w:val="000A460A"/>
    <w:rsid w:val="000B0357"/>
    <w:rsid w:val="000C24E4"/>
    <w:rsid w:val="000C3C1F"/>
    <w:rsid w:val="000C4C90"/>
    <w:rsid w:val="000C72A3"/>
    <w:rsid w:val="000E057C"/>
    <w:rsid w:val="000E7D03"/>
    <w:rsid w:val="000F20B7"/>
    <w:rsid w:val="000F7ABB"/>
    <w:rsid w:val="000F7AD1"/>
    <w:rsid w:val="00102E73"/>
    <w:rsid w:val="00104E04"/>
    <w:rsid w:val="001064C3"/>
    <w:rsid w:val="001124E6"/>
    <w:rsid w:val="0011608A"/>
    <w:rsid w:val="00117E12"/>
    <w:rsid w:val="00121A5C"/>
    <w:rsid w:val="001275A8"/>
    <w:rsid w:val="00142C1A"/>
    <w:rsid w:val="00142DE7"/>
    <w:rsid w:val="0014446E"/>
    <w:rsid w:val="0015225B"/>
    <w:rsid w:val="001544E0"/>
    <w:rsid w:val="00155FBC"/>
    <w:rsid w:val="0017605A"/>
    <w:rsid w:val="0017760C"/>
    <w:rsid w:val="00180298"/>
    <w:rsid w:val="0018063F"/>
    <w:rsid w:val="001816F2"/>
    <w:rsid w:val="00197FDE"/>
    <w:rsid w:val="001B20D4"/>
    <w:rsid w:val="001B35A8"/>
    <w:rsid w:val="001C0D3F"/>
    <w:rsid w:val="001C6A4F"/>
    <w:rsid w:val="001C71B0"/>
    <w:rsid w:val="001D3DDB"/>
    <w:rsid w:val="001D7F41"/>
    <w:rsid w:val="001E3A97"/>
    <w:rsid w:val="001E510D"/>
    <w:rsid w:val="001E6EC1"/>
    <w:rsid w:val="001F1A30"/>
    <w:rsid w:val="001F2F3C"/>
    <w:rsid w:val="001F6A98"/>
    <w:rsid w:val="001F7840"/>
    <w:rsid w:val="00205A4D"/>
    <w:rsid w:val="002121C1"/>
    <w:rsid w:val="00212BC7"/>
    <w:rsid w:val="00226951"/>
    <w:rsid w:val="00227A11"/>
    <w:rsid w:val="00236C21"/>
    <w:rsid w:val="002428CE"/>
    <w:rsid w:val="00247CB1"/>
    <w:rsid w:val="00247CC0"/>
    <w:rsid w:val="00264F3F"/>
    <w:rsid w:val="002702DD"/>
    <w:rsid w:val="00275B1E"/>
    <w:rsid w:val="00280D77"/>
    <w:rsid w:val="0029255E"/>
    <w:rsid w:val="00292B7E"/>
    <w:rsid w:val="002B2371"/>
    <w:rsid w:val="002B5A7D"/>
    <w:rsid w:val="002C169A"/>
    <w:rsid w:val="002C23E7"/>
    <w:rsid w:val="002C410B"/>
    <w:rsid w:val="002C75A1"/>
    <w:rsid w:val="002D3E7B"/>
    <w:rsid w:val="002E3180"/>
    <w:rsid w:val="002F0A38"/>
    <w:rsid w:val="002F7D66"/>
    <w:rsid w:val="003043F5"/>
    <w:rsid w:val="0030460A"/>
    <w:rsid w:val="00310166"/>
    <w:rsid w:val="003108AF"/>
    <w:rsid w:val="003109D9"/>
    <w:rsid w:val="00312DB9"/>
    <w:rsid w:val="003179F2"/>
    <w:rsid w:val="00320363"/>
    <w:rsid w:val="0032247C"/>
    <w:rsid w:val="00336A84"/>
    <w:rsid w:val="00342105"/>
    <w:rsid w:val="003443C6"/>
    <w:rsid w:val="00346AEE"/>
    <w:rsid w:val="00351547"/>
    <w:rsid w:val="00351C24"/>
    <w:rsid w:val="003564FD"/>
    <w:rsid w:val="003614DA"/>
    <w:rsid w:val="00362DD6"/>
    <w:rsid w:val="003702C5"/>
    <w:rsid w:val="00371016"/>
    <w:rsid w:val="00386203"/>
    <w:rsid w:val="00387586"/>
    <w:rsid w:val="00397D57"/>
    <w:rsid w:val="003A5EBE"/>
    <w:rsid w:val="003A5EC0"/>
    <w:rsid w:val="003A71FE"/>
    <w:rsid w:val="003B47C2"/>
    <w:rsid w:val="003C0F0F"/>
    <w:rsid w:val="003C550C"/>
    <w:rsid w:val="003C6F37"/>
    <w:rsid w:val="003C79E8"/>
    <w:rsid w:val="003C7DC7"/>
    <w:rsid w:val="003D0615"/>
    <w:rsid w:val="003D57C1"/>
    <w:rsid w:val="003E1C91"/>
    <w:rsid w:val="003E74A2"/>
    <w:rsid w:val="003E7BEF"/>
    <w:rsid w:val="003F3C76"/>
    <w:rsid w:val="003F7347"/>
    <w:rsid w:val="0040141D"/>
    <w:rsid w:val="00401F33"/>
    <w:rsid w:val="0040409B"/>
    <w:rsid w:val="004172F5"/>
    <w:rsid w:val="0043443C"/>
    <w:rsid w:val="004346D9"/>
    <w:rsid w:val="004425A4"/>
    <w:rsid w:val="004436F6"/>
    <w:rsid w:val="00455A2D"/>
    <w:rsid w:val="004608C1"/>
    <w:rsid w:val="00461339"/>
    <w:rsid w:val="00462CDB"/>
    <w:rsid w:val="0046505B"/>
    <w:rsid w:val="004747A9"/>
    <w:rsid w:val="00482C77"/>
    <w:rsid w:val="00486C7B"/>
    <w:rsid w:val="00487248"/>
    <w:rsid w:val="00490843"/>
    <w:rsid w:val="004927E4"/>
    <w:rsid w:val="00495B00"/>
    <w:rsid w:val="004A018F"/>
    <w:rsid w:val="004A4844"/>
    <w:rsid w:val="004A5B12"/>
    <w:rsid w:val="004B3EFF"/>
    <w:rsid w:val="004B4044"/>
    <w:rsid w:val="004B72E2"/>
    <w:rsid w:val="004D140F"/>
    <w:rsid w:val="004D647F"/>
    <w:rsid w:val="004D69E2"/>
    <w:rsid w:val="004E567A"/>
    <w:rsid w:val="004E6254"/>
    <w:rsid w:val="004E6DC8"/>
    <w:rsid w:val="004F4EEB"/>
    <w:rsid w:val="00502316"/>
    <w:rsid w:val="00512272"/>
    <w:rsid w:val="005130F6"/>
    <w:rsid w:val="00522B7F"/>
    <w:rsid w:val="005236DE"/>
    <w:rsid w:val="00523E08"/>
    <w:rsid w:val="005250D0"/>
    <w:rsid w:val="00527B81"/>
    <w:rsid w:val="0053239E"/>
    <w:rsid w:val="00533C56"/>
    <w:rsid w:val="00537059"/>
    <w:rsid w:val="00540773"/>
    <w:rsid w:val="00541A5D"/>
    <w:rsid w:val="00544137"/>
    <w:rsid w:val="00551C08"/>
    <w:rsid w:val="00551FCE"/>
    <w:rsid w:val="0055630F"/>
    <w:rsid w:val="005662B7"/>
    <w:rsid w:val="00566FD7"/>
    <w:rsid w:val="00567E36"/>
    <w:rsid w:val="005704F5"/>
    <w:rsid w:val="00571748"/>
    <w:rsid w:val="005742E2"/>
    <w:rsid w:val="00574E9C"/>
    <w:rsid w:val="0057642D"/>
    <w:rsid w:val="005770EC"/>
    <w:rsid w:val="00581043"/>
    <w:rsid w:val="005857A3"/>
    <w:rsid w:val="00590CD3"/>
    <w:rsid w:val="00591F8A"/>
    <w:rsid w:val="00592178"/>
    <w:rsid w:val="0059695D"/>
    <w:rsid w:val="005B045A"/>
    <w:rsid w:val="005B1504"/>
    <w:rsid w:val="005C1EA1"/>
    <w:rsid w:val="005D06B7"/>
    <w:rsid w:val="005D2DBD"/>
    <w:rsid w:val="005D5595"/>
    <w:rsid w:val="005F42B7"/>
    <w:rsid w:val="00613386"/>
    <w:rsid w:val="00614414"/>
    <w:rsid w:val="00625492"/>
    <w:rsid w:val="00626F53"/>
    <w:rsid w:val="00633239"/>
    <w:rsid w:val="00633C39"/>
    <w:rsid w:val="00635016"/>
    <w:rsid w:val="00642642"/>
    <w:rsid w:val="00645B23"/>
    <w:rsid w:val="006627FC"/>
    <w:rsid w:val="00667C67"/>
    <w:rsid w:val="00667D11"/>
    <w:rsid w:val="00693E4E"/>
    <w:rsid w:val="006A2133"/>
    <w:rsid w:val="006B4D4A"/>
    <w:rsid w:val="006C4AD8"/>
    <w:rsid w:val="006D34ED"/>
    <w:rsid w:val="006D43DB"/>
    <w:rsid w:val="006D7442"/>
    <w:rsid w:val="006E5EC1"/>
    <w:rsid w:val="006E64BB"/>
    <w:rsid w:val="00702150"/>
    <w:rsid w:val="0071108F"/>
    <w:rsid w:val="00713126"/>
    <w:rsid w:val="00713D58"/>
    <w:rsid w:val="007261F8"/>
    <w:rsid w:val="00737455"/>
    <w:rsid w:val="00741452"/>
    <w:rsid w:val="007414C6"/>
    <w:rsid w:val="00755554"/>
    <w:rsid w:val="00756219"/>
    <w:rsid w:val="00763343"/>
    <w:rsid w:val="00772977"/>
    <w:rsid w:val="00776E5F"/>
    <w:rsid w:val="00781E6C"/>
    <w:rsid w:val="0078257A"/>
    <w:rsid w:val="00785916"/>
    <w:rsid w:val="00792503"/>
    <w:rsid w:val="00796037"/>
    <w:rsid w:val="007A27DD"/>
    <w:rsid w:val="007B3AC8"/>
    <w:rsid w:val="007D0575"/>
    <w:rsid w:val="007D629B"/>
    <w:rsid w:val="007D7579"/>
    <w:rsid w:val="007D7BDD"/>
    <w:rsid w:val="007E3969"/>
    <w:rsid w:val="007E4380"/>
    <w:rsid w:val="007F12AF"/>
    <w:rsid w:val="00800E7D"/>
    <w:rsid w:val="00800F5B"/>
    <w:rsid w:val="00803DE1"/>
    <w:rsid w:val="008111D2"/>
    <w:rsid w:val="008166EE"/>
    <w:rsid w:val="008346B8"/>
    <w:rsid w:val="0084013A"/>
    <w:rsid w:val="00843442"/>
    <w:rsid w:val="00843770"/>
    <w:rsid w:val="00843921"/>
    <w:rsid w:val="00843C62"/>
    <w:rsid w:val="00856555"/>
    <w:rsid w:val="00876D92"/>
    <w:rsid w:val="008836FE"/>
    <w:rsid w:val="00883B31"/>
    <w:rsid w:val="008907C7"/>
    <w:rsid w:val="00893717"/>
    <w:rsid w:val="00897A19"/>
    <w:rsid w:val="008A79FD"/>
    <w:rsid w:val="008B4CAF"/>
    <w:rsid w:val="008D2D34"/>
    <w:rsid w:val="008D783E"/>
    <w:rsid w:val="008F443C"/>
    <w:rsid w:val="009013DF"/>
    <w:rsid w:val="00903308"/>
    <w:rsid w:val="009038AB"/>
    <w:rsid w:val="0090522E"/>
    <w:rsid w:val="009107D4"/>
    <w:rsid w:val="00912182"/>
    <w:rsid w:val="00913B55"/>
    <w:rsid w:val="00920BB7"/>
    <w:rsid w:val="009245E2"/>
    <w:rsid w:val="009274B6"/>
    <w:rsid w:val="00933256"/>
    <w:rsid w:val="009351C9"/>
    <w:rsid w:val="00935C24"/>
    <w:rsid w:val="00937757"/>
    <w:rsid w:val="009417F2"/>
    <w:rsid w:val="009449AE"/>
    <w:rsid w:val="0094689E"/>
    <w:rsid w:val="009634AF"/>
    <w:rsid w:val="009719CF"/>
    <w:rsid w:val="00976494"/>
    <w:rsid w:val="00977802"/>
    <w:rsid w:val="009910FD"/>
    <w:rsid w:val="00993ABE"/>
    <w:rsid w:val="00993F7F"/>
    <w:rsid w:val="0099769F"/>
    <w:rsid w:val="009A0980"/>
    <w:rsid w:val="009A47EF"/>
    <w:rsid w:val="009A6424"/>
    <w:rsid w:val="009B1074"/>
    <w:rsid w:val="009B1BCF"/>
    <w:rsid w:val="009B37E4"/>
    <w:rsid w:val="009B4668"/>
    <w:rsid w:val="009C378C"/>
    <w:rsid w:val="009C556B"/>
    <w:rsid w:val="009D0E3F"/>
    <w:rsid w:val="009D520A"/>
    <w:rsid w:val="009E0008"/>
    <w:rsid w:val="009F39C4"/>
    <w:rsid w:val="009F6E16"/>
    <w:rsid w:val="00A002CE"/>
    <w:rsid w:val="00A03153"/>
    <w:rsid w:val="00A03C2D"/>
    <w:rsid w:val="00A17BC4"/>
    <w:rsid w:val="00A2256A"/>
    <w:rsid w:val="00A30198"/>
    <w:rsid w:val="00A305F8"/>
    <w:rsid w:val="00A31463"/>
    <w:rsid w:val="00A44DD8"/>
    <w:rsid w:val="00A51B21"/>
    <w:rsid w:val="00A60F56"/>
    <w:rsid w:val="00A716A3"/>
    <w:rsid w:val="00A73054"/>
    <w:rsid w:val="00A81E7B"/>
    <w:rsid w:val="00A9093A"/>
    <w:rsid w:val="00A94D28"/>
    <w:rsid w:val="00A97A05"/>
    <w:rsid w:val="00A97E20"/>
    <w:rsid w:val="00AA62E8"/>
    <w:rsid w:val="00AA6594"/>
    <w:rsid w:val="00AB432C"/>
    <w:rsid w:val="00AB5B09"/>
    <w:rsid w:val="00AC012B"/>
    <w:rsid w:val="00AC5C00"/>
    <w:rsid w:val="00AD11F7"/>
    <w:rsid w:val="00AD1E04"/>
    <w:rsid w:val="00AE74B1"/>
    <w:rsid w:val="00B01134"/>
    <w:rsid w:val="00B067EE"/>
    <w:rsid w:val="00B0798D"/>
    <w:rsid w:val="00B10467"/>
    <w:rsid w:val="00B113FF"/>
    <w:rsid w:val="00B25245"/>
    <w:rsid w:val="00B31182"/>
    <w:rsid w:val="00B36FF2"/>
    <w:rsid w:val="00B45F18"/>
    <w:rsid w:val="00B54172"/>
    <w:rsid w:val="00B56D2F"/>
    <w:rsid w:val="00B61BFE"/>
    <w:rsid w:val="00B67D61"/>
    <w:rsid w:val="00B733EE"/>
    <w:rsid w:val="00B747F2"/>
    <w:rsid w:val="00B74AC0"/>
    <w:rsid w:val="00B7696A"/>
    <w:rsid w:val="00B82F55"/>
    <w:rsid w:val="00B832AF"/>
    <w:rsid w:val="00B86F7E"/>
    <w:rsid w:val="00B9388B"/>
    <w:rsid w:val="00B957B7"/>
    <w:rsid w:val="00B9741C"/>
    <w:rsid w:val="00BA050C"/>
    <w:rsid w:val="00BA3A8C"/>
    <w:rsid w:val="00BB4B80"/>
    <w:rsid w:val="00BB7155"/>
    <w:rsid w:val="00BC680A"/>
    <w:rsid w:val="00BC6A39"/>
    <w:rsid w:val="00BD1AAB"/>
    <w:rsid w:val="00C13C74"/>
    <w:rsid w:val="00C23B48"/>
    <w:rsid w:val="00C27200"/>
    <w:rsid w:val="00C3092A"/>
    <w:rsid w:val="00C36D61"/>
    <w:rsid w:val="00C44FAE"/>
    <w:rsid w:val="00C5185F"/>
    <w:rsid w:val="00C52D4D"/>
    <w:rsid w:val="00C53BC7"/>
    <w:rsid w:val="00C54474"/>
    <w:rsid w:val="00C54947"/>
    <w:rsid w:val="00C57C32"/>
    <w:rsid w:val="00C622E4"/>
    <w:rsid w:val="00C63CC8"/>
    <w:rsid w:val="00C655DD"/>
    <w:rsid w:val="00CB02DC"/>
    <w:rsid w:val="00CB6F39"/>
    <w:rsid w:val="00CB7CA8"/>
    <w:rsid w:val="00CD16CE"/>
    <w:rsid w:val="00CD3BD3"/>
    <w:rsid w:val="00CE0F8E"/>
    <w:rsid w:val="00CE5445"/>
    <w:rsid w:val="00CF5E33"/>
    <w:rsid w:val="00CF6F23"/>
    <w:rsid w:val="00D06210"/>
    <w:rsid w:val="00D067A1"/>
    <w:rsid w:val="00D067CE"/>
    <w:rsid w:val="00D12A2B"/>
    <w:rsid w:val="00D1589D"/>
    <w:rsid w:val="00D24698"/>
    <w:rsid w:val="00D25868"/>
    <w:rsid w:val="00D25C47"/>
    <w:rsid w:val="00D2660C"/>
    <w:rsid w:val="00D30E9B"/>
    <w:rsid w:val="00D316F6"/>
    <w:rsid w:val="00D34ED4"/>
    <w:rsid w:val="00D45768"/>
    <w:rsid w:val="00D45F2D"/>
    <w:rsid w:val="00D52A2E"/>
    <w:rsid w:val="00D55F1E"/>
    <w:rsid w:val="00D6072F"/>
    <w:rsid w:val="00D64D20"/>
    <w:rsid w:val="00D75ED0"/>
    <w:rsid w:val="00D76346"/>
    <w:rsid w:val="00D7776E"/>
    <w:rsid w:val="00D9607B"/>
    <w:rsid w:val="00DA522B"/>
    <w:rsid w:val="00DB7BEE"/>
    <w:rsid w:val="00DC1D8B"/>
    <w:rsid w:val="00DD0471"/>
    <w:rsid w:val="00DE41D0"/>
    <w:rsid w:val="00DE42BB"/>
    <w:rsid w:val="00DE5F7D"/>
    <w:rsid w:val="00DF1F58"/>
    <w:rsid w:val="00E03217"/>
    <w:rsid w:val="00E055A3"/>
    <w:rsid w:val="00E05EDB"/>
    <w:rsid w:val="00E07E9C"/>
    <w:rsid w:val="00E10580"/>
    <w:rsid w:val="00E11A28"/>
    <w:rsid w:val="00E16C7C"/>
    <w:rsid w:val="00E20EC4"/>
    <w:rsid w:val="00E22750"/>
    <w:rsid w:val="00E250BB"/>
    <w:rsid w:val="00E30705"/>
    <w:rsid w:val="00E36B74"/>
    <w:rsid w:val="00E37ECE"/>
    <w:rsid w:val="00E51826"/>
    <w:rsid w:val="00E5351E"/>
    <w:rsid w:val="00E60007"/>
    <w:rsid w:val="00E65C2A"/>
    <w:rsid w:val="00E70DE8"/>
    <w:rsid w:val="00E764AB"/>
    <w:rsid w:val="00E766DB"/>
    <w:rsid w:val="00E7741D"/>
    <w:rsid w:val="00E77D4D"/>
    <w:rsid w:val="00E820A7"/>
    <w:rsid w:val="00E83BC8"/>
    <w:rsid w:val="00E850EA"/>
    <w:rsid w:val="00E909BD"/>
    <w:rsid w:val="00E96829"/>
    <w:rsid w:val="00EA373C"/>
    <w:rsid w:val="00EB1CF3"/>
    <w:rsid w:val="00EB2AB7"/>
    <w:rsid w:val="00EC337A"/>
    <w:rsid w:val="00ED6D9F"/>
    <w:rsid w:val="00EE0506"/>
    <w:rsid w:val="00EE2341"/>
    <w:rsid w:val="00EE23B4"/>
    <w:rsid w:val="00EE244A"/>
    <w:rsid w:val="00EE6406"/>
    <w:rsid w:val="00EE6860"/>
    <w:rsid w:val="00F01E8C"/>
    <w:rsid w:val="00F02BFB"/>
    <w:rsid w:val="00F03D5C"/>
    <w:rsid w:val="00F047CB"/>
    <w:rsid w:val="00F05FAE"/>
    <w:rsid w:val="00F07DB6"/>
    <w:rsid w:val="00F11F3D"/>
    <w:rsid w:val="00F17CBD"/>
    <w:rsid w:val="00F20658"/>
    <w:rsid w:val="00F222DE"/>
    <w:rsid w:val="00F334E1"/>
    <w:rsid w:val="00F34F92"/>
    <w:rsid w:val="00F35096"/>
    <w:rsid w:val="00F40656"/>
    <w:rsid w:val="00F50583"/>
    <w:rsid w:val="00F51166"/>
    <w:rsid w:val="00F55583"/>
    <w:rsid w:val="00F64707"/>
    <w:rsid w:val="00F73561"/>
    <w:rsid w:val="00F7648C"/>
    <w:rsid w:val="00F82281"/>
    <w:rsid w:val="00F86E52"/>
    <w:rsid w:val="00F90E1A"/>
    <w:rsid w:val="00FA2F56"/>
    <w:rsid w:val="00FA6B2D"/>
    <w:rsid w:val="00FB2C4D"/>
    <w:rsid w:val="00FB2E08"/>
    <w:rsid w:val="00FC012F"/>
    <w:rsid w:val="00FC043D"/>
    <w:rsid w:val="00FD0E06"/>
    <w:rsid w:val="00FD3295"/>
    <w:rsid w:val="00FF3DC6"/>
    <w:rsid w:val="01FB42C6"/>
    <w:rsid w:val="02E52B28"/>
    <w:rsid w:val="03633F51"/>
    <w:rsid w:val="03D32EAA"/>
    <w:rsid w:val="06905EF8"/>
    <w:rsid w:val="0F1C3C95"/>
    <w:rsid w:val="12F96422"/>
    <w:rsid w:val="154C74B7"/>
    <w:rsid w:val="164963A5"/>
    <w:rsid w:val="1D6614F4"/>
    <w:rsid w:val="227D1127"/>
    <w:rsid w:val="25ED7CFF"/>
    <w:rsid w:val="2CE83633"/>
    <w:rsid w:val="2D560907"/>
    <w:rsid w:val="2E452FC9"/>
    <w:rsid w:val="2F2E417E"/>
    <w:rsid w:val="31EE4784"/>
    <w:rsid w:val="329F650A"/>
    <w:rsid w:val="36587F7A"/>
    <w:rsid w:val="379C5046"/>
    <w:rsid w:val="38FD428C"/>
    <w:rsid w:val="3B530682"/>
    <w:rsid w:val="3C6F180D"/>
    <w:rsid w:val="3CAA0266"/>
    <w:rsid w:val="40760AAC"/>
    <w:rsid w:val="41354132"/>
    <w:rsid w:val="48934F74"/>
    <w:rsid w:val="4C1676C1"/>
    <w:rsid w:val="4D4D1E47"/>
    <w:rsid w:val="571E4E32"/>
    <w:rsid w:val="63C376D7"/>
    <w:rsid w:val="68AC4A92"/>
    <w:rsid w:val="6BF02543"/>
    <w:rsid w:val="6CB64147"/>
    <w:rsid w:val="6CB80E38"/>
    <w:rsid w:val="71C22B21"/>
    <w:rsid w:val="729C4002"/>
    <w:rsid w:val="73271770"/>
    <w:rsid w:val="734C7658"/>
    <w:rsid w:val="744051D9"/>
    <w:rsid w:val="74962FC5"/>
    <w:rsid w:val="7562283E"/>
    <w:rsid w:val="76141AED"/>
    <w:rsid w:val="76B65054"/>
    <w:rsid w:val="771C49A5"/>
    <w:rsid w:val="79856CB1"/>
    <w:rsid w:val="7CEB3072"/>
    <w:rsid w:val="7D4B7D80"/>
    <w:rsid w:val="7D833F4A"/>
    <w:rsid w:val="FCFF66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semiHidden/>
    <w:qFormat/>
    <w:uiPriority w:val="0"/>
    <w:pPr>
      <w:shd w:val="clear" w:color="auto" w:fill="000080"/>
    </w:pPr>
    <w:rPr>
      <w:rFonts w:ascii="Times New Roman" w:hAnsi="Times New Roman"/>
      <w:szCs w:val="24"/>
    </w:rPr>
  </w:style>
  <w:style w:type="paragraph" w:styleId="16">
    <w:name w:val="annotation text"/>
    <w:basedOn w:val="1"/>
    <w:link w:val="67"/>
    <w:semiHidden/>
    <w:unhideWhenUsed/>
    <w:qFormat/>
    <w:uiPriority w:val="0"/>
    <w:pPr>
      <w:jc w:val="left"/>
    </w:pPr>
  </w:style>
  <w:style w:type="paragraph" w:styleId="17">
    <w:name w:val="Body Text 3"/>
    <w:basedOn w:val="1"/>
    <w:link w:val="72"/>
    <w:qFormat/>
    <w:uiPriority w:val="0"/>
    <w:pPr>
      <w:spacing w:after="120"/>
    </w:pPr>
    <w:rPr>
      <w:rFonts w:ascii="Times New Roman" w:hAnsi="Times New Roman"/>
      <w:sz w:val="16"/>
      <w:szCs w:val="16"/>
    </w:rPr>
  </w:style>
  <w:style w:type="paragraph" w:styleId="18">
    <w:name w:val="Body Text"/>
    <w:basedOn w:val="1"/>
    <w:link w:val="69"/>
    <w:unhideWhenUsed/>
    <w:qFormat/>
    <w:uiPriority w:val="0"/>
    <w:pPr>
      <w:spacing w:after="120"/>
    </w:pPr>
  </w:style>
  <w:style w:type="paragraph" w:styleId="19">
    <w:name w:val="Body Text Indent"/>
    <w:basedOn w:val="1"/>
    <w:link w:val="73"/>
    <w:qFormat/>
    <w:uiPriority w:val="0"/>
    <w:pPr>
      <w:spacing w:line="360" w:lineRule="auto"/>
      <w:ind w:firstLine="420" w:firstLineChars="200"/>
    </w:pPr>
    <w:rPr>
      <w:rFonts w:ascii="Times New Roman" w:hAnsi="Times New Roman"/>
      <w:szCs w:val="24"/>
    </w:rPr>
  </w:style>
  <w:style w:type="paragraph" w:styleId="20">
    <w:name w:val="toc 5"/>
    <w:basedOn w:val="1"/>
    <w:next w:val="1"/>
    <w:semiHidden/>
    <w:qFormat/>
    <w:uiPriority w:val="0"/>
    <w:pPr>
      <w:ind w:left="840"/>
      <w:jc w:val="left"/>
    </w:pPr>
    <w:rPr>
      <w:rFonts w:ascii="Times New Roman" w:hAnsi="Times New Roman"/>
    </w:rPr>
  </w:style>
  <w:style w:type="paragraph" w:styleId="21">
    <w:name w:val="toc 3"/>
    <w:basedOn w:val="1"/>
    <w:next w:val="1"/>
    <w:qFormat/>
    <w:uiPriority w:val="39"/>
    <w:pPr>
      <w:ind w:left="420"/>
      <w:jc w:val="left"/>
    </w:pPr>
    <w:rPr>
      <w:rFonts w:ascii="Times New Roman" w:hAnsi="Times New Roman"/>
      <w:i/>
      <w:iCs/>
      <w:szCs w:val="24"/>
    </w:rPr>
  </w:style>
  <w:style w:type="paragraph" w:styleId="22">
    <w:name w:val="Plain Text"/>
    <w:basedOn w:val="1"/>
    <w:link w:val="74"/>
    <w:qFormat/>
    <w:uiPriority w:val="0"/>
    <w:rPr>
      <w:rFonts w:ascii="宋体" w:hAnsi="Courier New"/>
      <w:szCs w:val="20"/>
    </w:rPr>
  </w:style>
  <w:style w:type="paragraph" w:styleId="23">
    <w:name w:val="toc 8"/>
    <w:basedOn w:val="1"/>
    <w:next w:val="1"/>
    <w:semiHidden/>
    <w:qFormat/>
    <w:uiPriority w:val="0"/>
    <w:pPr>
      <w:ind w:left="1470"/>
      <w:jc w:val="left"/>
    </w:pPr>
    <w:rPr>
      <w:rFonts w:ascii="Times New Roman" w:hAnsi="Times New Roman"/>
    </w:rPr>
  </w:style>
  <w:style w:type="paragraph" w:styleId="24">
    <w:name w:val="Date"/>
    <w:basedOn w:val="1"/>
    <w:next w:val="1"/>
    <w:link w:val="75"/>
    <w:qFormat/>
    <w:uiPriority w:val="0"/>
    <w:rPr>
      <w:rFonts w:ascii="宋体" w:hAnsi="Courier New"/>
      <w:sz w:val="32"/>
      <w:szCs w:val="20"/>
    </w:rPr>
  </w:style>
  <w:style w:type="paragraph" w:styleId="25">
    <w:name w:val="Body Text Indent 2"/>
    <w:basedOn w:val="1"/>
    <w:link w:val="76"/>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semiHidden/>
    <w:qFormat/>
    <w:uiPriority w:val="0"/>
    <w:rPr>
      <w:rFonts w:ascii="Times New Roman" w:hAnsi="Times New Roman"/>
      <w:sz w:val="18"/>
      <w:szCs w:val="18"/>
    </w:rPr>
  </w:style>
  <w:style w:type="paragraph" w:styleId="27">
    <w:name w:val="footer"/>
    <w:basedOn w:val="1"/>
    <w:link w:val="58"/>
    <w:unhideWhenUsed/>
    <w:qFormat/>
    <w:uiPriority w:val="0"/>
    <w:pPr>
      <w:tabs>
        <w:tab w:val="center" w:pos="4153"/>
        <w:tab w:val="right" w:pos="8306"/>
      </w:tabs>
      <w:snapToGrid w:val="0"/>
      <w:jc w:val="left"/>
    </w:pPr>
    <w:rPr>
      <w:sz w:val="18"/>
      <w:szCs w:val="18"/>
    </w:rPr>
  </w:style>
  <w:style w:type="paragraph" w:styleId="28">
    <w:name w:val="header"/>
    <w:basedOn w:val="1"/>
    <w:link w:val="57"/>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rPr>
  </w:style>
  <w:style w:type="paragraph" w:styleId="31">
    <w:name w:val="Subtitle"/>
    <w:basedOn w:val="1"/>
    <w:next w:val="1"/>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semiHidden/>
    <w:qFormat/>
    <w:uiPriority w:val="0"/>
    <w:pPr>
      <w:ind w:left="1050"/>
      <w:jc w:val="left"/>
    </w:pPr>
    <w:rPr>
      <w:rFonts w:ascii="Times New Roman" w:hAnsi="Times New Roman"/>
    </w:rPr>
  </w:style>
  <w:style w:type="paragraph" w:styleId="33">
    <w:name w:val="Body Text Indent 3"/>
    <w:basedOn w:val="1"/>
    <w:link w:val="78"/>
    <w:qFormat/>
    <w:uiPriority w:val="0"/>
    <w:pPr>
      <w:spacing w:line="360" w:lineRule="auto"/>
      <w:ind w:firstLine="482" w:firstLineChars="200"/>
    </w:pPr>
    <w:rPr>
      <w:rFonts w:ascii="宋体" w:hAnsi="Times New Roman"/>
      <w:b/>
      <w:bCs/>
      <w:sz w:val="24"/>
      <w:szCs w:val="24"/>
    </w:rPr>
  </w:style>
  <w:style w:type="paragraph" w:styleId="34">
    <w:name w:val="toc 2"/>
    <w:basedOn w:val="1"/>
    <w:next w:val="1"/>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semiHidden/>
    <w:qFormat/>
    <w:uiPriority w:val="0"/>
    <w:pPr>
      <w:ind w:left="1680"/>
      <w:jc w:val="left"/>
    </w:pPr>
    <w:rPr>
      <w:rFonts w:ascii="Times New Roman" w:hAnsi="Times New Roman"/>
    </w:rPr>
  </w:style>
  <w:style w:type="paragraph" w:styleId="36">
    <w:name w:val="Body Text 2"/>
    <w:basedOn w:val="1"/>
    <w:link w:val="79"/>
    <w:qFormat/>
    <w:uiPriority w:val="0"/>
    <w:pPr>
      <w:spacing w:line="360" w:lineRule="auto"/>
    </w:pPr>
    <w:rPr>
      <w:rFonts w:ascii="Times New Roman" w:hAnsi="Times New Roman"/>
      <w:sz w:val="24"/>
      <w:szCs w:val="24"/>
    </w:rPr>
  </w:style>
  <w:style w:type="paragraph" w:styleId="3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0"/>
    <w:rPr>
      <w:rFonts w:ascii="Times New Roman" w:hAnsi="Times New Roman"/>
      <w:sz w:val="24"/>
      <w:szCs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qFormat/>
    <w:uiPriority w:val="0"/>
    <w:pPr>
      <w:autoSpaceDE w:val="0"/>
      <w:autoSpaceDN w:val="0"/>
    </w:pPr>
    <w:rPr>
      <w:rFonts w:ascii="宋体" w:hAnsi="Times New Roman"/>
      <w:kern w:val="0"/>
      <w:sz w:val="34"/>
      <w:szCs w:val="20"/>
    </w:rPr>
  </w:style>
  <w:style w:type="paragraph" w:styleId="42">
    <w:name w:val="Body Text First Indent"/>
    <w:basedOn w:val="18"/>
    <w:link w:val="70"/>
    <w:qFormat/>
    <w:uiPriority w:val="0"/>
    <w:pPr>
      <w:ind w:firstLine="420" w:firstLineChars="100"/>
    </w:pPr>
    <w:rPr>
      <w:rFonts w:ascii="Times New Roman" w:hAnsi="Times New Roman"/>
      <w:b/>
      <w:bCs/>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2 字符"/>
    <w:basedOn w:val="45"/>
    <w:link w:val="4"/>
    <w:qFormat/>
    <w:uiPriority w:val="0"/>
    <w:rPr>
      <w:rFonts w:ascii="Cambria" w:hAnsi="Cambria" w:eastAsia="宋体" w:cs="Times New Roman"/>
      <w:b/>
      <w:bCs/>
      <w:sz w:val="32"/>
      <w:szCs w:val="32"/>
    </w:rPr>
  </w:style>
  <w:style w:type="character" w:customStyle="1" w:styleId="52">
    <w:name w:val="15"/>
    <w:basedOn w:val="45"/>
    <w:qFormat/>
    <w:uiPriority w:val="0"/>
    <w:rPr>
      <w:rFonts w:hint="default" w:ascii="Calibri" w:hAnsi="Calibri" w:cs="Calibri"/>
      <w:sz w:val="22"/>
      <w:szCs w:val="22"/>
    </w:rPr>
  </w:style>
  <w:style w:type="paragraph" w:customStyle="1" w:styleId="53">
    <w:name w:val="缩排正文"/>
    <w:basedOn w:val="1"/>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qFormat/>
    <w:uiPriority w:val="0"/>
    <w:pPr>
      <w:spacing w:afterLines="50"/>
      <w:ind w:left="600" w:leftChars="600"/>
    </w:pPr>
    <w:rPr>
      <w:rFonts w:ascii="Times New Roman" w:hAnsi="Times New Roman"/>
      <w:szCs w:val="24"/>
    </w:rPr>
  </w:style>
  <w:style w:type="paragraph" w:customStyle="1" w:styleId="91">
    <w:name w:val="Char Char Char Char Char"/>
    <w:basedOn w:val="1"/>
    <w:qFormat/>
    <w:uiPriority w:val="0"/>
    <w:rPr>
      <w:rFonts w:ascii="Tahoma" w:hAnsi="Tahoma"/>
      <w:sz w:val="24"/>
      <w:szCs w:val="20"/>
    </w:rPr>
  </w:style>
  <w:style w:type="paragraph" w:customStyle="1" w:styleId="9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qFormat/>
    <w:uiPriority w:val="0"/>
    <w:rPr>
      <w:rFonts w:ascii="Tahoma" w:hAnsi="Tahoma"/>
      <w:sz w:val="24"/>
      <w:szCs w:val="20"/>
    </w:rPr>
  </w:style>
  <w:style w:type="paragraph" w:customStyle="1" w:styleId="9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qFormat/>
    <w:uiPriority w:val="0"/>
    <w:pPr>
      <w:ind w:firstLine="420" w:firstLineChars="200"/>
    </w:pPr>
    <w:rPr>
      <w:szCs w:val="22"/>
    </w:rPr>
  </w:style>
  <w:style w:type="paragraph" w:customStyle="1" w:styleId="97">
    <w:name w:val="USE 1"/>
    <w:basedOn w:val="1"/>
    <w:qFormat/>
    <w:uiPriority w:val="0"/>
    <w:pPr>
      <w:spacing w:line="200" w:lineRule="atLeast"/>
      <w:jc w:val="left"/>
    </w:pPr>
    <w:rPr>
      <w:rFonts w:ascii="宋体" w:hAnsi="宋体"/>
      <w:b/>
      <w:sz w:val="24"/>
      <w:szCs w:val="28"/>
    </w:rPr>
  </w:style>
  <w:style w:type="paragraph" w:customStyle="1" w:styleId="98">
    <w:name w:val="RFI text from 3rd Level"/>
    <w:basedOn w:val="1"/>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qFormat/>
    <w:uiPriority w:val="0"/>
    <w:pPr>
      <w:spacing w:line="360" w:lineRule="auto"/>
      <w:ind w:firstLine="200" w:firstLineChars="200"/>
    </w:pPr>
    <w:rPr>
      <w:rFonts w:ascii="Times New Roman" w:hAnsi="Times New Roman"/>
      <w:szCs w:val="20"/>
    </w:rPr>
  </w:style>
  <w:style w:type="paragraph" w:customStyle="1" w:styleId="106">
    <w:name w:val="设计依据"/>
    <w:basedOn w:val="18"/>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qFormat/>
    <w:uiPriority w:val="0"/>
    <w:pPr>
      <w:spacing w:line="240" w:lineRule="auto"/>
      <w:ind w:firstLine="0" w:firstLineChars="0"/>
    </w:pPr>
    <w:rPr>
      <w:sz w:val="20"/>
    </w:rPr>
  </w:style>
  <w:style w:type="paragraph" w:customStyle="1" w:styleId="111">
    <w:name w:val="--规划-表格-居中"/>
    <w:basedOn w:val="105"/>
    <w:qFormat/>
    <w:uiPriority w:val="0"/>
    <w:pPr>
      <w:spacing w:line="240" w:lineRule="auto"/>
      <w:ind w:firstLine="0" w:firstLineChars="0"/>
      <w:jc w:val="center"/>
    </w:pPr>
    <w:rPr>
      <w:sz w:val="20"/>
    </w:rPr>
  </w:style>
  <w:style w:type="paragraph" w:customStyle="1" w:styleId="112">
    <w:name w:val="--编号内缩进"/>
    <w:basedOn w:val="1"/>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qFormat/>
    <w:uiPriority w:val="0"/>
    <w:pPr>
      <w:spacing w:line="360" w:lineRule="auto"/>
      <w:jc w:val="center"/>
    </w:pPr>
    <w:rPr>
      <w:rFonts w:ascii="Times New Roman" w:hAnsi="Times New Roman" w:eastAsia="黑体"/>
      <w:szCs w:val="24"/>
    </w:rPr>
  </w:style>
  <w:style w:type="paragraph" w:customStyle="1" w:styleId="114">
    <w:name w:val="--规划-图和表"/>
    <w:next w:val="105"/>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qFormat/>
    <w:uiPriority w:val="0"/>
    <w:pPr>
      <w:spacing w:line="270" w:lineRule="atLeast"/>
      <w:jc w:val="both"/>
    </w:pPr>
    <w:rPr>
      <w:b w:val="0"/>
      <w:bCs w:val="0"/>
    </w:rPr>
  </w:style>
  <w:style w:type="paragraph" w:customStyle="1" w:styleId="13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qFormat/>
    <w:uiPriority w:val="0"/>
    <w:pPr>
      <w:spacing w:line="240" w:lineRule="atLeast"/>
      <w:ind w:firstLine="567"/>
    </w:pPr>
    <w:rPr>
      <w:rFonts w:ascii="Times New Roman" w:hAnsi="Times New Roman"/>
      <w:szCs w:val="20"/>
    </w:rPr>
  </w:style>
  <w:style w:type="paragraph" w:customStyle="1" w:styleId="135">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qFormat/>
    <w:uiPriority w:val="0"/>
    <w:pPr>
      <w:spacing w:line="200" w:lineRule="atLeast"/>
    </w:pPr>
    <w:rPr>
      <w:rFonts w:ascii="Arial" w:hAnsi="Arial" w:eastAsia="宋体" w:cs="Times New Roman"/>
      <w:color w:val="auto"/>
    </w:rPr>
  </w:style>
  <w:style w:type="paragraph" w:customStyle="1" w:styleId="137">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qFormat/>
    <w:uiPriority w:val="0"/>
    <w:pPr>
      <w:ind w:firstLine="560" w:firstLineChars="200"/>
    </w:pPr>
    <w:rPr>
      <w:sz w:val="28"/>
    </w:rPr>
  </w:style>
  <w:style w:type="paragraph" w:customStyle="1" w:styleId="146">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qFormat/>
    <w:uiPriority w:val="0"/>
    <w:pPr>
      <w:adjustRightInd w:val="0"/>
      <w:jc w:val="center"/>
    </w:pPr>
    <w:rPr>
      <w:rFonts w:ascii="宋体" w:hAnsi="Times New Roman"/>
      <w:sz w:val="24"/>
      <w:szCs w:val="20"/>
    </w:rPr>
  </w:style>
  <w:style w:type="paragraph" w:customStyle="1" w:styleId="15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qFormat/>
    <w:uiPriority w:val="0"/>
    <w:pPr>
      <w:ind w:firstLine="560" w:firstLineChars="200"/>
    </w:pPr>
    <w:rPr>
      <w:rFonts w:ascii="Times New Roman" w:hAnsi="Times New Roman" w:eastAsia="仿宋_GB2312" w:cs="宋体"/>
      <w:sz w:val="28"/>
      <w:szCs w:val="20"/>
    </w:rPr>
  </w:style>
  <w:style w:type="paragraph" w:customStyle="1" w:styleId="162">
    <w:name w:val="ＲＡ!!WZ!!"/>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qFormat/>
    <w:uiPriority w:val="0"/>
  </w:style>
  <w:style w:type="character" w:customStyle="1" w:styleId="178">
    <w:name w:val="font2"/>
    <w:basedOn w:val="45"/>
    <w:qFormat/>
    <w:uiPriority w:val="0"/>
  </w:style>
  <w:style w:type="character" w:customStyle="1" w:styleId="179">
    <w:name w:val="font41"/>
    <w:qFormat/>
    <w:uiPriority w:val="0"/>
    <w:rPr>
      <w:color w:val="000000"/>
      <w:spacing w:val="260"/>
      <w:sz w:val="18"/>
      <w:szCs w:val="18"/>
      <w:u w:val="none"/>
    </w:rPr>
  </w:style>
  <w:style w:type="character" w:customStyle="1" w:styleId="180">
    <w:name w:val="mode"/>
    <w:basedOn w:val="45"/>
    <w:qFormat/>
    <w:uiPriority w:val="0"/>
  </w:style>
  <w:style w:type="character" w:customStyle="1" w:styleId="181">
    <w:name w:val="unnamed3"/>
    <w:basedOn w:val="45"/>
    <w:qFormat/>
    <w:uiPriority w:val="0"/>
  </w:style>
  <w:style w:type="character" w:customStyle="1" w:styleId="182">
    <w:name w:val="blue"/>
    <w:basedOn w:val="45"/>
    <w:qFormat/>
    <w:uiPriority w:val="0"/>
  </w:style>
  <w:style w:type="character" w:customStyle="1" w:styleId="183">
    <w:name w:val="font"/>
    <w:basedOn w:val="45"/>
    <w:qFormat/>
    <w:uiPriority w:val="0"/>
  </w:style>
  <w:style w:type="character" w:customStyle="1" w:styleId="184">
    <w:name w:val="font11"/>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qFormat/>
    <w:uiPriority w:val="0"/>
  </w:style>
  <w:style w:type="character" w:customStyle="1" w:styleId="187">
    <w:name w:val="text"/>
    <w:basedOn w:val="45"/>
    <w:qFormat/>
    <w:uiPriority w:val="0"/>
  </w:style>
  <w:style w:type="character" w:customStyle="1" w:styleId="188">
    <w:name w:val="gray6"/>
    <w:basedOn w:val="45"/>
    <w:qFormat/>
    <w:uiPriority w:val="0"/>
  </w:style>
  <w:style w:type="character" w:customStyle="1" w:styleId="189">
    <w:name w:val="style9"/>
    <w:basedOn w:val="45"/>
    <w:qFormat/>
    <w:uiPriority w:val="0"/>
  </w:style>
  <w:style w:type="character" w:customStyle="1" w:styleId="190">
    <w:name w:val="grame"/>
    <w:basedOn w:val="45"/>
    <w:qFormat/>
    <w:uiPriority w:val="0"/>
  </w:style>
  <w:style w:type="character" w:customStyle="1" w:styleId="191">
    <w:name w:val="样式 小三 加粗"/>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qFormat/>
    <w:uiPriority w:val="0"/>
    <w:rPr>
      <w:rFonts w:ascii="Times New Roman" w:hAnsi="Times New Roman" w:eastAsia="仿宋_GB2312" w:cs="宋体"/>
      <w:sz w:val="28"/>
      <w:szCs w:val="20"/>
    </w:rPr>
  </w:style>
  <w:style w:type="character" w:customStyle="1" w:styleId="194">
    <w:name w:val="正文 坪山 Char"/>
    <w:link w:val="163"/>
    <w:qFormat/>
    <w:uiPriority w:val="0"/>
    <w:rPr>
      <w:rFonts w:ascii="宋体" w:hAnsi="宋体" w:eastAsia="宋体" w:cs="Times New Roman"/>
      <w:kern w:val="10"/>
      <w:sz w:val="24"/>
      <w:szCs w:val="28"/>
    </w:rPr>
  </w:style>
  <w:style w:type="paragraph" w:customStyle="1" w:styleId="195">
    <w:name w:val="纯文本1"/>
    <w:basedOn w:val="1"/>
    <w:qFormat/>
    <w:uiPriority w:val="0"/>
    <w:pPr>
      <w:autoSpaceDE w:val="0"/>
      <w:autoSpaceDN w:val="0"/>
      <w:adjustRightInd w:val="0"/>
      <w:textAlignment w:val="baseline"/>
    </w:pPr>
    <w:rPr>
      <w:rFonts w:ascii="宋体"/>
    </w:rPr>
  </w:style>
  <w:style w:type="character" w:customStyle="1" w:styleId="196">
    <w:name w:val="hover39"/>
    <w:basedOn w:val="45"/>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qFormat/>
    <w:uiPriority w:val="0"/>
  </w:style>
  <w:style w:type="character" w:customStyle="1" w:styleId="199">
    <w:name w:val="bds_more2"/>
    <w:basedOn w:val="45"/>
    <w:qFormat/>
    <w:uiPriority w:val="0"/>
  </w:style>
  <w:style w:type="character" w:customStyle="1" w:styleId="200">
    <w:name w:val="bds_nopic"/>
    <w:basedOn w:val="45"/>
    <w:qFormat/>
    <w:uiPriority w:val="0"/>
  </w:style>
  <w:style w:type="character" w:customStyle="1" w:styleId="201">
    <w:name w:val="bds_nopic1"/>
    <w:basedOn w:val="45"/>
    <w:qFormat/>
    <w:uiPriority w:val="0"/>
  </w:style>
  <w:style w:type="character" w:customStyle="1" w:styleId="202">
    <w:name w:val="bds_nopic2"/>
    <w:basedOn w:val="45"/>
    <w:qFormat/>
    <w:uiPriority w:val="0"/>
  </w:style>
  <w:style w:type="character" w:customStyle="1" w:styleId="203">
    <w:name w:val="列表段落 字符"/>
    <w:link w:val="56"/>
    <w:qFormat/>
    <w:uiPriority w:val="34"/>
    <w:rPr>
      <w:rFonts w:ascii="Calibri" w:hAnsi="Calibri"/>
      <w:kern w:val="2"/>
      <w:sz w:val="21"/>
      <w:szCs w:val="21"/>
    </w:rPr>
  </w:style>
  <w:style w:type="paragraph" w:customStyle="1" w:styleId="204">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BDE37-6008-452D-A185-B4C8ECEDF010}">
  <ds:schemaRefs/>
</ds:datastoreItem>
</file>

<file path=docProps/app.xml><?xml version="1.0" encoding="utf-8"?>
<Properties xmlns="http://schemas.openxmlformats.org/officeDocument/2006/extended-properties" xmlns:vt="http://schemas.openxmlformats.org/officeDocument/2006/docPropsVTypes">
  <Template>Normal</Template>
  <Company>深圳市住房和建设局</Company>
  <Pages>9</Pages>
  <Words>637</Words>
  <Characters>3637</Characters>
  <Lines>30</Lines>
  <Paragraphs>8</Paragraphs>
  <TotalTime>81</TotalTime>
  <ScaleCrop>false</ScaleCrop>
  <LinksUpToDate>false</LinksUpToDate>
  <CharactersWithSpaces>4266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2023-04-27T03:12:00Z</dcterms:created>
  <dc:creator>李刚</dc:creator>
  <cp:lastModifiedBy>C</cp:lastModifiedBy>
  <cp:lastPrinted>2021-11-11T20:34:00Z</cp:lastPrinted>
  <dcterms:modified xsi:type="dcterms:W3CDTF">2023-05-11T08:01:00Z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81C70B325C0E48748F8D0472BEF0DB9A</vt:lpwstr>
  </property>
</Properties>
</file>