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pPr>
      <w:r>
        <w:rPr>
          <w:rFonts w:hint="eastAsia"/>
        </w:rPr>
        <w:tab/>
      </w:r>
    </w:p>
    <w:p>
      <w:pPr>
        <w:pStyle w:val="2"/>
      </w:pPr>
    </w:p>
    <w:p>
      <w:pPr>
        <w:spacing w:line="560" w:lineRule="exact"/>
        <w:jc w:val="center"/>
        <w:rPr>
          <w:rFonts w:ascii="宋体" w:hAnsi="宋体"/>
          <w:b/>
          <w:sz w:val="52"/>
          <w:szCs w:val="52"/>
        </w:rPr>
      </w:pPr>
    </w:p>
    <w:p>
      <w:pPr>
        <w:spacing w:line="560" w:lineRule="exact"/>
        <w:jc w:val="center"/>
        <w:rPr>
          <w:rFonts w:hint="eastAsia" w:ascii="宋体" w:hAnsi="宋体" w:eastAsia="宋体"/>
          <w:b/>
          <w:sz w:val="52"/>
          <w:szCs w:val="52"/>
          <w:lang w:val="en-US" w:eastAsia="zh-CN"/>
        </w:rPr>
      </w:pPr>
      <w:bookmarkStart w:id="0" w:name="_Toc18624"/>
      <w:bookmarkStart w:id="1" w:name="_Toc12862"/>
      <w:r>
        <w:rPr>
          <w:rFonts w:hint="eastAsia" w:ascii="宋体" w:hAnsi="宋体"/>
          <w:b/>
          <w:sz w:val="52"/>
          <w:szCs w:val="52"/>
        </w:rPr>
        <w:t>2023年战略性新兴产业专项资金项目</w:t>
      </w:r>
      <w:bookmarkEnd w:id="0"/>
      <w:bookmarkEnd w:id="1"/>
      <w:r>
        <w:rPr>
          <w:rFonts w:hint="eastAsia" w:ascii="宋体" w:hAnsi="宋体"/>
          <w:b/>
          <w:sz w:val="52"/>
          <w:szCs w:val="52"/>
        </w:rPr>
        <w:t>申报指南（</w:t>
      </w:r>
      <w:r>
        <w:rPr>
          <w:rFonts w:hint="eastAsia" w:ascii="宋体" w:hAnsi="宋体"/>
          <w:b/>
          <w:sz w:val="52"/>
          <w:szCs w:val="52"/>
          <w:lang w:val="en-US" w:eastAsia="zh-CN"/>
        </w:rPr>
        <w:t>第一批</w:t>
      </w:r>
      <w:r>
        <w:rPr>
          <w:rFonts w:hint="eastAsia" w:ascii="宋体" w:hAnsi="宋体"/>
          <w:b/>
          <w:sz w:val="52"/>
          <w:szCs w:val="52"/>
        </w:rPr>
        <w:t>）储能</w:t>
      </w:r>
      <w:bookmarkStart w:id="329" w:name="_GoBack"/>
      <w:bookmarkEnd w:id="329"/>
      <w:r>
        <w:rPr>
          <w:rFonts w:hint="eastAsia" w:ascii="宋体" w:hAnsi="宋体"/>
          <w:b/>
          <w:sz w:val="52"/>
          <w:szCs w:val="52"/>
          <w:lang w:val="en-US" w:eastAsia="zh-CN"/>
        </w:rPr>
        <w:t>领域</w:t>
      </w:r>
    </w:p>
    <w:p>
      <w:pPr>
        <w:spacing w:line="560" w:lineRule="exact"/>
        <w:jc w:val="center"/>
        <w:rPr>
          <w:rFonts w:ascii="宋体" w:hAnsi="宋体"/>
          <w:b/>
          <w:sz w:val="52"/>
          <w:szCs w:val="52"/>
        </w:rPr>
        <w:sectPr>
          <w:footerReference r:id="rId5" w:type="first"/>
          <w:headerReference r:id="rId3" w:type="default"/>
          <w:footerReference r:id="rId4" w:type="default"/>
          <w:pgSz w:w="11906" w:h="16838"/>
          <w:pgMar w:top="2098" w:right="1474" w:bottom="1984" w:left="1587" w:header="851" w:footer="992" w:gutter="0"/>
          <w:pgNumType w:start="1"/>
          <w:cols w:space="720" w:num="1"/>
          <w:titlePg/>
          <w:docGrid w:type="linesAndChars" w:linePitch="312" w:charSpace="0"/>
        </w:sectPr>
      </w:pPr>
    </w:p>
    <w:sdt>
      <w:sdtPr>
        <w:rPr>
          <w:rFonts w:ascii="宋体" w:hAnsi="宋体"/>
          <w:sz w:val="44"/>
          <w:szCs w:val="44"/>
        </w:rPr>
        <w:id w:val="147481303"/>
        <w15:color w:val="DBDBDB"/>
        <w:docPartObj>
          <w:docPartGallery w:val="Table of Contents"/>
          <w:docPartUnique/>
        </w:docPartObj>
      </w:sdtPr>
      <w:sdtEndPr>
        <w:rPr>
          <w:rFonts w:ascii="宋体" w:hAnsi="宋体"/>
          <w:sz w:val="44"/>
          <w:szCs w:val="44"/>
        </w:rPr>
      </w:sdtEndPr>
      <w:sdtContent>
        <w:p>
          <w:pPr>
            <w:jc w:val="center"/>
            <w:rPr>
              <w:sz w:val="44"/>
              <w:szCs w:val="44"/>
            </w:rPr>
          </w:pPr>
          <w:r>
            <w:rPr>
              <w:rFonts w:ascii="宋体" w:hAnsi="宋体"/>
              <w:sz w:val="44"/>
              <w:szCs w:val="44"/>
            </w:rPr>
            <w:t>目录</w:t>
          </w:r>
        </w:p>
        <w:p>
          <w:pPr>
            <w:pStyle w:val="9"/>
            <w:tabs>
              <w:tab w:val="right" w:leader="dot" w:pos="8296"/>
            </w:tabs>
            <w:snapToGrid w:val="0"/>
            <w:spacing w:line="560" w:lineRule="exact"/>
            <w:rPr>
              <w:rFonts w:ascii="黑体" w:hAnsi="黑体" w:eastAsia="黑体" w:cs="黑体"/>
              <w:bCs/>
              <w:kern w:val="0"/>
              <w:sz w:val="32"/>
              <w:szCs w:val="32"/>
            </w:rPr>
          </w:pPr>
          <w:r>
            <w:rPr>
              <w:sz w:val="32"/>
              <w:szCs w:val="32"/>
            </w:rPr>
            <w:fldChar w:fldCharType="begin"/>
          </w:r>
          <w:r>
            <w:rPr>
              <w:sz w:val="32"/>
              <w:szCs w:val="32"/>
            </w:rPr>
            <w:instrText xml:space="preserve">TOC \o "1-3" \h \u </w:instrText>
          </w:r>
          <w:r>
            <w:rPr>
              <w:sz w:val="32"/>
              <w:szCs w:val="32"/>
            </w:rPr>
            <w:fldChar w:fldCharType="separate"/>
          </w:r>
          <w:r>
            <w:fldChar w:fldCharType="begin"/>
          </w:r>
          <w:r>
            <w:instrText xml:space="preserve"> HYPERLINK \l "_Toc134287856" </w:instrText>
          </w:r>
          <w:r>
            <w:fldChar w:fldCharType="separate"/>
          </w:r>
          <w:r>
            <w:rPr>
              <w:rFonts w:ascii="黑体" w:hAnsi="黑体" w:eastAsia="黑体"/>
              <w:bCs/>
              <w:sz w:val="32"/>
              <w:szCs w:val="32"/>
            </w:rPr>
            <w:t>一、政策依据</w:t>
          </w:r>
          <w:r>
            <w:rPr>
              <w:rFonts w:ascii="黑体" w:hAnsi="黑体" w:eastAsia="黑体" w:cs="黑体"/>
              <w:bCs/>
              <w:kern w:val="0"/>
              <w:sz w:val="32"/>
              <w:szCs w:val="32"/>
            </w:rPr>
            <w:tab/>
          </w:r>
          <w:r>
            <w:rPr>
              <w:rFonts w:ascii="黑体" w:hAnsi="黑体" w:eastAsia="黑体" w:cs="黑体"/>
              <w:bCs/>
              <w:kern w:val="0"/>
              <w:sz w:val="32"/>
              <w:szCs w:val="32"/>
            </w:rPr>
            <w:fldChar w:fldCharType="begin"/>
          </w:r>
          <w:r>
            <w:rPr>
              <w:rFonts w:ascii="黑体" w:hAnsi="黑体" w:eastAsia="黑体" w:cs="黑体"/>
              <w:bCs/>
              <w:kern w:val="0"/>
              <w:sz w:val="32"/>
              <w:szCs w:val="32"/>
            </w:rPr>
            <w:instrText xml:space="preserve"> PAGEREF _Toc134287856 \h </w:instrText>
          </w:r>
          <w:r>
            <w:rPr>
              <w:rFonts w:ascii="黑体" w:hAnsi="黑体" w:eastAsia="黑体" w:cs="黑体"/>
              <w:bCs/>
              <w:kern w:val="0"/>
              <w:sz w:val="32"/>
              <w:szCs w:val="32"/>
            </w:rPr>
            <w:fldChar w:fldCharType="separate"/>
          </w:r>
          <w:r>
            <w:rPr>
              <w:rFonts w:ascii="黑体" w:hAnsi="黑体" w:eastAsia="黑体" w:cs="黑体"/>
              <w:bCs/>
              <w:kern w:val="0"/>
              <w:sz w:val="32"/>
              <w:szCs w:val="32"/>
            </w:rPr>
            <w:t>1</w:t>
          </w:r>
          <w:r>
            <w:rPr>
              <w:rFonts w:ascii="黑体" w:hAnsi="黑体" w:eastAsia="黑体" w:cs="黑体"/>
              <w:bCs/>
              <w:kern w:val="0"/>
              <w:sz w:val="32"/>
              <w:szCs w:val="32"/>
            </w:rPr>
            <w:fldChar w:fldCharType="end"/>
          </w:r>
          <w:r>
            <w:rPr>
              <w:rFonts w:ascii="黑体" w:hAnsi="黑体" w:eastAsia="黑体" w:cs="黑体"/>
              <w:bCs/>
              <w:kern w:val="0"/>
              <w:sz w:val="32"/>
              <w:szCs w:val="32"/>
            </w:rPr>
            <w:fldChar w:fldCharType="end"/>
          </w:r>
        </w:p>
        <w:p>
          <w:pPr>
            <w:pStyle w:val="9"/>
            <w:tabs>
              <w:tab w:val="right" w:leader="dot" w:pos="8296"/>
            </w:tabs>
            <w:snapToGrid w:val="0"/>
            <w:spacing w:line="560" w:lineRule="exact"/>
            <w:rPr>
              <w:rFonts w:ascii="黑体" w:hAnsi="黑体" w:eastAsia="黑体" w:cs="黑体"/>
              <w:bCs/>
              <w:kern w:val="0"/>
              <w:sz w:val="32"/>
              <w:szCs w:val="32"/>
            </w:rPr>
          </w:pPr>
          <w:r>
            <w:fldChar w:fldCharType="begin"/>
          </w:r>
          <w:r>
            <w:instrText xml:space="preserve"> HYPERLINK \l "_Toc134287857" </w:instrText>
          </w:r>
          <w:r>
            <w:fldChar w:fldCharType="separate"/>
          </w:r>
          <w:r>
            <w:rPr>
              <w:rFonts w:ascii="黑体" w:hAnsi="黑体" w:eastAsia="黑体"/>
              <w:bCs/>
              <w:sz w:val="32"/>
              <w:szCs w:val="32"/>
            </w:rPr>
            <w:t>二、基本条件</w:t>
          </w:r>
          <w:r>
            <w:rPr>
              <w:rFonts w:ascii="黑体" w:hAnsi="黑体" w:eastAsia="黑体" w:cs="黑体"/>
              <w:bCs/>
              <w:kern w:val="0"/>
              <w:sz w:val="32"/>
              <w:szCs w:val="32"/>
            </w:rPr>
            <w:tab/>
          </w:r>
          <w:r>
            <w:rPr>
              <w:rFonts w:ascii="黑体" w:hAnsi="黑体" w:eastAsia="黑体" w:cs="黑体"/>
              <w:bCs/>
              <w:kern w:val="0"/>
              <w:sz w:val="32"/>
              <w:szCs w:val="32"/>
            </w:rPr>
            <w:fldChar w:fldCharType="begin"/>
          </w:r>
          <w:r>
            <w:rPr>
              <w:rFonts w:ascii="黑体" w:hAnsi="黑体" w:eastAsia="黑体" w:cs="黑体"/>
              <w:bCs/>
              <w:kern w:val="0"/>
              <w:sz w:val="32"/>
              <w:szCs w:val="32"/>
            </w:rPr>
            <w:instrText xml:space="preserve"> PAGEREF _Toc134287857 \h </w:instrText>
          </w:r>
          <w:r>
            <w:rPr>
              <w:rFonts w:ascii="黑体" w:hAnsi="黑体" w:eastAsia="黑体" w:cs="黑体"/>
              <w:bCs/>
              <w:kern w:val="0"/>
              <w:sz w:val="32"/>
              <w:szCs w:val="32"/>
            </w:rPr>
            <w:fldChar w:fldCharType="separate"/>
          </w:r>
          <w:r>
            <w:rPr>
              <w:rFonts w:ascii="黑体" w:hAnsi="黑体" w:eastAsia="黑体" w:cs="黑体"/>
              <w:bCs/>
              <w:kern w:val="0"/>
              <w:sz w:val="32"/>
              <w:szCs w:val="32"/>
            </w:rPr>
            <w:t>1</w:t>
          </w:r>
          <w:r>
            <w:rPr>
              <w:rFonts w:ascii="黑体" w:hAnsi="黑体" w:eastAsia="黑体" w:cs="黑体"/>
              <w:bCs/>
              <w:kern w:val="0"/>
              <w:sz w:val="32"/>
              <w:szCs w:val="32"/>
            </w:rPr>
            <w:fldChar w:fldCharType="end"/>
          </w:r>
          <w:r>
            <w:rPr>
              <w:rFonts w:ascii="黑体" w:hAnsi="黑体" w:eastAsia="黑体" w:cs="黑体"/>
              <w:bCs/>
              <w:kern w:val="0"/>
              <w:sz w:val="32"/>
              <w:szCs w:val="32"/>
            </w:rPr>
            <w:fldChar w:fldCharType="end"/>
          </w:r>
        </w:p>
        <w:p>
          <w:pPr>
            <w:pStyle w:val="9"/>
            <w:tabs>
              <w:tab w:val="right" w:leader="dot" w:pos="8296"/>
            </w:tabs>
            <w:snapToGrid w:val="0"/>
            <w:spacing w:line="560" w:lineRule="exact"/>
            <w:rPr>
              <w:rFonts w:ascii="黑体" w:hAnsi="黑体" w:eastAsia="黑体" w:cs="黑体"/>
              <w:bCs/>
              <w:kern w:val="0"/>
              <w:sz w:val="32"/>
              <w:szCs w:val="32"/>
            </w:rPr>
          </w:pPr>
          <w:r>
            <w:fldChar w:fldCharType="begin"/>
          </w:r>
          <w:r>
            <w:instrText xml:space="preserve"> HYPERLINK \l "_Toc134287858" </w:instrText>
          </w:r>
          <w:r>
            <w:fldChar w:fldCharType="separate"/>
          </w:r>
          <w:r>
            <w:rPr>
              <w:rFonts w:ascii="黑体" w:hAnsi="黑体" w:eastAsia="黑体"/>
              <w:bCs/>
              <w:sz w:val="32"/>
              <w:szCs w:val="32"/>
            </w:rPr>
            <w:t>三、扶持计划</w:t>
          </w:r>
          <w:r>
            <w:rPr>
              <w:rFonts w:ascii="黑体" w:hAnsi="黑体" w:eastAsia="黑体" w:cs="黑体"/>
              <w:bCs/>
              <w:kern w:val="0"/>
              <w:sz w:val="32"/>
              <w:szCs w:val="32"/>
            </w:rPr>
            <w:tab/>
          </w:r>
          <w:r>
            <w:rPr>
              <w:rFonts w:ascii="黑体" w:hAnsi="黑体" w:eastAsia="黑体" w:cs="黑体"/>
              <w:bCs/>
              <w:kern w:val="0"/>
              <w:sz w:val="32"/>
              <w:szCs w:val="32"/>
            </w:rPr>
            <w:fldChar w:fldCharType="begin"/>
          </w:r>
          <w:r>
            <w:rPr>
              <w:rFonts w:ascii="黑体" w:hAnsi="黑体" w:eastAsia="黑体" w:cs="黑体"/>
              <w:bCs/>
              <w:kern w:val="0"/>
              <w:sz w:val="32"/>
              <w:szCs w:val="32"/>
            </w:rPr>
            <w:instrText xml:space="preserve"> PAGEREF _Toc134287858 \h </w:instrText>
          </w:r>
          <w:r>
            <w:rPr>
              <w:rFonts w:ascii="黑体" w:hAnsi="黑体" w:eastAsia="黑体" w:cs="黑体"/>
              <w:bCs/>
              <w:kern w:val="0"/>
              <w:sz w:val="32"/>
              <w:szCs w:val="32"/>
            </w:rPr>
            <w:fldChar w:fldCharType="separate"/>
          </w:r>
          <w:r>
            <w:rPr>
              <w:rFonts w:ascii="黑体" w:hAnsi="黑体" w:eastAsia="黑体" w:cs="黑体"/>
              <w:bCs/>
              <w:kern w:val="0"/>
              <w:sz w:val="32"/>
              <w:szCs w:val="32"/>
            </w:rPr>
            <w:t>2</w:t>
          </w:r>
          <w:r>
            <w:rPr>
              <w:rFonts w:ascii="黑体" w:hAnsi="黑体" w:eastAsia="黑体" w:cs="黑体"/>
              <w:bCs/>
              <w:kern w:val="0"/>
              <w:sz w:val="32"/>
              <w:szCs w:val="32"/>
            </w:rPr>
            <w:fldChar w:fldCharType="end"/>
          </w:r>
          <w:r>
            <w:rPr>
              <w:rFonts w:ascii="黑体" w:hAnsi="黑体" w:eastAsia="黑体" w:cs="黑体"/>
              <w:bCs/>
              <w:kern w:val="0"/>
              <w:sz w:val="32"/>
              <w:szCs w:val="32"/>
            </w:rPr>
            <w:fldChar w:fldCharType="end"/>
          </w:r>
        </w:p>
        <w:p>
          <w:pPr>
            <w:pStyle w:val="10"/>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"_Toc134287859" </w:instrText>
          </w:r>
          <w:r>
            <w:fldChar w:fldCharType="separate"/>
          </w:r>
          <w:r>
            <w:rPr>
              <w:rStyle w:val="15"/>
              <w:rFonts w:ascii="宋体" w:hAnsi="宋体" w:cs="楷体_GB2312"/>
              <w:bCs/>
              <w:kern w:val="0"/>
              <w:sz w:val="32"/>
              <w:szCs w:val="32"/>
            </w:rPr>
            <w:t>（一）工程研究中心扶持计划</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_Toc134287859 \h </w:instrText>
          </w:r>
          <w:r>
            <w:rPr>
              <w:rFonts w:ascii="宋体" w:hAnsi="宋体"/>
              <w:bCs/>
              <w:sz w:val="32"/>
              <w:szCs w:val="32"/>
            </w:rPr>
            <w:fldChar w:fldCharType="separate"/>
          </w:r>
          <w:r>
            <w:rPr>
              <w:rFonts w:ascii="宋体" w:hAnsi="宋体"/>
              <w:bCs/>
              <w:sz w:val="32"/>
              <w:szCs w:val="32"/>
            </w:rPr>
            <w:t>2</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"_Toc134287860" </w:instrText>
          </w:r>
          <w:r>
            <w:fldChar w:fldCharType="separate"/>
          </w:r>
          <w:r>
            <w:rPr>
              <w:rStyle w:val="15"/>
              <w:rFonts w:ascii="宋体" w:hAnsi="宋体" w:cs="仿宋_GB2312"/>
              <w:bCs/>
              <w:kern w:val="0"/>
              <w:sz w:val="32"/>
              <w:szCs w:val="32"/>
            </w:rPr>
            <w:t>1.支持领域</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_Toc134287860 \h </w:instrText>
          </w:r>
          <w:r>
            <w:rPr>
              <w:rFonts w:ascii="宋体" w:hAnsi="宋体"/>
              <w:bCs/>
              <w:sz w:val="32"/>
              <w:szCs w:val="32"/>
            </w:rPr>
            <w:fldChar w:fldCharType="separate"/>
          </w:r>
          <w:r>
            <w:rPr>
              <w:rFonts w:ascii="宋体" w:hAnsi="宋体"/>
              <w:bCs/>
              <w:sz w:val="32"/>
              <w:szCs w:val="32"/>
            </w:rPr>
            <w:t>2</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"_Toc134287861" </w:instrText>
          </w:r>
          <w:r>
            <w:fldChar w:fldCharType="separate"/>
          </w:r>
          <w:r>
            <w:rPr>
              <w:rStyle w:val="15"/>
              <w:rFonts w:ascii="宋体" w:hAnsi="宋体" w:cs="仿宋_GB2312"/>
              <w:bCs/>
              <w:kern w:val="0"/>
              <w:sz w:val="32"/>
              <w:szCs w:val="32"/>
            </w:rPr>
            <w:t>2.扶持方式及资助标准</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_Toc134287861 \h </w:instrText>
          </w:r>
          <w:r>
            <w:rPr>
              <w:rFonts w:ascii="宋体" w:hAnsi="宋体"/>
              <w:bCs/>
              <w:sz w:val="32"/>
              <w:szCs w:val="32"/>
            </w:rPr>
            <w:fldChar w:fldCharType="separate"/>
          </w:r>
          <w:r>
            <w:rPr>
              <w:rFonts w:ascii="宋体" w:hAnsi="宋体"/>
              <w:bCs/>
              <w:sz w:val="32"/>
              <w:szCs w:val="32"/>
            </w:rPr>
            <w:t>4</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"_Toc134287862" </w:instrText>
          </w:r>
          <w:r>
            <w:fldChar w:fldCharType="separate"/>
          </w:r>
          <w:r>
            <w:rPr>
              <w:rStyle w:val="15"/>
              <w:rFonts w:ascii="宋体" w:hAnsi="宋体" w:cs="仿宋_GB2312"/>
              <w:bCs/>
              <w:kern w:val="0"/>
              <w:sz w:val="32"/>
              <w:szCs w:val="32"/>
            </w:rPr>
            <w:t>3.申报条件</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_Toc134287862 \h </w:instrText>
          </w:r>
          <w:r>
            <w:rPr>
              <w:rFonts w:ascii="宋体" w:hAnsi="宋体"/>
              <w:bCs/>
              <w:sz w:val="32"/>
              <w:szCs w:val="32"/>
            </w:rPr>
            <w:fldChar w:fldCharType="separate"/>
          </w:r>
          <w:r>
            <w:rPr>
              <w:rFonts w:ascii="宋体" w:hAnsi="宋体"/>
              <w:bCs/>
              <w:sz w:val="32"/>
              <w:szCs w:val="32"/>
            </w:rPr>
            <w:t>5</w:t>
          </w:r>
          <w:r>
            <w:rPr>
              <w:rFonts w:ascii="宋体" w:hAnsi="宋体"/>
              <w:bCs/>
              <w:sz w:val="32"/>
              <w:szCs w:val="32"/>
            </w:rPr>
            <w:fldChar w:fldCharType="end"/>
          </w:r>
          <w:r>
            <w:rPr>
              <w:rFonts w:ascii="宋体" w:hAnsi="宋体"/>
              <w:bCs/>
              <w:sz w:val="32"/>
              <w:szCs w:val="32"/>
            </w:rPr>
            <w:fldChar w:fldCharType="end"/>
          </w:r>
        </w:p>
        <w:p>
          <w:pPr>
            <w:pStyle w:val="10"/>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"_Toc134287863" </w:instrText>
          </w:r>
          <w:r>
            <w:fldChar w:fldCharType="separate"/>
          </w:r>
          <w:r>
            <w:rPr>
              <w:rStyle w:val="15"/>
              <w:rFonts w:ascii="宋体" w:hAnsi="宋体" w:cs="楷体_GB2312"/>
              <w:bCs/>
              <w:kern w:val="0"/>
              <w:sz w:val="32"/>
              <w:szCs w:val="32"/>
            </w:rPr>
            <w:t>（二）公共服务平台扶持计划</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_Toc134287863 \h </w:instrText>
          </w:r>
          <w:r>
            <w:rPr>
              <w:rFonts w:ascii="宋体" w:hAnsi="宋体"/>
              <w:bCs/>
              <w:sz w:val="32"/>
              <w:szCs w:val="32"/>
            </w:rPr>
            <w:fldChar w:fldCharType="separate"/>
          </w:r>
          <w:r>
            <w:rPr>
              <w:rFonts w:ascii="宋体" w:hAnsi="宋体"/>
              <w:bCs/>
              <w:sz w:val="32"/>
              <w:szCs w:val="32"/>
            </w:rPr>
            <w:t>6</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"_Toc134287864" </w:instrText>
          </w:r>
          <w:r>
            <w:fldChar w:fldCharType="separate"/>
          </w:r>
          <w:r>
            <w:rPr>
              <w:rStyle w:val="15"/>
              <w:rFonts w:ascii="宋体" w:hAnsi="宋体" w:cs="仿宋_GB2312"/>
              <w:bCs/>
              <w:kern w:val="0"/>
              <w:sz w:val="32"/>
              <w:szCs w:val="32"/>
            </w:rPr>
            <w:t>1.支持领域</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_Toc134287864 \h </w:instrText>
          </w:r>
          <w:r>
            <w:rPr>
              <w:rFonts w:ascii="宋体" w:hAnsi="宋体"/>
              <w:bCs/>
              <w:sz w:val="32"/>
              <w:szCs w:val="32"/>
            </w:rPr>
            <w:fldChar w:fldCharType="separate"/>
          </w:r>
          <w:r>
            <w:rPr>
              <w:rFonts w:ascii="宋体" w:hAnsi="宋体"/>
              <w:bCs/>
              <w:sz w:val="32"/>
              <w:szCs w:val="32"/>
            </w:rPr>
            <w:t>6</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"_Toc134287865" </w:instrText>
          </w:r>
          <w:r>
            <w:fldChar w:fldCharType="separate"/>
          </w:r>
          <w:r>
            <w:rPr>
              <w:rStyle w:val="15"/>
              <w:rFonts w:ascii="宋体" w:hAnsi="宋体" w:cs="仿宋_GB2312"/>
              <w:bCs/>
              <w:kern w:val="0"/>
              <w:sz w:val="32"/>
              <w:szCs w:val="32"/>
            </w:rPr>
            <w:t>2.扶持方式及资助标准</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_Toc134287865 \h </w:instrText>
          </w:r>
          <w:r>
            <w:rPr>
              <w:rFonts w:ascii="宋体" w:hAnsi="宋体"/>
              <w:bCs/>
              <w:sz w:val="32"/>
              <w:szCs w:val="32"/>
            </w:rPr>
            <w:fldChar w:fldCharType="separate"/>
          </w:r>
          <w:r>
            <w:rPr>
              <w:rFonts w:ascii="宋体" w:hAnsi="宋体"/>
              <w:bCs/>
              <w:sz w:val="32"/>
              <w:szCs w:val="32"/>
            </w:rPr>
            <w:t>7</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"_Toc134287866" </w:instrText>
          </w:r>
          <w:r>
            <w:fldChar w:fldCharType="separate"/>
          </w:r>
          <w:r>
            <w:rPr>
              <w:rStyle w:val="15"/>
              <w:rFonts w:ascii="宋体" w:hAnsi="宋体" w:cs="仿宋_GB2312"/>
              <w:bCs/>
              <w:kern w:val="0"/>
              <w:sz w:val="32"/>
              <w:szCs w:val="32"/>
            </w:rPr>
            <w:t>3.申报条件</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_Toc134287866 \h </w:instrText>
          </w:r>
          <w:r>
            <w:rPr>
              <w:rFonts w:ascii="宋体" w:hAnsi="宋体"/>
              <w:bCs/>
              <w:sz w:val="32"/>
              <w:szCs w:val="32"/>
            </w:rPr>
            <w:fldChar w:fldCharType="separate"/>
          </w:r>
          <w:r>
            <w:rPr>
              <w:rFonts w:ascii="宋体" w:hAnsi="宋体"/>
              <w:bCs/>
              <w:sz w:val="32"/>
              <w:szCs w:val="32"/>
            </w:rPr>
            <w:t>7</w:t>
          </w:r>
          <w:r>
            <w:rPr>
              <w:rFonts w:ascii="宋体" w:hAnsi="宋体"/>
              <w:bCs/>
              <w:sz w:val="32"/>
              <w:szCs w:val="32"/>
            </w:rPr>
            <w:fldChar w:fldCharType="end"/>
          </w:r>
          <w:r>
            <w:rPr>
              <w:rFonts w:ascii="宋体" w:hAnsi="宋体"/>
              <w:bCs/>
              <w:sz w:val="32"/>
              <w:szCs w:val="32"/>
            </w:rPr>
            <w:fldChar w:fldCharType="end"/>
          </w:r>
        </w:p>
        <w:p>
          <w:pPr>
            <w:pStyle w:val="10"/>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"_Toc134287867" </w:instrText>
          </w:r>
          <w:r>
            <w:fldChar w:fldCharType="separate"/>
          </w:r>
          <w:r>
            <w:rPr>
              <w:rStyle w:val="15"/>
              <w:rFonts w:ascii="宋体" w:hAnsi="宋体" w:cs="楷体_GB2312"/>
              <w:bCs/>
              <w:kern w:val="0"/>
              <w:sz w:val="32"/>
              <w:szCs w:val="32"/>
            </w:rPr>
            <w:t>（三）产业化事后补助扶持计划</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_Toc134287867 \h </w:instrText>
          </w:r>
          <w:r>
            <w:rPr>
              <w:rFonts w:ascii="宋体" w:hAnsi="宋体"/>
              <w:bCs/>
              <w:sz w:val="32"/>
              <w:szCs w:val="32"/>
            </w:rPr>
            <w:fldChar w:fldCharType="separate"/>
          </w:r>
          <w:r>
            <w:rPr>
              <w:rFonts w:ascii="宋体" w:hAnsi="宋体"/>
              <w:bCs/>
              <w:sz w:val="32"/>
              <w:szCs w:val="32"/>
            </w:rPr>
            <w:t>9</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"_Toc134287868" </w:instrText>
          </w:r>
          <w:r>
            <w:fldChar w:fldCharType="separate"/>
          </w:r>
          <w:r>
            <w:rPr>
              <w:rStyle w:val="15"/>
              <w:rFonts w:ascii="宋体" w:hAnsi="宋体" w:cs="仿宋_GB2312"/>
              <w:bCs/>
              <w:kern w:val="0"/>
              <w:sz w:val="32"/>
              <w:szCs w:val="32"/>
            </w:rPr>
            <w:t>1.支持领域</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_Toc134287868 \h </w:instrText>
          </w:r>
          <w:r>
            <w:rPr>
              <w:rFonts w:ascii="宋体" w:hAnsi="宋体"/>
              <w:bCs/>
              <w:sz w:val="32"/>
              <w:szCs w:val="32"/>
            </w:rPr>
            <w:fldChar w:fldCharType="separate"/>
          </w:r>
          <w:r>
            <w:rPr>
              <w:rFonts w:ascii="宋体" w:hAnsi="宋体"/>
              <w:bCs/>
              <w:sz w:val="32"/>
              <w:szCs w:val="32"/>
            </w:rPr>
            <w:t>9</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"_Toc134287869" </w:instrText>
          </w:r>
          <w:r>
            <w:fldChar w:fldCharType="separate"/>
          </w:r>
          <w:r>
            <w:rPr>
              <w:rStyle w:val="15"/>
              <w:rFonts w:ascii="宋体" w:hAnsi="宋体" w:cs="仿宋_GB2312"/>
              <w:bCs/>
              <w:kern w:val="0"/>
              <w:sz w:val="32"/>
              <w:szCs w:val="32"/>
            </w:rPr>
            <w:t>2.扶持方式及资助标准</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_Toc134287869 \h </w:instrText>
          </w:r>
          <w:r>
            <w:rPr>
              <w:rFonts w:ascii="宋体" w:hAnsi="宋体"/>
              <w:bCs/>
              <w:sz w:val="32"/>
              <w:szCs w:val="32"/>
            </w:rPr>
            <w:fldChar w:fldCharType="separate"/>
          </w:r>
          <w:r>
            <w:rPr>
              <w:rFonts w:ascii="宋体" w:hAnsi="宋体"/>
              <w:bCs/>
              <w:sz w:val="32"/>
              <w:szCs w:val="32"/>
            </w:rPr>
            <w:t>9</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"_Toc134287870" </w:instrText>
          </w:r>
          <w:r>
            <w:fldChar w:fldCharType="separate"/>
          </w:r>
          <w:r>
            <w:rPr>
              <w:rStyle w:val="15"/>
              <w:rFonts w:ascii="宋体" w:hAnsi="宋体" w:cs="仿宋_GB2312"/>
              <w:bCs/>
              <w:kern w:val="0"/>
              <w:sz w:val="32"/>
              <w:szCs w:val="32"/>
            </w:rPr>
            <w:t>3.申报条件</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_Toc134287870 \h </w:instrText>
          </w:r>
          <w:r>
            <w:rPr>
              <w:rFonts w:ascii="宋体" w:hAnsi="宋体"/>
              <w:bCs/>
              <w:sz w:val="32"/>
              <w:szCs w:val="32"/>
            </w:rPr>
            <w:fldChar w:fldCharType="separate"/>
          </w:r>
          <w:r>
            <w:rPr>
              <w:rFonts w:ascii="宋体" w:hAnsi="宋体"/>
              <w:bCs/>
              <w:sz w:val="32"/>
              <w:szCs w:val="32"/>
            </w:rPr>
            <w:t>9</w:t>
          </w:r>
          <w:r>
            <w:rPr>
              <w:rFonts w:ascii="宋体" w:hAnsi="宋体"/>
              <w:bCs/>
              <w:sz w:val="32"/>
              <w:szCs w:val="32"/>
            </w:rPr>
            <w:fldChar w:fldCharType="end"/>
          </w:r>
          <w:r>
            <w:rPr>
              <w:rFonts w:ascii="宋体" w:hAnsi="宋体"/>
              <w:bCs/>
              <w:sz w:val="32"/>
              <w:szCs w:val="32"/>
            </w:rPr>
            <w:fldChar w:fldCharType="end"/>
          </w:r>
        </w:p>
        <w:p>
          <w:pPr>
            <w:pStyle w:val="10"/>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"_Toc134287871" </w:instrText>
          </w:r>
          <w:r>
            <w:fldChar w:fldCharType="separate"/>
          </w:r>
          <w:r>
            <w:rPr>
              <w:rStyle w:val="15"/>
              <w:rFonts w:ascii="宋体" w:hAnsi="宋体" w:cs="楷体_GB2312"/>
              <w:bCs/>
              <w:kern w:val="0"/>
              <w:sz w:val="32"/>
              <w:szCs w:val="32"/>
            </w:rPr>
            <w:t>（四）</w:t>
          </w:r>
          <w:r>
            <w:rPr>
              <w:rStyle w:val="15"/>
              <w:rFonts w:ascii="宋体" w:hAnsi="宋体" w:cs="楷体_GB2312"/>
              <w:bCs/>
              <w:sz w:val="32"/>
              <w:szCs w:val="32"/>
            </w:rPr>
            <w:t>新产品新技术示范应用推广扶持计划</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_Toc134287871 \h </w:instrText>
          </w:r>
          <w:r>
            <w:rPr>
              <w:rFonts w:ascii="宋体" w:hAnsi="宋体"/>
              <w:bCs/>
              <w:sz w:val="32"/>
              <w:szCs w:val="32"/>
            </w:rPr>
            <w:fldChar w:fldCharType="separate"/>
          </w:r>
          <w:r>
            <w:rPr>
              <w:rFonts w:ascii="宋体" w:hAnsi="宋体"/>
              <w:bCs/>
              <w:sz w:val="32"/>
              <w:szCs w:val="32"/>
            </w:rPr>
            <w:t>10</w:t>
          </w:r>
          <w:r>
            <w:rPr>
              <w:rFonts w:ascii="宋体" w:hAnsi="宋体"/>
              <w:bCs/>
              <w:sz w:val="32"/>
              <w:szCs w:val="32"/>
            </w:rPr>
            <w:fldChar w:fldCharType="end"/>
          </w:r>
          <w:r>
            <w:rPr>
              <w:rFonts w:ascii="宋体" w:hAnsi="宋体"/>
              <w:bCs/>
              <w:sz w:val="32"/>
              <w:szCs w:val="32"/>
            </w:rPr>
            <w:fldChar w:fldCharType="end"/>
          </w:r>
        </w:p>
        <w:p>
          <w:pPr>
            <w:pStyle w:val="10"/>
            <w:tabs>
              <w:tab w:val="right" w:leader="dot" w:pos="8296"/>
            </w:tabs>
            <w:snapToGrid w:val="0"/>
            <w:spacing w:line="560" w:lineRule="exact"/>
            <w:ind w:left="420" w:leftChars="200" w:firstLine="420" w:firstLineChars="200"/>
            <w:rPr>
              <w:rFonts w:ascii="宋体" w:hAnsi="宋体" w:cstheme="minorBidi"/>
              <w:bCs/>
              <w:sz w:val="32"/>
              <w:szCs w:val="32"/>
              <w14:ligatures w14:val="standardContextual"/>
            </w:rPr>
          </w:pPr>
          <w:r>
            <w:fldChar w:fldCharType="begin"/>
          </w:r>
          <w:r>
            <w:instrText xml:space="preserve"> HYPERLINK \l "_Toc134287872" </w:instrText>
          </w:r>
          <w:r>
            <w:fldChar w:fldCharType="separate"/>
          </w:r>
          <w:r>
            <w:rPr>
              <w:rStyle w:val="15"/>
              <w:rFonts w:ascii="宋体" w:hAnsi="宋体" w:cs="楷体_GB2312"/>
              <w:bCs/>
              <w:kern w:val="0"/>
              <w:sz w:val="32"/>
              <w:szCs w:val="32"/>
            </w:rPr>
            <w:t>1.</w:t>
          </w:r>
          <w:r>
            <w:rPr>
              <w:rStyle w:val="15"/>
              <w:rFonts w:ascii="宋体" w:hAnsi="宋体" w:cs="仿宋_GB2312"/>
              <w:bCs/>
              <w:kern w:val="0"/>
              <w:sz w:val="32"/>
              <w:szCs w:val="32"/>
            </w:rPr>
            <w:t>支持领域</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_Toc134287872 \h </w:instrText>
          </w:r>
          <w:r>
            <w:rPr>
              <w:rFonts w:ascii="宋体" w:hAnsi="宋体"/>
              <w:bCs/>
              <w:sz w:val="32"/>
              <w:szCs w:val="32"/>
            </w:rPr>
            <w:fldChar w:fldCharType="separate"/>
          </w:r>
          <w:r>
            <w:rPr>
              <w:rFonts w:ascii="宋体" w:hAnsi="宋体"/>
              <w:bCs/>
              <w:sz w:val="32"/>
              <w:szCs w:val="32"/>
            </w:rPr>
            <w:t>10</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"_Toc134287873" </w:instrText>
          </w:r>
          <w:r>
            <w:fldChar w:fldCharType="separate"/>
          </w:r>
          <w:r>
            <w:rPr>
              <w:rStyle w:val="15"/>
              <w:rFonts w:ascii="宋体" w:hAnsi="宋体" w:cs="仿宋_GB2312"/>
              <w:bCs/>
              <w:kern w:val="0"/>
              <w:sz w:val="32"/>
              <w:szCs w:val="32"/>
            </w:rPr>
            <w:t>2.扶持方式及资助标准</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_Toc134287873 \h </w:instrText>
          </w:r>
          <w:r>
            <w:rPr>
              <w:rFonts w:ascii="宋体" w:hAnsi="宋体"/>
              <w:bCs/>
              <w:sz w:val="32"/>
              <w:szCs w:val="32"/>
            </w:rPr>
            <w:fldChar w:fldCharType="separate"/>
          </w:r>
          <w:r>
            <w:rPr>
              <w:rFonts w:ascii="宋体" w:hAnsi="宋体"/>
              <w:bCs/>
              <w:sz w:val="32"/>
              <w:szCs w:val="32"/>
            </w:rPr>
            <w:t>12</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"_Toc134287874" </w:instrText>
          </w:r>
          <w:r>
            <w:fldChar w:fldCharType="separate"/>
          </w:r>
          <w:r>
            <w:rPr>
              <w:rStyle w:val="15"/>
              <w:rFonts w:ascii="宋体" w:hAnsi="宋体" w:cs="楷体_GB2312"/>
              <w:bCs/>
              <w:kern w:val="0"/>
              <w:sz w:val="32"/>
              <w:szCs w:val="32"/>
            </w:rPr>
            <w:t>3.</w:t>
          </w:r>
          <w:r>
            <w:rPr>
              <w:rStyle w:val="15"/>
              <w:rFonts w:ascii="宋体" w:hAnsi="宋体" w:cs="仿宋_GB2312"/>
              <w:bCs/>
              <w:kern w:val="0"/>
              <w:sz w:val="32"/>
              <w:szCs w:val="32"/>
            </w:rPr>
            <w:t>申报条件</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_Toc134287874 \h </w:instrText>
          </w:r>
          <w:r>
            <w:rPr>
              <w:rFonts w:ascii="宋体" w:hAnsi="宋体"/>
              <w:bCs/>
              <w:sz w:val="32"/>
              <w:szCs w:val="32"/>
            </w:rPr>
            <w:fldChar w:fldCharType="separate"/>
          </w:r>
          <w:r>
            <w:rPr>
              <w:rFonts w:ascii="宋体" w:hAnsi="宋体"/>
              <w:bCs/>
              <w:sz w:val="32"/>
              <w:szCs w:val="32"/>
            </w:rPr>
            <w:t>12</w:t>
          </w:r>
          <w:r>
            <w:rPr>
              <w:rFonts w:ascii="宋体" w:hAnsi="宋体"/>
              <w:bCs/>
              <w:sz w:val="32"/>
              <w:szCs w:val="32"/>
            </w:rPr>
            <w:fldChar w:fldCharType="end"/>
          </w:r>
          <w:r>
            <w:rPr>
              <w:rFonts w:ascii="宋体" w:hAnsi="宋体"/>
              <w:bCs/>
              <w:sz w:val="32"/>
              <w:szCs w:val="32"/>
            </w:rPr>
            <w:fldChar w:fldCharType="end"/>
          </w:r>
        </w:p>
        <w:p>
          <w:pPr>
            <w:pStyle w:val="10"/>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"_Toc134287875" </w:instrText>
          </w:r>
          <w:r>
            <w:fldChar w:fldCharType="separate"/>
          </w:r>
          <w:r>
            <w:rPr>
              <w:rStyle w:val="15"/>
              <w:rFonts w:ascii="宋体" w:hAnsi="宋体" w:cs="楷体_GB2312"/>
              <w:bCs/>
              <w:kern w:val="0"/>
              <w:sz w:val="32"/>
              <w:szCs w:val="32"/>
            </w:rPr>
            <w:t>（五）</w:t>
          </w:r>
          <w:r>
            <w:rPr>
              <w:rStyle w:val="15"/>
              <w:rFonts w:ascii="宋体" w:hAnsi="宋体" w:cs="楷体_GB2312"/>
              <w:bCs/>
              <w:sz w:val="32"/>
              <w:szCs w:val="32"/>
            </w:rPr>
            <w:t>国家项目配套扶持计划</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_Toc134287875 \h </w:instrText>
          </w:r>
          <w:r>
            <w:rPr>
              <w:rFonts w:ascii="宋体" w:hAnsi="宋体"/>
              <w:bCs/>
              <w:sz w:val="32"/>
              <w:szCs w:val="32"/>
            </w:rPr>
            <w:fldChar w:fldCharType="separate"/>
          </w:r>
          <w:r>
            <w:rPr>
              <w:rFonts w:ascii="宋体" w:hAnsi="宋体"/>
              <w:bCs/>
              <w:sz w:val="32"/>
              <w:szCs w:val="32"/>
            </w:rPr>
            <w:t>12</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"_Toc134287876" </w:instrText>
          </w:r>
          <w:r>
            <w:fldChar w:fldCharType="separate"/>
          </w:r>
          <w:r>
            <w:rPr>
              <w:rStyle w:val="15"/>
              <w:rFonts w:ascii="宋体" w:hAnsi="宋体" w:cs="仿宋_GB2312"/>
              <w:bCs/>
              <w:kern w:val="0"/>
              <w:sz w:val="32"/>
              <w:szCs w:val="32"/>
            </w:rPr>
            <w:t>1.支持领域</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_Toc134287876 \h </w:instrText>
          </w:r>
          <w:r>
            <w:rPr>
              <w:rFonts w:ascii="宋体" w:hAnsi="宋体"/>
              <w:bCs/>
              <w:sz w:val="32"/>
              <w:szCs w:val="32"/>
            </w:rPr>
            <w:fldChar w:fldCharType="separate"/>
          </w:r>
          <w:r>
            <w:rPr>
              <w:rFonts w:ascii="宋体" w:hAnsi="宋体"/>
              <w:bCs/>
              <w:sz w:val="32"/>
              <w:szCs w:val="32"/>
            </w:rPr>
            <w:t>12</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"_Toc134287877" </w:instrText>
          </w:r>
          <w:r>
            <w:fldChar w:fldCharType="separate"/>
          </w:r>
          <w:r>
            <w:rPr>
              <w:rStyle w:val="15"/>
              <w:rFonts w:ascii="宋体" w:hAnsi="宋体" w:cs="仿宋_GB2312"/>
              <w:bCs/>
              <w:kern w:val="0"/>
              <w:sz w:val="32"/>
              <w:szCs w:val="32"/>
            </w:rPr>
            <w:t>2.扶持方式及资助标准</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_Toc134287877 \h </w:instrText>
          </w:r>
          <w:r>
            <w:rPr>
              <w:rFonts w:ascii="宋体" w:hAnsi="宋体"/>
              <w:bCs/>
              <w:sz w:val="32"/>
              <w:szCs w:val="32"/>
            </w:rPr>
            <w:fldChar w:fldCharType="separate"/>
          </w:r>
          <w:r>
            <w:rPr>
              <w:rFonts w:ascii="宋体" w:hAnsi="宋体"/>
              <w:bCs/>
              <w:sz w:val="32"/>
              <w:szCs w:val="32"/>
            </w:rPr>
            <w:t>12</w:t>
          </w:r>
          <w:r>
            <w:rPr>
              <w:rFonts w:ascii="宋体" w:hAnsi="宋体"/>
              <w:bCs/>
              <w:sz w:val="32"/>
              <w:szCs w:val="32"/>
            </w:rPr>
            <w:fldChar w:fldCharType="end"/>
          </w:r>
          <w:r>
            <w:rPr>
              <w:rFonts w:ascii="宋体" w:hAnsi="宋体"/>
              <w:bCs/>
              <w:sz w:val="32"/>
              <w:szCs w:val="32"/>
            </w:rPr>
            <w:fldChar w:fldCharType="end"/>
          </w:r>
        </w:p>
        <w:p>
          <w:pPr>
            <w:pStyle w:val="6"/>
            <w:tabs>
              <w:tab w:val="right" w:leader="dot" w:pos="8296"/>
            </w:tabs>
            <w:snapToGrid w:val="0"/>
            <w:spacing w:line="560" w:lineRule="exact"/>
            <w:rPr>
              <w:rFonts w:ascii="宋体" w:hAnsi="宋体" w:cstheme="minorBidi"/>
              <w:bCs/>
              <w:sz w:val="32"/>
              <w:szCs w:val="32"/>
              <w14:ligatures w14:val="standardContextual"/>
            </w:rPr>
          </w:pPr>
          <w:r>
            <w:fldChar w:fldCharType="begin"/>
          </w:r>
          <w:r>
            <w:instrText xml:space="preserve"> HYPERLINK \l "_Toc134287878" </w:instrText>
          </w:r>
          <w:r>
            <w:fldChar w:fldCharType="separate"/>
          </w:r>
          <w:r>
            <w:rPr>
              <w:rStyle w:val="15"/>
              <w:rFonts w:ascii="宋体" w:hAnsi="宋体" w:cs="仿宋_GB2312"/>
              <w:bCs/>
              <w:kern w:val="0"/>
              <w:sz w:val="32"/>
              <w:szCs w:val="32"/>
            </w:rPr>
            <w:t>3.申报条件</w:t>
          </w:r>
          <w:r>
            <w:rPr>
              <w:rFonts w:ascii="宋体" w:hAnsi="宋体"/>
              <w:bCs/>
              <w:sz w:val="32"/>
              <w:szCs w:val="32"/>
            </w:rPr>
            <w:tab/>
          </w:r>
          <w:r>
            <w:rPr>
              <w:rFonts w:ascii="宋体" w:hAnsi="宋体"/>
              <w:bCs/>
              <w:sz w:val="32"/>
              <w:szCs w:val="32"/>
            </w:rPr>
            <w:fldChar w:fldCharType="begin"/>
          </w:r>
          <w:r>
            <w:rPr>
              <w:rFonts w:ascii="宋体" w:hAnsi="宋体"/>
              <w:bCs/>
              <w:sz w:val="32"/>
              <w:szCs w:val="32"/>
            </w:rPr>
            <w:instrText xml:space="preserve"> PAGEREF _Toc134287878 \h </w:instrText>
          </w:r>
          <w:r>
            <w:rPr>
              <w:rFonts w:ascii="宋体" w:hAnsi="宋体"/>
              <w:bCs/>
              <w:sz w:val="32"/>
              <w:szCs w:val="32"/>
            </w:rPr>
            <w:fldChar w:fldCharType="separate"/>
          </w:r>
          <w:r>
            <w:rPr>
              <w:rFonts w:ascii="宋体" w:hAnsi="宋体"/>
              <w:bCs/>
              <w:sz w:val="32"/>
              <w:szCs w:val="32"/>
            </w:rPr>
            <w:t>13</w:t>
          </w:r>
          <w:r>
            <w:rPr>
              <w:rFonts w:ascii="宋体" w:hAnsi="宋体"/>
              <w:bCs/>
              <w:sz w:val="32"/>
              <w:szCs w:val="32"/>
            </w:rPr>
            <w:fldChar w:fldCharType="end"/>
          </w:r>
          <w:r>
            <w:rPr>
              <w:rFonts w:ascii="宋体" w:hAnsi="宋体"/>
              <w:bCs/>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"_Toc134287879" </w:instrText>
          </w:r>
          <w:r>
            <w:fldChar w:fldCharType="separate"/>
          </w:r>
          <w:r>
            <w:rPr>
              <w:rStyle w:val="15"/>
              <w:rFonts w:ascii="黑体" w:hAnsi="黑体" w:eastAsia="黑体" w:cs="黑体"/>
              <w:bCs/>
              <w:kern w:val="0"/>
              <w:sz w:val="32"/>
              <w:szCs w:val="32"/>
            </w:rPr>
            <w:t>四、申报材料</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_Toc134287879 \h </w:instrText>
          </w:r>
          <w:r>
            <w:rPr>
              <w:rFonts w:ascii="黑体" w:hAnsi="黑体" w:eastAsia="黑体"/>
              <w:sz w:val="32"/>
              <w:szCs w:val="32"/>
            </w:rPr>
            <w:fldChar w:fldCharType="separate"/>
          </w:r>
          <w:r>
            <w:rPr>
              <w:rFonts w:ascii="黑体" w:hAnsi="黑体" w:eastAsia="黑体"/>
              <w:sz w:val="32"/>
              <w:szCs w:val="32"/>
            </w:rPr>
            <w:t>13</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"_Toc134287880" </w:instrText>
          </w:r>
          <w:r>
            <w:fldChar w:fldCharType="separate"/>
          </w:r>
          <w:r>
            <w:rPr>
              <w:rStyle w:val="15"/>
              <w:rFonts w:ascii="黑体" w:hAnsi="黑体" w:eastAsia="黑体" w:cs="黑体"/>
              <w:bCs/>
              <w:sz w:val="32"/>
              <w:szCs w:val="32"/>
            </w:rPr>
            <w:t>五、申报时间</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_Toc134287880 \h </w:instrText>
          </w:r>
          <w:r>
            <w:rPr>
              <w:rFonts w:ascii="黑体" w:hAnsi="黑体" w:eastAsia="黑体"/>
              <w:sz w:val="32"/>
              <w:szCs w:val="32"/>
            </w:rPr>
            <w:fldChar w:fldCharType="separate"/>
          </w:r>
          <w:r>
            <w:rPr>
              <w:rFonts w:ascii="黑体" w:hAnsi="黑体" w:eastAsia="黑体"/>
              <w:sz w:val="32"/>
              <w:szCs w:val="32"/>
            </w:rPr>
            <w:t>14</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"_Toc134287881" </w:instrText>
          </w:r>
          <w:r>
            <w:fldChar w:fldCharType="separate"/>
          </w:r>
          <w:r>
            <w:rPr>
              <w:rStyle w:val="15"/>
              <w:rFonts w:ascii="黑体" w:hAnsi="黑体" w:eastAsia="黑体" w:cs="黑体"/>
              <w:bCs/>
              <w:kern w:val="0"/>
              <w:sz w:val="32"/>
              <w:szCs w:val="32"/>
            </w:rPr>
            <w:t>六、申报路径</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_Toc134287881 \h </w:instrText>
          </w:r>
          <w:r>
            <w:rPr>
              <w:rFonts w:ascii="黑体" w:hAnsi="黑体" w:eastAsia="黑体"/>
              <w:sz w:val="32"/>
              <w:szCs w:val="32"/>
            </w:rPr>
            <w:fldChar w:fldCharType="separate"/>
          </w:r>
          <w:r>
            <w:rPr>
              <w:rFonts w:ascii="黑体" w:hAnsi="黑体" w:eastAsia="黑体"/>
              <w:sz w:val="32"/>
              <w:szCs w:val="32"/>
            </w:rPr>
            <w:t>14</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"_Toc134287882" </w:instrText>
          </w:r>
          <w:r>
            <w:fldChar w:fldCharType="separate"/>
          </w:r>
          <w:r>
            <w:rPr>
              <w:rStyle w:val="15"/>
              <w:rFonts w:ascii="黑体" w:hAnsi="黑体" w:eastAsia="黑体" w:cs="黑体"/>
              <w:bCs/>
              <w:kern w:val="0"/>
              <w:sz w:val="32"/>
              <w:szCs w:val="32"/>
            </w:rPr>
            <w:t>七、办理流程</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_Toc134287882 \h </w:instrText>
          </w:r>
          <w:r>
            <w:rPr>
              <w:rFonts w:ascii="黑体" w:hAnsi="黑体" w:eastAsia="黑体"/>
              <w:sz w:val="32"/>
              <w:szCs w:val="32"/>
            </w:rPr>
            <w:fldChar w:fldCharType="separate"/>
          </w:r>
          <w:r>
            <w:rPr>
              <w:rFonts w:ascii="黑体" w:hAnsi="黑体" w:eastAsia="黑体"/>
              <w:sz w:val="32"/>
              <w:szCs w:val="32"/>
            </w:rPr>
            <w:t>14</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"_Toc134287883" </w:instrText>
          </w:r>
          <w:r>
            <w:fldChar w:fldCharType="separate"/>
          </w:r>
          <w:r>
            <w:rPr>
              <w:rStyle w:val="15"/>
              <w:rFonts w:ascii="黑体" w:hAnsi="黑体" w:eastAsia="黑体" w:cs="黑体"/>
              <w:bCs/>
              <w:kern w:val="0"/>
              <w:sz w:val="32"/>
              <w:szCs w:val="32"/>
            </w:rPr>
            <w:t>八、注意事项</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_Toc134287883 \h </w:instrText>
          </w:r>
          <w:r>
            <w:rPr>
              <w:rFonts w:ascii="黑体" w:hAnsi="黑体" w:eastAsia="黑体"/>
              <w:sz w:val="32"/>
              <w:szCs w:val="32"/>
            </w:rPr>
            <w:fldChar w:fldCharType="separate"/>
          </w:r>
          <w:r>
            <w:rPr>
              <w:rFonts w:ascii="黑体" w:hAnsi="黑体" w:eastAsia="黑体"/>
              <w:sz w:val="32"/>
              <w:szCs w:val="32"/>
            </w:rPr>
            <w:t>14</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"_Toc134287884" </w:instrText>
          </w:r>
          <w:r>
            <w:fldChar w:fldCharType="separate"/>
          </w:r>
          <w:r>
            <w:rPr>
              <w:rStyle w:val="15"/>
              <w:rFonts w:ascii="黑体" w:hAnsi="黑体" w:eastAsia="黑体" w:cs="黑体"/>
              <w:bCs/>
              <w:kern w:val="0"/>
              <w:sz w:val="32"/>
              <w:szCs w:val="32"/>
            </w:rPr>
            <w:t>附件1</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_Toc134287884 \h </w:instrText>
          </w:r>
          <w:r>
            <w:rPr>
              <w:rFonts w:ascii="黑体" w:hAnsi="黑体" w:eastAsia="黑体"/>
              <w:sz w:val="32"/>
              <w:szCs w:val="32"/>
            </w:rPr>
            <w:fldChar w:fldCharType="separate"/>
          </w:r>
          <w:r>
            <w:rPr>
              <w:rFonts w:ascii="黑体" w:hAnsi="黑体" w:eastAsia="黑体"/>
              <w:sz w:val="32"/>
              <w:szCs w:val="32"/>
            </w:rPr>
            <w:t>17</w:t>
          </w:r>
          <w:r>
            <w:rPr>
              <w:rFonts w:ascii="黑体" w:hAnsi="黑体" w:eastAsia="黑体"/>
              <w:sz w:val="32"/>
              <w:szCs w:val="32"/>
            </w:rPr>
            <w:fldChar w:fldCharType="end"/>
          </w:r>
          <w:r>
            <w:rPr>
              <w:rFonts w:ascii="黑体" w:hAnsi="黑体" w:eastAsia="黑体"/>
              <w:sz w:val="32"/>
              <w:szCs w:val="32"/>
            </w:rPr>
            <w:fldChar w:fldCharType="end"/>
          </w:r>
        </w:p>
        <w:p>
          <w:pPr>
            <w:pStyle w:val="9"/>
            <w:tabs>
              <w:tab w:val="right" w:leader="dot" w:pos="8296"/>
            </w:tabs>
            <w:snapToGrid w:val="0"/>
            <w:spacing w:line="560" w:lineRule="exact"/>
            <w:rPr>
              <w:rFonts w:ascii="黑体" w:hAnsi="黑体" w:eastAsia="黑体" w:cstheme="minorBidi"/>
              <w:sz w:val="32"/>
              <w:szCs w:val="32"/>
              <w14:ligatures w14:val="standardContextual"/>
            </w:rPr>
          </w:pPr>
          <w:r>
            <w:fldChar w:fldCharType="begin"/>
          </w:r>
          <w:r>
            <w:instrText xml:space="preserve"> HYPERLINK \l "_Toc134287885" </w:instrText>
          </w:r>
          <w:r>
            <w:fldChar w:fldCharType="separate"/>
          </w:r>
          <w:r>
            <w:rPr>
              <w:rStyle w:val="15"/>
              <w:rFonts w:ascii="黑体" w:hAnsi="黑体" w:eastAsia="黑体" w:cs="黑体"/>
              <w:sz w:val="32"/>
              <w:szCs w:val="32"/>
            </w:rPr>
            <w:t>附件2</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_Toc134287885 \h </w:instrText>
          </w:r>
          <w:r>
            <w:rPr>
              <w:rFonts w:ascii="黑体" w:hAnsi="黑体" w:eastAsia="黑体"/>
              <w:sz w:val="32"/>
              <w:szCs w:val="32"/>
            </w:rPr>
            <w:fldChar w:fldCharType="separate"/>
          </w:r>
          <w:r>
            <w:rPr>
              <w:rFonts w:ascii="黑体" w:hAnsi="黑体" w:eastAsia="黑体"/>
              <w:sz w:val="32"/>
              <w:szCs w:val="32"/>
            </w:rPr>
            <w:t>24</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 w:val="32"/>
              <w:szCs w:val="32"/>
              <w14:ligatures w14:val="standardContextual"/>
            </w:rPr>
          </w:pPr>
          <w:r>
            <w:fldChar w:fldCharType="begin"/>
          </w:r>
          <w:r>
            <w:instrText xml:space="preserve"> HYPERLINK \l "_Toc134287886" </w:instrText>
          </w:r>
          <w:r>
            <w:fldChar w:fldCharType="separate"/>
          </w:r>
          <w:r>
            <w:rPr>
              <w:rStyle w:val="15"/>
              <w:rFonts w:ascii="黑体" w:hAnsi="黑体" w:eastAsia="黑体" w:cs="黑体"/>
              <w:bCs/>
              <w:sz w:val="32"/>
              <w:szCs w:val="32"/>
            </w:rPr>
            <w:t>附件2-1</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_Toc134287886 \h </w:instrText>
          </w:r>
          <w:r>
            <w:rPr>
              <w:rFonts w:ascii="黑体" w:hAnsi="黑体" w:eastAsia="黑体"/>
              <w:sz w:val="32"/>
              <w:szCs w:val="32"/>
            </w:rPr>
            <w:fldChar w:fldCharType="separate"/>
          </w:r>
          <w:r>
            <w:rPr>
              <w:rFonts w:ascii="黑体" w:hAnsi="黑体" w:eastAsia="黑体"/>
              <w:sz w:val="32"/>
              <w:szCs w:val="32"/>
            </w:rPr>
            <w:t>26</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 w:val="32"/>
              <w:szCs w:val="32"/>
              <w14:ligatures w14:val="standardContextual"/>
            </w:rPr>
          </w:pPr>
          <w:r>
            <w:fldChar w:fldCharType="begin"/>
          </w:r>
          <w:r>
            <w:instrText xml:space="preserve"> HYPERLINK \l "_Toc134287887" </w:instrText>
          </w:r>
          <w:r>
            <w:fldChar w:fldCharType="separate"/>
          </w:r>
          <w:r>
            <w:rPr>
              <w:rStyle w:val="15"/>
              <w:rFonts w:ascii="黑体" w:hAnsi="黑体" w:eastAsia="黑体" w:cs="黑体"/>
              <w:sz w:val="32"/>
              <w:szCs w:val="32"/>
            </w:rPr>
            <w:t>附件2-2</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_Toc134287887 \h </w:instrText>
          </w:r>
          <w:r>
            <w:rPr>
              <w:rFonts w:ascii="黑体" w:hAnsi="黑体" w:eastAsia="黑体"/>
              <w:sz w:val="32"/>
              <w:szCs w:val="32"/>
            </w:rPr>
            <w:fldChar w:fldCharType="separate"/>
          </w:r>
          <w:r>
            <w:rPr>
              <w:rFonts w:ascii="黑体" w:hAnsi="黑体" w:eastAsia="黑体"/>
              <w:sz w:val="32"/>
              <w:szCs w:val="32"/>
            </w:rPr>
            <w:t>28</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 w:val="32"/>
              <w:szCs w:val="32"/>
              <w14:ligatures w14:val="standardContextual"/>
            </w:rPr>
          </w:pPr>
          <w:r>
            <w:fldChar w:fldCharType="begin"/>
          </w:r>
          <w:r>
            <w:instrText xml:space="preserve"> HYPERLINK \l "_Toc134287888" </w:instrText>
          </w:r>
          <w:r>
            <w:fldChar w:fldCharType="separate"/>
          </w:r>
          <w:r>
            <w:rPr>
              <w:rStyle w:val="15"/>
              <w:rFonts w:ascii="黑体" w:hAnsi="黑体" w:eastAsia="黑体" w:cs="黑体"/>
              <w:sz w:val="32"/>
              <w:szCs w:val="32"/>
            </w:rPr>
            <w:t>附件2-3</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_Toc134287888 \h </w:instrText>
          </w:r>
          <w:r>
            <w:rPr>
              <w:rFonts w:ascii="黑体" w:hAnsi="黑体" w:eastAsia="黑体"/>
              <w:sz w:val="32"/>
              <w:szCs w:val="32"/>
            </w:rPr>
            <w:fldChar w:fldCharType="separate"/>
          </w:r>
          <w:r>
            <w:rPr>
              <w:rFonts w:ascii="黑体" w:hAnsi="黑体" w:eastAsia="黑体"/>
              <w:sz w:val="32"/>
              <w:szCs w:val="32"/>
            </w:rPr>
            <w:t>29</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 w:val="32"/>
              <w:szCs w:val="32"/>
              <w14:ligatures w14:val="standardContextual"/>
            </w:rPr>
          </w:pPr>
          <w:r>
            <w:fldChar w:fldCharType="begin"/>
          </w:r>
          <w:r>
            <w:instrText xml:space="preserve"> HYPERLINK \l "_Toc134287889" </w:instrText>
          </w:r>
          <w:r>
            <w:fldChar w:fldCharType="separate"/>
          </w:r>
          <w:r>
            <w:rPr>
              <w:rStyle w:val="15"/>
              <w:rFonts w:ascii="黑体" w:hAnsi="黑体" w:eastAsia="黑体" w:cs="黑体"/>
              <w:sz w:val="32"/>
              <w:szCs w:val="32"/>
            </w:rPr>
            <w:t>附件2-4</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_Toc134287889 \h </w:instrText>
          </w:r>
          <w:r>
            <w:rPr>
              <w:rFonts w:ascii="黑体" w:hAnsi="黑体" w:eastAsia="黑体"/>
              <w:sz w:val="32"/>
              <w:szCs w:val="32"/>
            </w:rPr>
            <w:fldChar w:fldCharType="separate"/>
          </w:r>
          <w:r>
            <w:rPr>
              <w:rFonts w:ascii="黑体" w:hAnsi="黑体" w:eastAsia="黑体"/>
              <w:sz w:val="32"/>
              <w:szCs w:val="32"/>
            </w:rPr>
            <w:t>30</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 w:val="32"/>
              <w:szCs w:val="32"/>
              <w14:ligatures w14:val="standardContextual"/>
            </w:rPr>
          </w:pPr>
          <w:r>
            <w:fldChar w:fldCharType="begin"/>
          </w:r>
          <w:r>
            <w:instrText xml:space="preserve"> HYPERLINK \l "_Toc134287890" </w:instrText>
          </w:r>
          <w:r>
            <w:fldChar w:fldCharType="separate"/>
          </w:r>
          <w:r>
            <w:rPr>
              <w:rStyle w:val="15"/>
              <w:rFonts w:ascii="黑体" w:hAnsi="黑体" w:eastAsia="黑体" w:cs="黑体"/>
              <w:sz w:val="32"/>
              <w:szCs w:val="32"/>
            </w:rPr>
            <w:t>附件2-5</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_Toc134287890 \h </w:instrText>
          </w:r>
          <w:r>
            <w:rPr>
              <w:rFonts w:ascii="黑体" w:hAnsi="黑体" w:eastAsia="黑体"/>
              <w:sz w:val="32"/>
              <w:szCs w:val="32"/>
            </w:rPr>
            <w:fldChar w:fldCharType="separate"/>
          </w:r>
          <w:r>
            <w:rPr>
              <w:rFonts w:ascii="黑体" w:hAnsi="黑体" w:eastAsia="黑体"/>
              <w:sz w:val="32"/>
              <w:szCs w:val="32"/>
            </w:rPr>
            <w:t>32</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 w:val="32"/>
              <w:szCs w:val="32"/>
              <w14:ligatures w14:val="standardContextual"/>
            </w:rPr>
          </w:pPr>
          <w:r>
            <w:fldChar w:fldCharType="begin"/>
          </w:r>
          <w:r>
            <w:instrText xml:space="preserve"> HYPERLINK \l "_Toc134287891" </w:instrText>
          </w:r>
          <w:r>
            <w:fldChar w:fldCharType="separate"/>
          </w:r>
          <w:r>
            <w:rPr>
              <w:rStyle w:val="15"/>
              <w:rFonts w:ascii="黑体" w:hAnsi="黑体" w:eastAsia="黑体" w:cs="黑体"/>
              <w:sz w:val="32"/>
              <w:szCs w:val="32"/>
            </w:rPr>
            <w:t>附件2-6</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_Toc134287891 \h </w:instrText>
          </w:r>
          <w:r>
            <w:rPr>
              <w:rFonts w:ascii="黑体" w:hAnsi="黑体" w:eastAsia="黑体"/>
              <w:sz w:val="32"/>
              <w:szCs w:val="32"/>
            </w:rPr>
            <w:fldChar w:fldCharType="separate"/>
          </w:r>
          <w:r>
            <w:rPr>
              <w:rFonts w:ascii="黑体" w:hAnsi="黑体" w:eastAsia="黑体"/>
              <w:sz w:val="32"/>
              <w:szCs w:val="32"/>
            </w:rPr>
            <w:t>33</w:t>
          </w:r>
          <w:r>
            <w:rPr>
              <w:rFonts w:ascii="黑体" w:hAnsi="黑体" w:eastAsia="黑体"/>
              <w:sz w:val="32"/>
              <w:szCs w:val="32"/>
            </w:rPr>
            <w:fldChar w:fldCharType="end"/>
          </w:r>
          <w:r>
            <w:rPr>
              <w:rFonts w:ascii="黑体" w:hAnsi="黑体" w:eastAsia="黑体"/>
              <w:sz w:val="32"/>
              <w:szCs w:val="32"/>
            </w:rPr>
            <w:fldChar w:fldCharType="end"/>
          </w:r>
        </w:p>
        <w:p>
          <w:pPr>
            <w:pStyle w:val="10"/>
            <w:tabs>
              <w:tab w:val="right" w:leader="dot" w:pos="8296"/>
            </w:tabs>
            <w:snapToGrid w:val="0"/>
            <w:spacing w:line="560" w:lineRule="exact"/>
            <w:ind w:left="0" w:leftChars="0"/>
            <w:rPr>
              <w:rFonts w:ascii="黑体" w:hAnsi="黑体" w:eastAsia="黑体" w:cstheme="minorBidi"/>
              <w:szCs w:val="22"/>
              <w14:ligatures w14:val="standardContextual"/>
            </w:rPr>
          </w:pPr>
          <w:r>
            <w:fldChar w:fldCharType="begin"/>
          </w:r>
          <w:r>
            <w:instrText xml:space="preserve"> HYPERLINK \l "_Toc134287892" </w:instrText>
          </w:r>
          <w:r>
            <w:fldChar w:fldCharType="separate"/>
          </w:r>
          <w:r>
            <w:rPr>
              <w:rStyle w:val="15"/>
              <w:rFonts w:ascii="黑体" w:hAnsi="黑体" w:eastAsia="黑体" w:cs="黑体"/>
              <w:bCs/>
              <w:sz w:val="32"/>
              <w:szCs w:val="32"/>
            </w:rPr>
            <w:t>附件2-7</w:t>
          </w:r>
          <w:r>
            <w:rPr>
              <w:rFonts w:ascii="黑体" w:hAnsi="黑体" w:eastAsia="黑体"/>
              <w:sz w:val="32"/>
              <w:szCs w:val="32"/>
            </w:rPr>
            <w:tab/>
          </w:r>
          <w:r>
            <w:rPr>
              <w:rFonts w:ascii="黑体" w:hAnsi="黑体" w:eastAsia="黑体"/>
              <w:sz w:val="32"/>
              <w:szCs w:val="32"/>
            </w:rPr>
            <w:fldChar w:fldCharType="begin"/>
          </w:r>
          <w:r>
            <w:rPr>
              <w:rFonts w:ascii="黑体" w:hAnsi="黑体" w:eastAsia="黑体"/>
              <w:sz w:val="32"/>
              <w:szCs w:val="32"/>
            </w:rPr>
            <w:instrText xml:space="preserve"> PAGEREF _Toc134287892 \h </w:instrText>
          </w:r>
          <w:r>
            <w:rPr>
              <w:rFonts w:ascii="黑体" w:hAnsi="黑体" w:eastAsia="黑体"/>
              <w:sz w:val="32"/>
              <w:szCs w:val="32"/>
            </w:rPr>
            <w:fldChar w:fldCharType="separate"/>
          </w:r>
          <w:r>
            <w:rPr>
              <w:rFonts w:ascii="黑体" w:hAnsi="黑体" w:eastAsia="黑体"/>
              <w:sz w:val="32"/>
              <w:szCs w:val="32"/>
            </w:rPr>
            <w:t>35</w:t>
          </w:r>
          <w:r>
            <w:rPr>
              <w:rFonts w:ascii="黑体" w:hAnsi="黑体" w:eastAsia="黑体"/>
              <w:sz w:val="32"/>
              <w:szCs w:val="32"/>
            </w:rPr>
            <w:fldChar w:fldCharType="end"/>
          </w:r>
          <w:r>
            <w:rPr>
              <w:rFonts w:ascii="黑体" w:hAnsi="黑体" w:eastAsia="黑体"/>
              <w:sz w:val="32"/>
              <w:szCs w:val="32"/>
            </w:rPr>
            <w:fldChar w:fldCharType="end"/>
          </w:r>
        </w:p>
        <w:p>
          <w:pPr>
            <w:spacing w:line="560" w:lineRule="exact"/>
          </w:pPr>
          <w:r>
            <w:rPr>
              <w:sz w:val="32"/>
              <w:szCs w:val="32"/>
            </w:rPr>
            <w:fldChar w:fldCharType="end"/>
          </w:r>
        </w:p>
      </w:sdtContent>
    </w:sdt>
    <w:p>
      <w:pPr>
        <w:jc w:val="center"/>
        <w:rPr>
          <w:rFonts w:ascii="宋体" w:hAnsi="宋体"/>
        </w:rPr>
      </w:pPr>
    </w:p>
    <w:p>
      <w:pPr>
        <w:spacing w:line="560" w:lineRule="exact"/>
        <w:jc w:val="center"/>
        <w:rPr>
          <w:rFonts w:ascii="宋体" w:hAnsi="宋体" w:cs="宋体"/>
          <w:b/>
          <w:sz w:val="32"/>
          <w:szCs w:val="32"/>
        </w:rPr>
        <w:sectPr>
          <w:footerReference r:id="rId6" w:type="first"/>
          <w:pgSz w:w="11906" w:h="16838"/>
          <w:pgMar w:top="1440" w:right="1800" w:bottom="1440" w:left="1800" w:header="851" w:footer="992" w:gutter="0"/>
          <w:cols w:space="720" w:num="1"/>
          <w:titlePg/>
          <w:docGrid w:type="lines" w:linePitch="312" w:charSpace="0"/>
        </w:sectPr>
      </w:pPr>
    </w:p>
    <w:p>
      <w:pPr>
        <w:spacing w:line="560" w:lineRule="exact"/>
        <w:ind w:firstLine="640" w:firstLineChars="200"/>
        <w:jc w:val="left"/>
        <w:outlineLvl w:val="0"/>
        <w:rPr>
          <w:rFonts w:ascii="黑体" w:hAnsi="黑体" w:eastAsia="黑体" w:cs="黑体"/>
          <w:bCs/>
          <w:kern w:val="0"/>
          <w:sz w:val="32"/>
          <w:szCs w:val="32"/>
        </w:rPr>
      </w:pPr>
      <w:bookmarkStart w:id="2" w:name="_Toc134287856"/>
      <w:bookmarkStart w:id="3" w:name="_Toc7992"/>
      <w:bookmarkStart w:id="4" w:name="_Toc1183"/>
      <w:bookmarkStart w:id="5" w:name="_Toc7153"/>
      <w:bookmarkStart w:id="6" w:name="_Toc20964"/>
      <w:r>
        <w:rPr>
          <w:rFonts w:hint="eastAsia" w:ascii="黑体" w:hAnsi="黑体" w:eastAsia="黑体" w:cs="黑体"/>
          <w:bCs/>
          <w:kern w:val="0"/>
          <w:sz w:val="32"/>
          <w:szCs w:val="32"/>
        </w:rPr>
        <w:t>一、政策依据</w:t>
      </w:r>
      <w:bookmarkEnd w:id="2"/>
      <w:bookmarkEnd w:id="3"/>
      <w:bookmarkEnd w:id="4"/>
      <w:bookmarkEnd w:id="5"/>
      <w:bookmarkEnd w:id="6"/>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1.《深圳市市级财政专项资金管理办法》（深府〔2018〕12号）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2.《深圳市战略性新兴产业发展专项资金扶持政策》（深府规〔2018〕22号）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3.《深圳市人民政府关于发展壮大战略性新兴产业集群和培育发展未来产业的意见》（深府〔2022〕1号）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4.《深圳市发展和改革委员会专项资金管理办法》（深发改规〔2019〕2号）</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5.《深圳市发展和改革委员会专项资金战略性新兴产业发展扶持计划操作规程》（深发改规〔2020〕2号）</w:t>
      </w:r>
    </w:p>
    <w:p>
      <w:pPr>
        <w:pStyle w:val="2"/>
        <w:adjustRightInd w:val="0"/>
        <w:spacing w:after="0" w:line="560" w:lineRule="exact"/>
        <w:ind w:firstLine="640" w:firstLineChars="200"/>
        <w:jc w:val="left"/>
        <w:rPr>
          <w:rFonts w:ascii="仿宋_GB2312" w:eastAsia="仿宋_GB2312"/>
          <w:sz w:val="32"/>
          <w:szCs w:val="32"/>
        </w:rPr>
      </w:pPr>
      <w:r>
        <w:rPr>
          <w:rFonts w:hint="eastAsia" w:ascii="仿宋_GB2312" w:eastAsia="仿宋_GB2312"/>
          <w:sz w:val="32"/>
          <w:szCs w:val="32"/>
        </w:rPr>
        <w:t>6.《深圳市发展和改革委员会战略性新兴产业发展与重大科研平台自主攻关扶持计划项目验收实施细则》（深发改规〔2023〕1号）</w:t>
      </w:r>
    </w:p>
    <w:p>
      <w:pPr>
        <w:pStyle w:val="2"/>
        <w:adjustRightInd w:val="0"/>
        <w:snapToGrid w:val="0"/>
        <w:spacing w:after="0" w:line="560" w:lineRule="exact"/>
        <w:ind w:firstLine="640" w:firstLineChars="200"/>
        <w:jc w:val="left"/>
        <w:outlineLvl w:val="0"/>
        <w:rPr>
          <w:rFonts w:ascii="黑体" w:hAnsi="黑体" w:eastAsia="黑体" w:cs="黑体"/>
          <w:bCs/>
          <w:kern w:val="0"/>
          <w:sz w:val="32"/>
          <w:szCs w:val="32"/>
        </w:rPr>
      </w:pPr>
      <w:bookmarkStart w:id="7" w:name="_Toc18600"/>
      <w:bookmarkStart w:id="8" w:name="_Toc13004"/>
      <w:bookmarkStart w:id="9" w:name="_Toc27514"/>
      <w:bookmarkStart w:id="10" w:name="_Toc3717"/>
      <w:bookmarkStart w:id="11" w:name="_Toc1456218508"/>
      <w:bookmarkStart w:id="12" w:name="_Toc23006"/>
      <w:bookmarkStart w:id="13" w:name="_Toc15334"/>
      <w:bookmarkStart w:id="14" w:name="_Toc9210"/>
      <w:bookmarkStart w:id="15" w:name="_Toc27927"/>
      <w:bookmarkStart w:id="16" w:name="_Toc26620"/>
      <w:bookmarkStart w:id="17" w:name="_Toc7834"/>
      <w:bookmarkStart w:id="18" w:name="_Toc29655"/>
      <w:bookmarkStart w:id="19" w:name="_Toc12292"/>
      <w:bookmarkStart w:id="20" w:name="_Toc8059"/>
      <w:bookmarkStart w:id="21" w:name="_Toc31397"/>
      <w:bookmarkStart w:id="22" w:name="_Toc134287857"/>
      <w:r>
        <w:rPr>
          <w:rFonts w:hint="eastAsia" w:ascii="黑体" w:hAnsi="黑体" w:eastAsia="黑体" w:cs="黑体"/>
          <w:bCs/>
          <w:kern w:val="0"/>
          <w:sz w:val="32"/>
          <w:szCs w:val="32"/>
        </w:rPr>
        <w:t>二、</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3" w:name="_Toc29268"/>
      <w:bookmarkStart w:id="24" w:name="_Toc12366"/>
      <w:bookmarkStart w:id="25" w:name="_Toc20519"/>
      <w:bookmarkStart w:id="26" w:name="_Toc23109"/>
      <w:r>
        <w:rPr>
          <w:rFonts w:hint="eastAsia" w:ascii="黑体" w:hAnsi="黑体" w:eastAsia="黑体" w:cs="黑体"/>
          <w:bCs/>
          <w:kern w:val="0"/>
          <w:sz w:val="32"/>
          <w:szCs w:val="32"/>
        </w:rPr>
        <w:t>基本条件</w:t>
      </w:r>
      <w:bookmarkEnd w:id="22"/>
    </w:p>
    <w:p>
      <w:pPr>
        <w:pStyle w:val="21"/>
        <w:numPr>
          <w:ilvl w:val="255"/>
          <w:numId w:val="0"/>
        </w:numPr>
        <w:adjustRightInd/>
        <w:ind w:firstLine="640" w:firstLineChars="200"/>
        <w:jc w:val="left"/>
      </w:pPr>
      <w:r>
        <w:rPr>
          <w:rFonts w:hint="eastAsia"/>
        </w:rPr>
        <w:t>项目申报单位须是在深圳市（含深汕特别合作区）注册、具备独立法人资格的从事储能领域相关产业研发生产及服务的企业、事业单位、社会团体或民办非企业等机构。申报单位未违反国家、省、市联合惩戒政策和制度规定，未被列为失信联合惩戒对象。</w:t>
      </w:r>
    </w:p>
    <w:p>
      <w:pPr>
        <w:pStyle w:val="2"/>
        <w:spacing w:after="0" w:line="560" w:lineRule="exact"/>
        <w:ind w:firstLine="640" w:firstLineChars="200"/>
        <w:jc w:val="left"/>
        <w:outlineLvl w:val="0"/>
        <w:rPr>
          <w:rFonts w:ascii="黑体" w:hAnsi="黑体" w:eastAsia="黑体" w:cs="黑体"/>
          <w:bCs/>
          <w:kern w:val="0"/>
          <w:sz w:val="32"/>
          <w:szCs w:val="32"/>
        </w:rPr>
      </w:pPr>
      <w:bookmarkStart w:id="27" w:name="_Toc134287858"/>
      <w:r>
        <w:rPr>
          <w:rFonts w:hint="eastAsia" w:ascii="黑体" w:hAnsi="黑体" w:eastAsia="黑体" w:cs="黑体"/>
          <w:bCs/>
          <w:kern w:val="0"/>
          <w:sz w:val="32"/>
          <w:szCs w:val="32"/>
        </w:rPr>
        <w:t>三、扶持计划</w:t>
      </w:r>
      <w:bookmarkEnd w:id="23"/>
      <w:bookmarkEnd w:id="24"/>
      <w:bookmarkEnd w:id="25"/>
      <w:bookmarkEnd w:id="26"/>
      <w:bookmarkEnd w:id="27"/>
    </w:p>
    <w:p>
      <w:pPr>
        <w:shd w:val="clear" w:color="auto" w:fill="FFFFFF"/>
        <w:spacing w:line="560" w:lineRule="exact"/>
        <w:ind w:firstLine="643" w:firstLineChars="200"/>
        <w:jc w:val="left"/>
        <w:outlineLvl w:val="1"/>
        <w:rPr>
          <w:rFonts w:ascii="楷体_GB2312" w:hAnsi="楷体_GB2312" w:eastAsia="楷体_GB2312" w:cs="楷体_GB2312"/>
          <w:b/>
          <w:kern w:val="0"/>
          <w:sz w:val="32"/>
          <w:szCs w:val="32"/>
        </w:rPr>
      </w:pPr>
      <w:bookmarkStart w:id="28" w:name="_Toc18601"/>
      <w:bookmarkStart w:id="29" w:name="_Toc9281"/>
      <w:bookmarkStart w:id="30" w:name="_Toc7791"/>
      <w:bookmarkStart w:id="31" w:name="_Toc134287859"/>
      <w:bookmarkStart w:id="32" w:name="_Toc19952"/>
      <w:r>
        <w:rPr>
          <w:rFonts w:hint="eastAsia" w:ascii="楷体_GB2312" w:hAnsi="楷体_GB2312" w:eastAsia="楷体_GB2312" w:cs="楷体_GB2312"/>
          <w:b/>
          <w:kern w:val="0"/>
          <w:sz w:val="32"/>
          <w:szCs w:val="32"/>
        </w:rPr>
        <w:t>（一）工程研究中心扶持计划</w:t>
      </w:r>
      <w:bookmarkEnd w:id="28"/>
      <w:bookmarkEnd w:id="29"/>
      <w:bookmarkEnd w:id="30"/>
      <w:bookmarkEnd w:id="31"/>
      <w:bookmarkEnd w:id="32"/>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33" w:name="_Toc134287860"/>
      <w:bookmarkStart w:id="34" w:name="_Toc6734"/>
      <w:bookmarkStart w:id="35" w:name="_Toc17423"/>
      <w:bookmarkStart w:id="36" w:name="_Toc23456"/>
      <w:bookmarkStart w:id="37" w:name="_Toc29322"/>
      <w:bookmarkStart w:id="38" w:name="_Toc31411"/>
      <w:r>
        <w:rPr>
          <w:rFonts w:hint="eastAsia" w:ascii="仿宋_GB2312" w:hAnsi="仿宋_GB2312" w:eastAsia="仿宋_GB2312" w:cs="仿宋_GB2312"/>
          <w:b/>
          <w:kern w:val="0"/>
          <w:sz w:val="32"/>
          <w:szCs w:val="32"/>
        </w:rPr>
        <w:t>1.支持领域</w:t>
      </w:r>
      <w:bookmarkEnd w:id="33"/>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（1）钠离子电池储能工程研究中心</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聚焦钠离子电池高低温性能、长循环、高安全和低成本的储能特性，围绕正极材料、负极材料、隔膜、电解液、导电剂、正负极粘结剂等电池关键材料及辅材，以及材料表征、电池设计、性能测试、失效及机理分析等领域开展关键技术研究。</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（2）长寿命高安全性锂离子电池工程研究中心</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围绕长寿命高安全电池材料开发、长寿命电池工艺开发、高安全电池结构开发、补锂技术开发、电池寿命加速测试方法开发、电池失效检测和预防等关键技术研究。</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（3）下一代固态电池储能工程研究中心</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研发固态电芯的新型材料及工艺，实现环保固态储能电芯的本征安全、长寿命和低度电成本，重点开展电解质材料、正极材料、负极材料、导电剂、粘结剂、材料分散溶剂等电池关键材料及辅材研究，开发固态电解质膜制备、固态电芯组装、固态电芯适配测试技术以及优化固态电芯界面和材料表征等先进工艺。</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（4）新型液流储能电池工程研究中心</w:t>
      </w:r>
    </w:p>
    <w:p>
      <w:pPr>
        <w:pStyle w:val="2"/>
        <w:keepNext w:val="0"/>
        <w:keepLines w:val="0"/>
        <w:pageBreakBefore w:val="0"/>
        <w:widowControl w:val="0"/>
        <w:kinsoku/>
        <w:wordWrap/>
        <w:overflowPunct/>
        <w:topLinePunct w:val="0"/>
        <w:autoSpaceDE/>
        <w:autoSpaceDN/>
        <w:bidi w:val="0"/>
        <w:snapToGrid/>
        <w:spacing w:after="0" w:line="560" w:lineRule="exact"/>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聚焦超长循环寿命、高安全稳定性、绿色环保液流电池的研究开发，重点开展电堆单元、关键材料、电解液存储供给单元以及管理控制单元等关键技术研究，持续挖掘具有大规模商业化前景的前沿技术路线。</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sz w:val="32"/>
          <w:szCs w:val="32"/>
        </w:rPr>
      </w:pPr>
      <w:bookmarkStart w:id="39" w:name="_Toc26730"/>
      <w:bookmarkStart w:id="40" w:name="_Toc9312"/>
      <w:bookmarkStart w:id="41" w:name="_Toc17772"/>
      <w:bookmarkStart w:id="42" w:name="_Toc19831"/>
      <w:bookmarkStart w:id="43" w:name="_Toc20504_WPSOffice_Level2"/>
      <w:bookmarkStart w:id="44" w:name="_Toc8225"/>
      <w:r>
        <w:rPr>
          <w:rFonts w:hint="eastAsia" w:ascii="仿宋_GB2312" w:hAnsi="仿宋_GB2312" w:eastAsia="仿宋_GB2312" w:cs="仿宋_GB2312"/>
          <w:bCs/>
          <w:color w:val="000000"/>
          <w:kern w:val="0"/>
          <w:sz w:val="32"/>
          <w:szCs w:val="32"/>
        </w:rPr>
        <w:t>（5）储能系统集成及安全管理工程研究中心</w:t>
      </w:r>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仿宋_GB2312" w:eastAsia="仿宋_GB2312"/>
          <w:sz w:val="32"/>
          <w:szCs w:val="20"/>
        </w:rPr>
      </w:pPr>
      <w:r>
        <w:rPr>
          <w:rFonts w:hint="eastAsia" w:ascii="仿宋_GB2312" w:hAnsi="仿宋_GB2312" w:eastAsia="仿宋_GB2312"/>
          <w:sz w:val="32"/>
          <w:szCs w:val="20"/>
        </w:rPr>
        <w:t>聚焦储能系统集成及安全管理，重点开展电池模组</w:t>
      </w:r>
      <w:r>
        <w:rPr>
          <w:rFonts w:ascii="仿宋_GB2312" w:hAnsi="仿宋_GB2312" w:eastAsia="仿宋_GB2312"/>
          <w:sz w:val="32"/>
          <w:szCs w:val="20"/>
        </w:rPr>
        <w:t>CTP</w:t>
      </w:r>
      <w:r>
        <w:rPr>
          <w:rFonts w:hint="eastAsia" w:ascii="仿宋_GB2312" w:hAnsi="仿宋_GB2312" w:eastAsia="仿宋_GB2312"/>
          <w:sz w:val="32"/>
          <w:szCs w:val="20"/>
        </w:rPr>
        <w:t>技术、液冷散热技术、智能热管理技术、电池均衡管理技术、故障精准定位技术、系统热失控特性、主被动安全一体化技术、热阻隔技术、消防安全技术等关键技术研究。</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bookmarkStart w:id="45" w:name="_Toc25738"/>
      <w:bookmarkStart w:id="46" w:name="_Toc27793"/>
      <w:bookmarkStart w:id="47" w:name="_Toc24882_WPSOffice_Level2"/>
      <w:bookmarkStart w:id="48" w:name="_Toc12395"/>
      <w:bookmarkStart w:id="49" w:name="_Toc30254"/>
      <w:bookmarkStart w:id="50" w:name="_Toc12116"/>
      <w:r>
        <w:rPr>
          <w:rFonts w:hint="eastAsia" w:ascii="仿宋_GB2312" w:hAnsi="仿宋_GB2312" w:eastAsia="仿宋_GB2312" w:cs="仿宋_GB2312"/>
          <w:bCs/>
          <w:color w:val="000000"/>
          <w:kern w:val="0"/>
          <w:sz w:val="32"/>
          <w:szCs w:val="32"/>
        </w:rPr>
        <w:t>（6）储能控制系统工程研究中心</w:t>
      </w:r>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仿宋_GB2312" w:eastAsia="仿宋_GB2312"/>
          <w:sz w:val="32"/>
          <w:szCs w:val="20"/>
        </w:rPr>
      </w:pPr>
      <w:r>
        <w:rPr>
          <w:rFonts w:hint="eastAsia" w:ascii="仿宋_GB2312" w:hAnsi="仿宋_GB2312" w:eastAsia="仿宋_GB2312"/>
          <w:sz w:val="32"/>
          <w:szCs w:val="20"/>
        </w:rPr>
        <w:t>聚焦满足全场景需求的高效率、高安全、低成本储能系统集成与控制技术研究，重点开展以下关键技术研究：储能电池管理系统、储能变流器、能量管理系统、热管理系统、消防管理系统、新型储能系统架构、储能专用控制芯片、储能电池主动均衡算法、双向高压逆变技术、云边协同能量管理、高效率热管理、多传感器联动监测及预警、电芯内置传感探测、AI算法电池管理等。</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bookmarkStart w:id="51" w:name="_Toc3909"/>
      <w:bookmarkStart w:id="52" w:name="_Toc28913"/>
      <w:bookmarkStart w:id="53" w:name="_Toc25122"/>
      <w:bookmarkStart w:id="54" w:name="_Toc27457"/>
      <w:bookmarkStart w:id="55" w:name="_Toc14921_WPSOffice_Level2"/>
      <w:bookmarkStart w:id="56" w:name="_Toc17579"/>
      <w:r>
        <w:rPr>
          <w:rFonts w:hint="eastAsia" w:ascii="仿宋_GB2312" w:hAnsi="仿宋_GB2312" w:eastAsia="仿宋_GB2312" w:cs="仿宋_GB2312"/>
          <w:bCs/>
          <w:color w:val="000000"/>
          <w:kern w:val="0"/>
          <w:sz w:val="32"/>
          <w:szCs w:val="32"/>
        </w:rPr>
        <w:t>（7）储能智能装备技术工程研究中心</w:t>
      </w:r>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仿宋_GB2312" w:eastAsia="仿宋_GB2312"/>
          <w:sz w:val="32"/>
          <w:szCs w:val="20"/>
        </w:rPr>
      </w:pPr>
      <w:r>
        <w:rPr>
          <w:rFonts w:hint="eastAsia" w:ascii="仿宋_GB2312" w:hAnsi="仿宋_GB2312" w:eastAsia="仿宋_GB2312"/>
          <w:sz w:val="32"/>
          <w:szCs w:val="20"/>
        </w:rPr>
        <w:t>聚焦未来新一代超大容量锂电芯生产装备、无人化管理、无人化生产的智能装备研究，重点开展300Ah以上方形电芯产品及100Ah以上圆柱电芯产品生产线的开发，围绕锂电产线高效可靠机械结构、高效物流技术、数位整合控制系统，核心主控制系统、AI信息计算判分、自动检测闭环管理系统等领域开展关键技术研究。</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bookmarkStart w:id="57" w:name="_Toc5334"/>
      <w:bookmarkStart w:id="58" w:name="_Toc9985_WPSOffice_Level2"/>
      <w:bookmarkStart w:id="59" w:name="_Toc10674"/>
      <w:bookmarkStart w:id="60" w:name="_Toc15748"/>
      <w:bookmarkStart w:id="61" w:name="_Toc7123"/>
      <w:bookmarkStart w:id="62" w:name="_Toc13338"/>
      <w:r>
        <w:rPr>
          <w:rFonts w:hint="eastAsia" w:ascii="仿宋_GB2312" w:hAnsi="仿宋_GB2312" w:eastAsia="仿宋_GB2312" w:cs="仿宋_GB2312"/>
          <w:bCs/>
          <w:color w:val="000000"/>
          <w:kern w:val="0"/>
          <w:sz w:val="32"/>
          <w:szCs w:val="32"/>
        </w:rPr>
        <w:t>（8）光储充技术工程研究中心</w:t>
      </w:r>
      <w:bookmarkEnd w:id="57"/>
      <w:bookmarkEnd w:id="58"/>
      <w:bookmarkEnd w:id="59"/>
      <w:bookmarkEnd w:id="60"/>
      <w:bookmarkEnd w:id="61"/>
      <w:bookmarkEnd w:id="62"/>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仿宋_GB2312" w:eastAsia="仿宋_GB2312"/>
          <w:sz w:val="32"/>
          <w:szCs w:val="20"/>
        </w:rPr>
      </w:pPr>
      <w:r>
        <w:rPr>
          <w:rFonts w:hint="eastAsia" w:ascii="仿宋_GB2312" w:hAnsi="仿宋_GB2312" w:eastAsia="仿宋_GB2312"/>
          <w:sz w:val="32"/>
          <w:szCs w:val="20"/>
        </w:rPr>
        <w:t>聚焦高效率、高功率密度、多能接入、超强电网适应性的光储充</w:t>
      </w:r>
      <w:r>
        <w:rPr>
          <w:rFonts w:hint="eastAsia" w:eastAsia="仿宋_GB2312"/>
          <w:sz w:val="32"/>
          <w:szCs w:val="20"/>
        </w:rPr>
        <w:t>控制技术，</w:t>
      </w:r>
      <w:r>
        <w:rPr>
          <w:rFonts w:hint="eastAsia" w:ascii="仿宋_GB2312" w:hAnsi="仿宋_GB2312" w:eastAsia="仿宋_GB2312"/>
          <w:sz w:val="32"/>
          <w:szCs w:val="20"/>
        </w:rPr>
        <w:t>利用人工智能技术监测和管理电池串，精准预测电池状态，实现电池长寿命高安全；通过大数据分析用户的能源使用习惯，优化能源分配，实现基于家庭和工商业场景的智能能源管理，以及区域一体化的虚拟发电电站（</w:t>
      </w:r>
      <w:r>
        <w:rPr>
          <w:rFonts w:ascii="仿宋_GB2312" w:hAnsi="仿宋_GB2312" w:eastAsia="仿宋_GB2312"/>
          <w:sz w:val="32"/>
          <w:szCs w:val="20"/>
        </w:rPr>
        <w:t>VPP</w:t>
      </w:r>
      <w:r>
        <w:rPr>
          <w:rFonts w:hint="eastAsia" w:ascii="仿宋_GB2312" w:hAnsi="仿宋_GB2312" w:eastAsia="仿宋_GB2312"/>
          <w:sz w:val="32"/>
          <w:szCs w:val="20"/>
        </w:rPr>
        <w:t>）能源调度系统。</w:t>
      </w:r>
    </w:p>
    <w:p>
      <w:pPr>
        <w:keepNext w:val="0"/>
        <w:keepLines w:val="0"/>
        <w:pageBreakBefore w:val="0"/>
        <w:widowControl w:val="0"/>
        <w:shd w:val="clear" w:color="auto" w:fill="FFFFFF"/>
        <w:kinsoku/>
        <w:wordWrap/>
        <w:overflowPunct/>
        <w:topLinePunct w:val="0"/>
        <w:autoSpaceDE/>
        <w:autoSpaceDN/>
        <w:bidi w:val="0"/>
        <w:snapToGrid/>
        <w:spacing w:line="560" w:lineRule="exact"/>
        <w:ind w:firstLine="640" w:firstLineChars="200"/>
        <w:jc w:val="both"/>
        <w:textAlignment w:val="auto"/>
        <w:rPr>
          <w:rFonts w:ascii="仿宋_GB2312" w:hAnsi="仿宋_GB2312" w:eastAsia="仿宋_GB2312" w:cs="仿宋_GB2312"/>
          <w:bCs/>
          <w:color w:val="000000"/>
          <w:kern w:val="0"/>
          <w:sz w:val="32"/>
          <w:szCs w:val="32"/>
        </w:rPr>
      </w:pPr>
      <w:bookmarkStart w:id="63" w:name="_Toc25435"/>
      <w:bookmarkStart w:id="64" w:name="_Toc2700"/>
      <w:bookmarkStart w:id="65" w:name="_Toc24908_WPSOffice_Level2"/>
      <w:bookmarkStart w:id="66" w:name="_Toc26372"/>
      <w:bookmarkStart w:id="67" w:name="_Toc20920"/>
      <w:bookmarkStart w:id="68" w:name="_Toc25133"/>
      <w:r>
        <w:rPr>
          <w:rFonts w:hint="eastAsia" w:ascii="仿宋_GB2312" w:hAnsi="仿宋_GB2312" w:eastAsia="仿宋_GB2312" w:cs="仿宋_GB2312"/>
          <w:bCs/>
          <w:color w:val="000000"/>
          <w:kern w:val="0"/>
          <w:sz w:val="32"/>
          <w:szCs w:val="32"/>
        </w:rPr>
        <w:t>（9）新能源汽车移动储能工程研究中心</w:t>
      </w:r>
      <w:bookmarkEnd w:id="63"/>
      <w:bookmarkEnd w:id="64"/>
      <w:bookmarkEnd w:id="65"/>
      <w:bookmarkEnd w:id="66"/>
      <w:bookmarkEnd w:id="67"/>
      <w:bookmarkEnd w:id="68"/>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ascii="仿宋_GB2312" w:hAnsi="仿宋_GB2312" w:eastAsia="仿宋_GB2312"/>
          <w:sz w:val="32"/>
          <w:szCs w:val="20"/>
        </w:rPr>
      </w:pPr>
      <w:r>
        <w:rPr>
          <w:rFonts w:hint="eastAsia" w:ascii="仿宋_GB2312" w:hAnsi="仿宋_GB2312" w:eastAsia="仿宋_GB2312"/>
          <w:sz w:val="32"/>
          <w:szCs w:val="20"/>
        </w:rPr>
        <w:t>围绕电动汽车动力电池标准、技术、产品、产业、市场和模式开展研究，为电池提供认证、检测服务，验证超长寿命电池在智能电网领域应用的可行性，综合评估车电分离的运营模式、电池风险评估技术及超长寿命电池性能的技术参数，提供具有公信力的电池品质评估标准和电池金融保险数据服务。</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69" w:name="_Toc134287861"/>
      <w:r>
        <w:rPr>
          <w:rFonts w:hint="eastAsia" w:ascii="仿宋_GB2312" w:hAnsi="仿宋_GB2312" w:eastAsia="仿宋_GB2312" w:cs="仿宋_GB2312"/>
          <w:b/>
          <w:kern w:val="0"/>
          <w:sz w:val="32"/>
          <w:szCs w:val="32"/>
        </w:rPr>
        <w:t>2.扶持方式及资助标准</w:t>
      </w:r>
      <w:bookmarkEnd w:id="34"/>
      <w:bookmarkEnd w:id="35"/>
      <w:bookmarkEnd w:id="36"/>
      <w:bookmarkEnd w:id="37"/>
      <w:bookmarkEnd w:id="38"/>
      <w:bookmarkEnd w:id="69"/>
    </w:p>
    <w:p>
      <w:pPr>
        <w:pStyle w:val="21"/>
        <w:shd w:val="clear" w:color="auto" w:fill="FFFFFF"/>
        <w:ind w:firstLine="640"/>
        <w:jc w:val="left"/>
      </w:pPr>
      <w:r>
        <w:rPr>
          <w:rFonts w:hint="eastAsia"/>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pStyle w:val="21"/>
        <w:numPr>
          <w:ilvl w:val="255"/>
          <w:numId w:val="0"/>
        </w:numPr>
        <w:shd w:val="clear" w:color="auto" w:fill="FFFFFF"/>
        <w:ind w:firstLine="640" w:firstLineChars="200"/>
        <w:jc w:val="left"/>
      </w:pPr>
      <w:r>
        <w:rPr>
          <w:rFonts w:hint="eastAsia"/>
        </w:rPr>
        <w:t>（1）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21"/>
        <w:shd w:val="clear" w:color="auto" w:fill="FFFFFF"/>
        <w:ind w:firstLine="640"/>
        <w:jc w:val="left"/>
      </w:pPr>
      <w:r>
        <w:rPr>
          <w:rFonts w:hint="eastAsia"/>
        </w:rPr>
        <w:t>（2）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70" w:name="_Toc10516"/>
      <w:bookmarkStart w:id="71" w:name="_Toc29958"/>
      <w:bookmarkStart w:id="72" w:name="_Toc13718"/>
      <w:bookmarkStart w:id="73" w:name="_Toc12234"/>
      <w:bookmarkStart w:id="74" w:name="_Toc134287862"/>
      <w:bookmarkStart w:id="75" w:name="_Toc15837"/>
      <w:r>
        <w:rPr>
          <w:rFonts w:hint="eastAsia" w:ascii="仿宋_GB2312" w:hAnsi="仿宋_GB2312" w:eastAsia="仿宋_GB2312" w:cs="仿宋_GB2312"/>
          <w:b/>
          <w:kern w:val="0"/>
          <w:sz w:val="32"/>
          <w:szCs w:val="32"/>
        </w:rPr>
        <w:t>3.申报条件</w:t>
      </w:r>
      <w:bookmarkEnd w:id="70"/>
      <w:bookmarkEnd w:id="71"/>
      <w:bookmarkEnd w:id="72"/>
      <w:bookmarkEnd w:id="73"/>
      <w:bookmarkEnd w:id="74"/>
      <w:bookmarkEnd w:id="75"/>
    </w:p>
    <w:p>
      <w:pPr>
        <w:pStyle w:val="21"/>
        <w:adjustRightInd/>
        <w:ind w:firstLine="640"/>
        <w:jc w:val="left"/>
      </w:pPr>
      <w:r>
        <w:rPr>
          <w:rFonts w:hint="eastAsia"/>
        </w:rPr>
        <w:t>（1）项目扶持分为组建和提升两个阶段，申报提升项目的，其组建市级工程研究中心（工程实验室）项目须已于本申报指南发布前获得通过验收的正式通知。应在资金申请报告附件中增加其组建项目的批复和验收文件。</w:t>
      </w:r>
    </w:p>
    <w:p>
      <w:pPr>
        <w:pStyle w:val="21"/>
        <w:shd w:val="clear" w:color="auto" w:fill="FFFFFF"/>
        <w:ind w:firstLine="640"/>
        <w:jc w:val="left"/>
      </w:pPr>
      <w:r>
        <w:rPr>
          <w:rFonts w:hint="eastAsia"/>
        </w:rPr>
        <w:t>（2）项目单位应拥有较强的技术开发和项目实施能力，经营管理状况良好。事业单位、社会团体和民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21"/>
        <w:adjustRightInd/>
        <w:ind w:firstLine="640"/>
        <w:jc w:val="left"/>
      </w:pPr>
      <w:r>
        <w:rPr>
          <w:rFonts w:hint="eastAsia"/>
        </w:rPr>
        <w:t>（3）项目单位上年度相关领域专项研发经费不低于1000万元或相关领域专项研发经费占销售收入比例不低于5%。</w:t>
      </w:r>
    </w:p>
    <w:p>
      <w:pPr>
        <w:pStyle w:val="21"/>
        <w:ind w:firstLine="64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21"/>
        <w:adjustRightInd/>
        <w:ind w:firstLine="640"/>
        <w:jc w:val="left"/>
      </w:pPr>
      <w:r>
        <w:rPr>
          <w:rFonts w:hint="eastAsia"/>
        </w:rPr>
        <w:t>（4）项目采用的自主技术成果（包括自主知识产权、消化吸收创新、国内外联合开发的技术等）具有先进性和良好的推广应用价值，拥有相关成果鉴定或权威机构出具的认证、技术检测报告等证明材料。</w:t>
      </w:r>
    </w:p>
    <w:p>
      <w:pPr>
        <w:pStyle w:val="21"/>
        <w:adjustRightInd/>
        <w:ind w:firstLine="640"/>
        <w:jc w:val="left"/>
      </w:pPr>
      <w:r>
        <w:rPr>
          <w:rFonts w:hint="eastAsia"/>
        </w:rPr>
        <w:t>（5）项目单位须具有相应的基础条件，总人数不少于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after="0" w:line="560" w:lineRule="exact"/>
        <w:ind w:firstLine="643" w:firstLineChars="200"/>
        <w:jc w:val="left"/>
        <w:outlineLvl w:val="1"/>
        <w:rPr>
          <w:rFonts w:ascii="楷体_GB2312" w:hAnsi="楷体_GB2312" w:eastAsia="楷体_GB2312" w:cs="楷体_GB2312"/>
          <w:b/>
          <w:kern w:val="0"/>
          <w:sz w:val="32"/>
          <w:szCs w:val="32"/>
        </w:rPr>
      </w:pPr>
      <w:bookmarkStart w:id="76" w:name="_Toc13841"/>
      <w:bookmarkStart w:id="77" w:name="_Toc13668"/>
      <w:bookmarkStart w:id="78" w:name="_Toc134287863"/>
      <w:bookmarkStart w:id="79" w:name="_Toc31180"/>
      <w:bookmarkStart w:id="80" w:name="_Toc13775"/>
      <w:r>
        <w:rPr>
          <w:rFonts w:hint="eastAsia" w:ascii="楷体_GB2312" w:hAnsi="楷体_GB2312" w:eastAsia="楷体_GB2312" w:cs="楷体_GB2312"/>
          <w:b/>
          <w:kern w:val="0"/>
          <w:sz w:val="32"/>
          <w:szCs w:val="32"/>
        </w:rPr>
        <w:t>（二）公共服务平台扶持计划</w:t>
      </w:r>
      <w:bookmarkEnd w:id="76"/>
      <w:bookmarkEnd w:id="77"/>
      <w:bookmarkEnd w:id="78"/>
      <w:bookmarkEnd w:id="79"/>
      <w:bookmarkEnd w:id="80"/>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81" w:name="_Toc134287864"/>
      <w:bookmarkStart w:id="82" w:name="_Toc1095"/>
      <w:bookmarkStart w:id="83" w:name="_Toc2781"/>
      <w:bookmarkStart w:id="84" w:name="_Toc11608"/>
      <w:bookmarkStart w:id="85" w:name="_Toc25286"/>
      <w:bookmarkStart w:id="86" w:name="_Toc25696"/>
      <w:r>
        <w:rPr>
          <w:rFonts w:hint="eastAsia" w:ascii="仿宋_GB2312" w:hAnsi="仿宋_GB2312" w:eastAsia="仿宋_GB2312" w:cs="仿宋_GB2312"/>
          <w:b/>
          <w:kern w:val="0"/>
          <w:sz w:val="32"/>
          <w:szCs w:val="32"/>
        </w:rPr>
        <w:t>1.支持领域</w:t>
      </w:r>
      <w:bookmarkEnd w:id="81"/>
    </w:p>
    <w:p>
      <w:pPr>
        <w:shd w:val="clear" w:color="auto" w:fill="FFFFFF"/>
        <w:spacing w:line="560" w:lineRule="exact"/>
        <w:ind w:firstLine="640" w:firstLineChars="200"/>
        <w:jc w:val="left"/>
        <w:rPr>
          <w:rFonts w:ascii="仿宋_GB2312" w:hAnsi="仿宋_GB2312" w:eastAsia="仿宋_GB2312" w:cs="仿宋_GB2312"/>
          <w:bCs/>
          <w:color w:val="000000"/>
          <w:kern w:val="0"/>
          <w:sz w:val="32"/>
          <w:szCs w:val="32"/>
        </w:rPr>
      </w:pPr>
      <w:bookmarkStart w:id="87" w:name="_Toc3722"/>
      <w:bookmarkStart w:id="88" w:name="_Toc12714"/>
      <w:bookmarkStart w:id="89" w:name="_Toc23346"/>
      <w:bookmarkStart w:id="90" w:name="_Toc28187"/>
      <w:r>
        <w:rPr>
          <w:rFonts w:hint="eastAsia" w:ascii="仿宋_GB2312" w:hAnsi="仿宋_GB2312" w:eastAsia="仿宋_GB2312" w:cs="仿宋_GB2312"/>
          <w:bCs/>
          <w:color w:val="000000"/>
          <w:kern w:val="0"/>
          <w:sz w:val="32"/>
          <w:szCs w:val="32"/>
        </w:rPr>
        <w:t>（1）储能共性技术研发公共服务平台</w:t>
      </w:r>
      <w:bookmarkEnd w:id="87"/>
      <w:bookmarkEnd w:id="88"/>
      <w:bookmarkEnd w:id="89"/>
      <w:bookmarkEnd w:id="90"/>
    </w:p>
    <w:p>
      <w:pPr>
        <w:shd w:val="clear" w:color="auto" w:fill="FFFFFF"/>
        <w:spacing w:line="560" w:lineRule="exact"/>
        <w:ind w:firstLine="640" w:firstLineChars="200"/>
        <w:jc w:val="left"/>
        <w:rPr>
          <w:rFonts w:ascii="仿宋_GB2312" w:hAnsi="楷体_GB2312" w:eastAsia="仿宋_GB2312" w:cs="楷体_GB2312"/>
          <w:kern w:val="0"/>
          <w:sz w:val="32"/>
          <w:szCs w:val="32"/>
        </w:rPr>
      </w:pPr>
      <w:r>
        <w:rPr>
          <w:rFonts w:hint="eastAsia" w:ascii="仿宋_GB2312" w:hAnsi="楷体_GB2312" w:eastAsia="仿宋_GB2312" w:cs="楷体_GB2312"/>
          <w:kern w:val="0"/>
          <w:sz w:val="32"/>
          <w:szCs w:val="32"/>
        </w:rPr>
        <w:t>面向高性能锂电技术、新一代电池技术、储能安全管理和智慧调控技术搭建技术研发公共服务平台，满足产业链企业电池开发小试实验生产线需求。</w:t>
      </w:r>
    </w:p>
    <w:p>
      <w:pPr>
        <w:shd w:val="clear" w:color="auto" w:fill="FFFFFF"/>
        <w:spacing w:line="560" w:lineRule="exact"/>
        <w:ind w:firstLine="640" w:firstLineChars="200"/>
        <w:jc w:val="left"/>
        <w:rPr>
          <w:rFonts w:ascii="仿宋_GB2312" w:hAnsi="仿宋_GB2312" w:eastAsia="仿宋_GB2312" w:cs="仿宋_GB2312"/>
          <w:bCs/>
          <w:color w:val="000000"/>
          <w:kern w:val="0"/>
          <w:sz w:val="32"/>
          <w:szCs w:val="32"/>
        </w:rPr>
      </w:pPr>
      <w:bookmarkStart w:id="91" w:name="_Toc14152"/>
      <w:bookmarkStart w:id="92" w:name="_Toc9531"/>
      <w:bookmarkStart w:id="93" w:name="_Toc9213"/>
      <w:bookmarkStart w:id="94" w:name="_Toc26337"/>
      <w:bookmarkStart w:id="95" w:name="_Toc16187"/>
      <w:r>
        <w:rPr>
          <w:rFonts w:hint="eastAsia" w:ascii="仿宋_GB2312" w:hAnsi="仿宋_GB2312" w:eastAsia="仿宋_GB2312" w:cs="仿宋_GB2312"/>
          <w:bCs/>
          <w:color w:val="000000"/>
          <w:kern w:val="0"/>
          <w:sz w:val="32"/>
          <w:szCs w:val="32"/>
        </w:rPr>
        <w:t>（2）储能产品检验检测公共服务平台</w:t>
      </w:r>
      <w:bookmarkEnd w:id="91"/>
      <w:bookmarkEnd w:id="92"/>
      <w:bookmarkEnd w:id="93"/>
      <w:bookmarkEnd w:id="94"/>
      <w:bookmarkEnd w:id="95"/>
    </w:p>
    <w:p>
      <w:pPr>
        <w:shd w:val="clear" w:color="auto" w:fill="FFFFFF"/>
        <w:spacing w:line="560" w:lineRule="exact"/>
        <w:ind w:firstLine="640" w:firstLineChars="200"/>
        <w:jc w:val="left"/>
        <w:rPr>
          <w:rFonts w:ascii="楷体_GB2312" w:hAnsi="楷体_GB2312" w:eastAsia="楷体_GB2312" w:cs="楷体_GB2312"/>
          <w:kern w:val="0"/>
          <w:sz w:val="32"/>
          <w:szCs w:val="32"/>
        </w:rPr>
      </w:pPr>
      <w:r>
        <w:rPr>
          <w:rFonts w:hint="eastAsia" w:ascii="仿宋_GB2312" w:hAnsi="楷体_GB2312" w:eastAsia="仿宋_GB2312" w:cs="楷体_GB2312"/>
          <w:kern w:val="0"/>
          <w:sz w:val="32"/>
          <w:szCs w:val="32"/>
        </w:rPr>
        <w:t>针对关键材料理化性能、电化学性能，电芯模组设计制作、安全性能，电池结构失效与热失效等核心性能提供检测验证能力，提供检测结果国际互认级的检测检验认证服务，满足储能全产业链技术检测检验和开发验证需求。</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96" w:name="_Toc134287865"/>
      <w:r>
        <w:rPr>
          <w:rFonts w:hint="eastAsia" w:ascii="仿宋_GB2312" w:hAnsi="仿宋_GB2312" w:eastAsia="仿宋_GB2312" w:cs="仿宋_GB2312"/>
          <w:b/>
          <w:kern w:val="0"/>
          <w:sz w:val="32"/>
          <w:szCs w:val="32"/>
        </w:rPr>
        <w:t>2.扶持方式及资助标准</w:t>
      </w:r>
      <w:bookmarkEnd w:id="82"/>
      <w:bookmarkEnd w:id="83"/>
      <w:bookmarkEnd w:id="84"/>
      <w:bookmarkEnd w:id="85"/>
      <w:bookmarkEnd w:id="86"/>
      <w:bookmarkEnd w:id="96"/>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公共服务平台组建项目：综合评审得分60分以上（含60分）的，择优按经评审核定的项目总投资的40%给予资助，最终资助金额以实际完成投资额和资助比例确定，最高不超过500万元。资助资金须全部用于项目建设投资。</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97" w:name="_Toc5653"/>
      <w:bookmarkStart w:id="98" w:name="_Toc4468"/>
      <w:bookmarkStart w:id="99" w:name="_Toc1693"/>
      <w:bookmarkStart w:id="100" w:name="_Toc134287866"/>
      <w:bookmarkStart w:id="101" w:name="_Toc11762"/>
      <w:bookmarkStart w:id="102" w:name="_Toc181"/>
      <w:r>
        <w:rPr>
          <w:rFonts w:hint="eastAsia" w:ascii="仿宋_GB2312" w:hAnsi="仿宋_GB2312" w:eastAsia="仿宋_GB2312" w:cs="仿宋_GB2312"/>
          <w:b/>
          <w:kern w:val="0"/>
          <w:sz w:val="32"/>
          <w:szCs w:val="32"/>
        </w:rPr>
        <w:t>3.申报条件</w:t>
      </w:r>
      <w:bookmarkEnd w:id="97"/>
      <w:bookmarkEnd w:id="98"/>
      <w:bookmarkEnd w:id="99"/>
      <w:bookmarkEnd w:id="100"/>
      <w:bookmarkEnd w:id="101"/>
      <w:bookmarkEnd w:id="102"/>
    </w:p>
    <w:p>
      <w:pPr>
        <w:shd w:val="clear" w:color="auto" w:fill="FFFFFF"/>
        <w:spacing w:line="560" w:lineRule="exact"/>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（1）项目扶持分为组建和提升两个阶段，申报提升项目的，其组建市级公共服务平台项目须已于本申报指南发布前获得通过验收的正式通知。应在资金申请报告附件中增加其组建项目的批复和验收文件。</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（2）项目单位</w:t>
      </w:r>
      <w:r>
        <w:rPr>
          <w:rFonts w:hint="eastAsia" w:ascii="仿宋_GB2312" w:hAnsi="仿宋_GB2312" w:eastAsia="仿宋_GB2312" w:cs="仿宋_GB2312"/>
          <w:kern w:val="0"/>
          <w:sz w:val="32"/>
          <w:szCs w:val="32"/>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color w:val="000000"/>
          <w:sz w:val="32"/>
          <w:szCs w:val="32"/>
        </w:rPr>
        <w:t>项目总投资不低于500万元，项目单位上年度相关领域研发经费不低于500万元或相关领域研发经费占销售收入比例不低于5%。</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①对外提供技术验证、质量检测、安全评估等开放性技术与信息支持服务，实现信息、数据、仪器设备等创新资源共享。</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②建立、完善社会公共资源共享开放机制。</w:t>
      </w:r>
    </w:p>
    <w:p>
      <w:pPr>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③平台建成运行后，可以通过开放性服务收入维持日常运行。</w:t>
      </w:r>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after="0" w:line="560" w:lineRule="exact"/>
        <w:ind w:firstLine="643" w:firstLineChars="200"/>
        <w:jc w:val="left"/>
        <w:outlineLvl w:val="1"/>
        <w:rPr>
          <w:rFonts w:ascii="楷体_GB2312" w:hAnsi="楷体_GB2312" w:eastAsia="楷体_GB2312" w:cs="楷体_GB2312"/>
          <w:b/>
          <w:kern w:val="0"/>
          <w:sz w:val="32"/>
          <w:szCs w:val="32"/>
        </w:rPr>
      </w:pPr>
      <w:bookmarkStart w:id="103" w:name="_Toc1363"/>
      <w:bookmarkStart w:id="104" w:name="_Toc30488"/>
      <w:bookmarkStart w:id="105" w:name="_Toc5580"/>
      <w:bookmarkStart w:id="106" w:name="_Toc134287867"/>
      <w:bookmarkStart w:id="107" w:name="_Toc21947"/>
      <w:r>
        <w:rPr>
          <w:rFonts w:hint="eastAsia" w:ascii="楷体_GB2312" w:hAnsi="楷体_GB2312" w:eastAsia="楷体_GB2312" w:cs="楷体_GB2312"/>
          <w:b/>
          <w:kern w:val="0"/>
          <w:sz w:val="32"/>
          <w:szCs w:val="32"/>
        </w:rPr>
        <w:t>（三）产业化事后补助扶持计划</w:t>
      </w:r>
      <w:bookmarkEnd w:id="103"/>
      <w:bookmarkEnd w:id="104"/>
      <w:bookmarkEnd w:id="105"/>
      <w:bookmarkEnd w:id="106"/>
      <w:bookmarkEnd w:id="107"/>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108" w:name="_Toc134287868"/>
      <w:bookmarkStart w:id="109" w:name="_Toc21251"/>
      <w:bookmarkStart w:id="110" w:name="_Toc13041"/>
      <w:bookmarkStart w:id="111" w:name="_Toc14435"/>
      <w:bookmarkStart w:id="112" w:name="_Toc31206"/>
      <w:bookmarkStart w:id="113" w:name="_Toc15384"/>
      <w:r>
        <w:rPr>
          <w:rFonts w:hint="eastAsia" w:ascii="仿宋_GB2312" w:hAnsi="仿宋_GB2312" w:eastAsia="仿宋_GB2312" w:cs="仿宋_GB2312"/>
          <w:b/>
          <w:kern w:val="0"/>
          <w:sz w:val="32"/>
          <w:szCs w:val="32"/>
        </w:rPr>
        <w:t>1.支持领域</w:t>
      </w:r>
      <w:bookmarkEnd w:id="108"/>
    </w:p>
    <w:p>
      <w:pPr>
        <w:pStyle w:val="2"/>
        <w:spacing w:after="0"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支持锂离子电池、钠离子电池、镁离子电池、液流电池等先进电化学储能技术路线的原材料、元器件、工艺装备、电芯模组、电池管理系统（BMS）、能量管理系统（EMS）、变流器（PCS）、系统集成等储能领域。</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114" w:name="_Toc134287869"/>
      <w:bookmarkStart w:id="115" w:name="_Toc31074"/>
      <w:bookmarkStart w:id="116" w:name="_Toc20770"/>
      <w:bookmarkStart w:id="117" w:name="_Toc16093"/>
      <w:bookmarkStart w:id="118" w:name="_Toc26114"/>
      <w:bookmarkStart w:id="119" w:name="_Toc26488"/>
      <w:r>
        <w:rPr>
          <w:rFonts w:hint="eastAsia" w:ascii="仿宋_GB2312" w:hAnsi="仿宋_GB2312" w:eastAsia="仿宋_GB2312" w:cs="仿宋_GB2312"/>
          <w:b/>
          <w:kern w:val="0"/>
          <w:sz w:val="32"/>
          <w:szCs w:val="32"/>
        </w:rPr>
        <w:t>2.扶持方式及资助标准</w:t>
      </w:r>
      <w:bookmarkEnd w:id="114"/>
    </w:p>
    <w:p>
      <w:pPr>
        <w:numPr>
          <w:ilvl w:val="255"/>
          <w:numId w:val="0"/>
        </w:numPr>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项目单位须先自行投入资金组织实施项目，待项目通过验收后，按经专项审计核定项目总投资的20%给予事后资助，最终资助金额以实际完成投资额和资助比例确定，最高不超过1500万元。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shd w:val="clear" w:color="auto" w:fill="FFFFFF"/>
        <w:spacing w:line="560" w:lineRule="exact"/>
        <w:ind w:firstLine="643" w:firstLineChars="200"/>
        <w:jc w:val="left"/>
        <w:outlineLvl w:val="2"/>
        <w:rPr>
          <w:rFonts w:ascii="仿宋_GB2312" w:hAnsi="仿宋_GB2312" w:eastAsia="仿宋_GB2312" w:cs="仿宋_GB2312"/>
          <w:b/>
          <w:color w:val="000000"/>
          <w:kern w:val="0"/>
          <w:sz w:val="32"/>
          <w:szCs w:val="32"/>
        </w:rPr>
      </w:pPr>
      <w:bookmarkStart w:id="120" w:name="_Toc134287870"/>
      <w:bookmarkStart w:id="121" w:name="_Toc13950"/>
      <w:bookmarkStart w:id="122" w:name="_Toc3021"/>
      <w:bookmarkStart w:id="123" w:name="_Toc13188"/>
      <w:bookmarkStart w:id="124" w:name="_Toc19037"/>
      <w:bookmarkStart w:id="125" w:name="_Toc112"/>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20"/>
      <w:bookmarkEnd w:id="121"/>
      <w:bookmarkEnd w:id="122"/>
      <w:bookmarkEnd w:id="123"/>
      <w:bookmarkEnd w:id="124"/>
      <w:bookmarkEnd w:id="125"/>
    </w:p>
    <w:p>
      <w:pPr>
        <w:shd w:val="clear" w:color="auto" w:fill="FFFFFF"/>
        <w:spacing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rPr>
        <w:t>（1）</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（2）项目单位有较强的技术开发、资金筹措、项目实施能力，以及较好的资信等级，资产负债率在合理范围内，经营管理状况良好，具有开展相关项目产业化的生产、经营资格和实施条件。</w:t>
      </w:r>
    </w:p>
    <w:p>
      <w:pPr>
        <w:spacing w:line="560" w:lineRule="exact"/>
        <w:ind w:firstLine="640" w:firstLineChars="200"/>
        <w:jc w:val="left"/>
        <w:rPr>
          <w:rFonts w:ascii="仿宋_GB2312" w:hAnsi="Arial" w:eastAsia="仿宋_GB2312" w:cs="Arial"/>
          <w:color w:val="000000"/>
          <w:kern w:val="0"/>
          <w:sz w:val="32"/>
          <w:szCs w:val="32"/>
        </w:rPr>
      </w:pPr>
      <w:r>
        <w:rPr>
          <w:rFonts w:hint="eastAsia" w:ascii="仿宋_GB2312" w:eastAsia="仿宋_GB2312"/>
          <w:color w:val="000000"/>
          <w:sz w:val="32"/>
          <w:szCs w:val="32"/>
        </w:rPr>
        <w:t>（3）项目总投资不低于1500万元，</w:t>
      </w:r>
      <w:r>
        <w:rPr>
          <w:rFonts w:hint="eastAsia" w:ascii="仿宋_GB2312" w:hAnsi="Arial" w:eastAsia="仿宋_GB2312" w:cs="Arial"/>
          <w:color w:val="000000"/>
          <w:kern w:val="0"/>
          <w:sz w:val="32"/>
          <w:szCs w:val="32"/>
        </w:rPr>
        <w:t>应有新增固定资产投资（土建工程、新购置设备等）。</w:t>
      </w:r>
    </w:p>
    <w:p>
      <w:pPr>
        <w:spacing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line="560" w:lineRule="exact"/>
        <w:ind w:firstLine="643" w:firstLineChars="200"/>
        <w:outlineLvl w:val="1"/>
        <w:rPr>
          <w:rFonts w:ascii="楷体_GB2312" w:hAnsi="楷体_GB2312" w:eastAsia="楷体_GB2312" w:cs="楷体_GB2312"/>
          <w:b/>
          <w:bCs/>
          <w:sz w:val="32"/>
          <w:szCs w:val="32"/>
        </w:rPr>
      </w:pPr>
      <w:bookmarkStart w:id="126" w:name="_Toc134287871"/>
      <w:r>
        <w:rPr>
          <w:rFonts w:hint="eastAsia" w:ascii="楷体_GB2312" w:hAnsi="楷体_GB2312" w:eastAsia="楷体_GB2312" w:cs="楷体_GB2312"/>
          <w:b/>
          <w:kern w:val="0"/>
          <w:sz w:val="32"/>
          <w:szCs w:val="32"/>
        </w:rPr>
        <w:t>（四）</w:t>
      </w:r>
      <w:r>
        <w:rPr>
          <w:rFonts w:hint="eastAsia" w:ascii="楷体_GB2312" w:hAnsi="楷体_GB2312" w:eastAsia="楷体_GB2312" w:cs="楷体_GB2312"/>
          <w:b/>
          <w:bCs/>
          <w:sz w:val="32"/>
          <w:szCs w:val="32"/>
        </w:rPr>
        <w:t>新产品新技术示范应用推广扶持计划</w:t>
      </w:r>
      <w:bookmarkEnd w:id="126"/>
    </w:p>
    <w:p>
      <w:pPr>
        <w:spacing w:line="560" w:lineRule="exact"/>
        <w:ind w:firstLine="851" w:firstLineChars="265"/>
        <w:outlineLvl w:val="1"/>
        <w:rPr>
          <w:rFonts w:ascii="仿宋_GB2312" w:hAnsi="仿宋_GB2312" w:eastAsia="仿宋_GB2312" w:cs="仿宋_GB2312"/>
          <w:b/>
          <w:kern w:val="0"/>
          <w:sz w:val="32"/>
          <w:szCs w:val="32"/>
        </w:rPr>
      </w:pPr>
      <w:bookmarkStart w:id="127" w:name="_Toc134287872"/>
      <w:r>
        <w:rPr>
          <w:rFonts w:hint="eastAsia" w:ascii="楷体_GB2312" w:hAnsi="楷体_GB2312" w:eastAsia="楷体_GB2312" w:cs="楷体_GB2312"/>
          <w:b/>
          <w:kern w:val="0"/>
          <w:sz w:val="32"/>
          <w:szCs w:val="32"/>
        </w:rPr>
        <w:t>1.</w:t>
      </w:r>
      <w:r>
        <w:rPr>
          <w:rFonts w:hint="eastAsia" w:ascii="仿宋_GB2312" w:hAnsi="仿宋_GB2312" w:eastAsia="仿宋_GB2312" w:cs="仿宋_GB2312"/>
          <w:b/>
          <w:kern w:val="0"/>
          <w:sz w:val="32"/>
          <w:szCs w:val="32"/>
        </w:rPr>
        <w:t>支持领域</w:t>
      </w:r>
      <w:bookmarkEnd w:id="127"/>
    </w:p>
    <w:p>
      <w:pPr>
        <w:pStyle w:val="21"/>
        <w:ind w:firstLine="643"/>
        <w:jc w:val="left"/>
        <w:rPr>
          <w:bCs/>
        </w:rPr>
      </w:pPr>
      <w:r>
        <w:rPr>
          <w:rFonts w:hint="eastAsia"/>
          <w:b/>
          <w:bCs/>
        </w:rPr>
        <w:t>（1）</w:t>
      </w:r>
      <w:r>
        <w:rPr>
          <w:b/>
          <w:bCs/>
        </w:rPr>
        <w:t>工业园区</w:t>
      </w:r>
      <w:r>
        <w:rPr>
          <w:rFonts w:hint="eastAsia"/>
          <w:b/>
          <w:bCs/>
        </w:rPr>
        <w:t>储能</w:t>
      </w:r>
      <w:r>
        <w:rPr>
          <w:rFonts w:hint="eastAsia"/>
        </w:rPr>
        <w:t>。主要包括</w:t>
      </w:r>
      <w:r>
        <w:t>已建设且并网投运的锂离子电池、钠离子电池、液流等先进电化学储能</w:t>
      </w:r>
      <w:r>
        <w:rPr>
          <w:bCs/>
        </w:rPr>
        <w:t>项目。</w:t>
      </w:r>
    </w:p>
    <w:p>
      <w:pPr>
        <w:pStyle w:val="21"/>
        <w:ind w:firstLine="643"/>
      </w:pPr>
      <w:r>
        <w:rPr>
          <w:rFonts w:hint="eastAsia"/>
          <w:b/>
          <w:bCs/>
        </w:rPr>
        <w:t>指标要求：</w:t>
      </w:r>
      <w:r>
        <w:rPr>
          <w:rFonts w:hint="eastAsia"/>
          <w:bCs/>
        </w:rPr>
        <w:t>（</w:t>
      </w:r>
      <w:r>
        <w:rPr>
          <w:bCs/>
        </w:rPr>
        <w:t>1）项目实施地点在深圳市（含深汕合作区）。</w:t>
      </w:r>
      <w:r>
        <w:rPr>
          <w:rFonts w:hint="eastAsia"/>
        </w:rPr>
        <w:t>（2）项目在申报通知发布后一年内完成并网投运。（3）项目实际投入不低于100</w:t>
      </w:r>
      <w:r>
        <w:t>0</w:t>
      </w:r>
      <w:r>
        <w:rPr>
          <w:rFonts w:hint="eastAsia"/>
        </w:rPr>
        <w:t>万元。（4）项目采用的储能系统应达到先进水平，单体电芯容量不低于280安时，循环寿命≥5000次且容量保持率≥80%；（</w:t>
      </w:r>
      <w:r>
        <w:t>5</w:t>
      </w:r>
      <w:r>
        <w:rPr>
          <w:rFonts w:hint="eastAsia"/>
        </w:rPr>
        <w:t>）需具备完善的电芯级、模组级、电池簇级和系统级的四级主、被动安全设计；（6）需具备电池簇级自动均衡、故障定位与隔离和SOC智能运、维设计；（7）储能变流器需采用模块化设计，支持模块化更换；（8）借助大数据、云计算等数字化技术，能够实现储能安全状态感知、诊断和预警。（9）项目放电量不少于1000</w:t>
      </w:r>
      <w:r>
        <w:t>度</w:t>
      </w:r>
      <w:r>
        <w:rPr>
          <w:rFonts w:hint="eastAsia"/>
        </w:rPr>
        <w:t>，具备较好的示范意义。</w:t>
      </w:r>
    </w:p>
    <w:p>
      <w:pPr>
        <w:pStyle w:val="21"/>
        <w:ind w:firstLine="643"/>
      </w:pPr>
      <w:r>
        <w:rPr>
          <w:rFonts w:hint="eastAsia" w:hAnsi="Arial" w:cs="Arial"/>
          <w:b/>
          <w:bCs/>
        </w:rPr>
        <w:t>（2）光储充领域。</w:t>
      </w:r>
      <w:r>
        <w:rPr>
          <w:rFonts w:hint="eastAsia"/>
        </w:rPr>
        <w:t xml:space="preserve">搭建集光伏发电、储能、电动汽车充电、车网互动等特性于一身的新型综合能源利用系统，研究光储充放一体化微电网关键技术，构建以新能源为主体的新型电力系统。 </w:t>
      </w:r>
    </w:p>
    <w:p>
      <w:pPr>
        <w:pStyle w:val="21"/>
        <w:ind w:firstLine="643"/>
      </w:pPr>
      <w:r>
        <w:rPr>
          <w:rFonts w:hint="eastAsia"/>
          <w:b/>
          <w:bCs/>
        </w:rPr>
        <w:t>指标要求：</w:t>
      </w:r>
      <w:r>
        <w:rPr>
          <w:rFonts w:hint="eastAsia"/>
        </w:rPr>
        <w:t>（</w:t>
      </w:r>
      <w:r>
        <w:t>1）项目实施地点在深圳市（含深</w:t>
      </w:r>
      <w:r>
        <w:rPr>
          <w:rFonts w:hint="eastAsia"/>
        </w:rPr>
        <w:t>汕特别合作区）。（</w:t>
      </w:r>
      <w:r>
        <w:t>2）项目在</w:t>
      </w:r>
      <w:r>
        <w:rPr>
          <w:rFonts w:hint="eastAsia"/>
        </w:rPr>
        <w:t>申报通知发布后一年内</w:t>
      </w:r>
      <w:r>
        <w:t>之后完成并网投运。</w:t>
      </w:r>
      <w:r>
        <w:rPr>
          <w:rFonts w:hint="eastAsia"/>
        </w:rPr>
        <w:t>（</w:t>
      </w:r>
      <w:r>
        <w:t>3</w:t>
      </w:r>
      <w:r>
        <w:rPr>
          <w:rFonts w:hint="eastAsia"/>
        </w:rPr>
        <w:t>）项目总投资不低于</w:t>
      </w:r>
      <w:r>
        <w:t>3000万元。</w:t>
      </w:r>
      <w:r>
        <w:rPr>
          <w:rFonts w:hint="eastAsia"/>
        </w:rPr>
        <w:t>（</w:t>
      </w:r>
      <w:r>
        <w:t>4</w:t>
      </w:r>
      <w:r>
        <w:rPr>
          <w:rFonts w:hint="eastAsia"/>
        </w:rPr>
        <w:t>）开发三电平模块化</w:t>
      </w:r>
      <w:r>
        <w:t>PCS（储能双向逆变器）支持并网和孤岛两种运行模式，支持无功补偿，单模块容量≥50kw，支持无缝扩容，超宽直流电压 200-800V，最大效率97%，切换时间≤10ms，THDi</w:t>
      </w:r>
      <w:r>
        <w:rPr>
          <w:rFonts w:hint="eastAsia"/>
        </w:rPr>
        <w:t>≤</w:t>
      </w:r>
      <w:r>
        <w:t>3%（5</w:t>
      </w:r>
      <w:r>
        <w:rPr>
          <w:rFonts w:hint="eastAsia"/>
        </w:rPr>
        <w:t>）开发超高效和超宽范围的充电模块，峰值效率≥</w:t>
      </w:r>
      <w:r>
        <w:t>95%，输出电压范围50-1000V，恒功率范围300-1000V，300V以下电流不回缩.</w:t>
      </w:r>
      <w:r>
        <w:rPr>
          <w:rFonts w:hint="eastAsia"/>
        </w:rPr>
        <w:t>（</w:t>
      </w:r>
      <w:r>
        <w:t>6</w:t>
      </w:r>
      <w:r>
        <w:rPr>
          <w:rFonts w:hint="eastAsia"/>
        </w:rPr>
        <w:t>）开发能量管理系统</w:t>
      </w:r>
      <w:r>
        <w:t>EMS，可实现数据采集与监视、储能系统的运行控制和响应电网调度、储能系统状态评估、安全分析、配电自动化与管理。系统可靠性高，系统平均故障间隔时间（MTBF）≥20000h，且控制操作正确率≥99.99%；命令传送时间小于1</w:t>
      </w:r>
      <w:r>
        <w:rPr>
          <w:rFonts w:hint="eastAsia"/>
        </w:rPr>
        <w:t>秒；系统资源容量要求模拟量≥</w:t>
      </w:r>
      <w:r>
        <w:t>8000</w:t>
      </w:r>
      <w:r>
        <w:rPr>
          <w:rFonts w:hint="eastAsia"/>
        </w:rPr>
        <w:t>点，状态量≥</w:t>
      </w:r>
      <w:r>
        <w:t>10000</w:t>
      </w:r>
      <w:r>
        <w:rPr>
          <w:rFonts w:hint="eastAsia"/>
        </w:rPr>
        <w:t>点，遥控≥</w:t>
      </w:r>
      <w:r>
        <w:t>500</w:t>
      </w:r>
      <w:r>
        <w:rPr>
          <w:rFonts w:hint="eastAsia"/>
        </w:rPr>
        <w:t>点。系统模拟量测量中，电流、电压的测量相对误差≤</w:t>
      </w:r>
      <w:r>
        <w:t>0.2%，有功、无功的测量测量相对误差≤0.5%，电网频率测量误差≤0.01Hz</w:t>
      </w:r>
      <w:r>
        <w:rPr>
          <w:rFonts w:hint="eastAsia"/>
        </w:rPr>
        <w:t>。（</w:t>
      </w:r>
      <w:r>
        <w:t>7</w:t>
      </w:r>
      <w:r>
        <w:rPr>
          <w:rFonts w:hint="eastAsia"/>
        </w:rPr>
        <w:t>）形成整体解决方案，支持相关行业标准的制订和修订。（</w:t>
      </w:r>
      <w:r>
        <w:t>8</w:t>
      </w:r>
      <w:r>
        <w:rPr>
          <w:rFonts w:hint="eastAsia"/>
        </w:rPr>
        <w:t>）项目放电量不少于1000</w:t>
      </w:r>
      <w:r>
        <w:t>度，具备较好的示范意义。</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128" w:name="_Toc134287873"/>
      <w:bookmarkStart w:id="129" w:name="_Toc8682"/>
      <w:bookmarkStart w:id="130" w:name="_Toc29894"/>
      <w:bookmarkStart w:id="131" w:name="_Toc32632"/>
      <w:bookmarkStart w:id="132" w:name="_Toc29086"/>
      <w:bookmarkStart w:id="133" w:name="_Toc5326"/>
      <w:r>
        <w:rPr>
          <w:rFonts w:hint="eastAsia" w:ascii="仿宋_GB2312" w:hAnsi="仿宋_GB2312" w:eastAsia="仿宋_GB2312" w:cs="仿宋_GB2312"/>
          <w:b/>
          <w:kern w:val="0"/>
          <w:sz w:val="32"/>
          <w:szCs w:val="32"/>
        </w:rPr>
        <w:t>2.扶持方式及资助标准</w:t>
      </w:r>
      <w:bookmarkEnd w:id="128"/>
      <w:bookmarkEnd w:id="129"/>
      <w:bookmarkEnd w:id="130"/>
      <w:bookmarkEnd w:id="131"/>
      <w:bookmarkEnd w:id="132"/>
      <w:bookmarkEnd w:id="133"/>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w:t>
      </w:r>
      <w:r>
        <w:rPr>
          <w:rFonts w:hint="eastAsia" w:ascii="仿宋_GB2312" w:hAnsi="仿宋_GB2312" w:eastAsia="仿宋_GB2312"/>
          <w:color w:val="000000"/>
          <w:sz w:val="32"/>
          <w:szCs w:val="32"/>
        </w:rPr>
        <w:t>，按经专项审计核定项目总投资的</w:t>
      </w:r>
      <w:r>
        <w:rPr>
          <w:rFonts w:ascii="仿宋_GB2312" w:hAnsi="仿宋_GB2312" w:eastAsia="仿宋_GB2312"/>
          <w:sz w:val="32"/>
          <w:szCs w:val="32"/>
        </w:rPr>
        <w:t>30%</w:t>
      </w:r>
      <w:r>
        <w:rPr>
          <w:rFonts w:hint="eastAsia" w:ascii="仿宋_GB2312" w:hAnsi="仿宋_GB2312" w:eastAsia="仿宋_GB2312"/>
          <w:sz w:val="32"/>
          <w:szCs w:val="32"/>
        </w:rPr>
        <w:t>给予事后资助，</w:t>
      </w:r>
      <w:r>
        <w:rPr>
          <w:rFonts w:hint="eastAsia" w:ascii="仿宋_GB2312" w:hAnsi="仿宋_GB2312" w:eastAsia="仿宋_GB2312"/>
          <w:color w:val="000000"/>
          <w:sz w:val="32"/>
          <w:szCs w:val="32"/>
        </w:rPr>
        <w:t>最终资助金额以实际完成投资额和资助比例确定，最高不超过1000万元。</w:t>
      </w:r>
    </w:p>
    <w:p>
      <w:pPr>
        <w:shd w:val="clear" w:color="auto" w:fill="FFFFFF"/>
        <w:spacing w:line="560" w:lineRule="exact"/>
        <w:ind w:firstLine="643" w:firstLineChars="200"/>
        <w:jc w:val="left"/>
        <w:outlineLvl w:val="2"/>
        <w:rPr>
          <w:rFonts w:ascii="楷体_GB2312" w:hAnsi="楷体_GB2312" w:eastAsia="楷体_GB2312" w:cs="楷体_GB2312"/>
          <w:b/>
          <w:color w:val="000000"/>
          <w:kern w:val="0"/>
          <w:sz w:val="32"/>
          <w:szCs w:val="32"/>
        </w:rPr>
      </w:pPr>
      <w:bookmarkStart w:id="134" w:name="_Toc13005"/>
      <w:bookmarkStart w:id="135" w:name="_Toc23005"/>
      <w:bookmarkStart w:id="136" w:name="_Toc134287874"/>
      <w:bookmarkStart w:id="137" w:name="_Toc20977"/>
      <w:bookmarkStart w:id="138" w:name="_Toc19256"/>
      <w:bookmarkStart w:id="139" w:name="_Toc23323"/>
      <w:r>
        <w:rPr>
          <w:rFonts w:hint="eastAsia" w:ascii="楷体_GB2312" w:hAnsi="楷体_GB2312" w:eastAsia="楷体_GB2312" w:cs="楷体_GB2312"/>
          <w:b/>
          <w:color w:val="000000"/>
          <w:kern w:val="0"/>
          <w:sz w:val="32"/>
          <w:szCs w:val="32"/>
        </w:rPr>
        <w:t>3.</w:t>
      </w:r>
      <w:r>
        <w:rPr>
          <w:rFonts w:hint="eastAsia" w:ascii="仿宋_GB2312" w:hAnsi="仿宋_GB2312" w:eastAsia="仿宋_GB2312" w:cs="仿宋_GB2312"/>
          <w:b/>
          <w:kern w:val="0"/>
          <w:sz w:val="32"/>
          <w:szCs w:val="32"/>
        </w:rPr>
        <w:t>申报条件</w:t>
      </w:r>
      <w:bookmarkEnd w:id="134"/>
      <w:bookmarkEnd w:id="135"/>
      <w:bookmarkEnd w:id="136"/>
      <w:bookmarkEnd w:id="137"/>
      <w:bookmarkEnd w:id="138"/>
      <w:bookmarkEnd w:id="139"/>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宋体" w:eastAsia="仿宋_GB2312" w:cs="宋体"/>
          <w:color w:val="000000"/>
          <w:sz w:val="32"/>
          <w:szCs w:val="32"/>
        </w:rPr>
        <w:t>项目单位</w:t>
      </w:r>
      <w:r>
        <w:rPr>
          <w:rFonts w:hint="eastAsia" w:ascii="仿宋_GB2312" w:hAnsi="仿宋_GB2312" w:eastAsia="仿宋_GB2312"/>
          <w:sz w:val="32"/>
          <w:szCs w:val="32"/>
        </w:rPr>
        <w:t>应拥有较强的技术开发和项目实施能力，经营管理状况良好。事业单位、社会团体和民办非企业应拥有专业化的技术及管理团队，财务制度健全，具有较高水平的研发成果和技术储备。</w:t>
      </w:r>
    </w:p>
    <w:p>
      <w:pPr>
        <w:spacing w:line="560" w:lineRule="exact"/>
        <w:ind w:firstLine="643" w:firstLineChars="200"/>
        <w:outlineLvl w:val="1"/>
        <w:rPr>
          <w:rFonts w:ascii="楷体_GB2312" w:hAnsi="楷体_GB2312" w:eastAsia="楷体_GB2312" w:cs="楷体_GB2312"/>
          <w:b/>
          <w:bCs/>
          <w:sz w:val="32"/>
          <w:szCs w:val="32"/>
        </w:rPr>
      </w:pPr>
      <w:bookmarkStart w:id="140" w:name="_Toc134287875"/>
      <w:bookmarkStart w:id="141" w:name="_Hlk134286941"/>
      <w:r>
        <w:rPr>
          <w:rFonts w:hint="eastAsia" w:ascii="楷体_GB2312" w:hAnsi="楷体_GB2312" w:eastAsia="楷体_GB2312" w:cs="楷体_GB2312"/>
          <w:b/>
          <w:kern w:val="0"/>
          <w:sz w:val="32"/>
          <w:szCs w:val="32"/>
        </w:rPr>
        <w:t>（五）</w:t>
      </w:r>
      <w:bookmarkEnd w:id="115"/>
      <w:bookmarkEnd w:id="116"/>
      <w:bookmarkEnd w:id="117"/>
      <w:bookmarkEnd w:id="118"/>
      <w:bookmarkEnd w:id="119"/>
      <w:bookmarkStart w:id="142" w:name="_Toc398"/>
      <w:bookmarkStart w:id="143" w:name="_Toc12150"/>
      <w:bookmarkStart w:id="144" w:name="_Toc2987"/>
      <w:bookmarkStart w:id="145" w:name="_Toc1020"/>
      <w:r>
        <w:rPr>
          <w:rFonts w:hint="eastAsia" w:ascii="楷体_GB2312" w:hAnsi="楷体_GB2312" w:eastAsia="楷体_GB2312" w:cs="楷体_GB2312"/>
          <w:b/>
          <w:bCs/>
          <w:sz w:val="32"/>
          <w:szCs w:val="32"/>
        </w:rPr>
        <w:t>国家项目配套扶持计划</w:t>
      </w:r>
      <w:bookmarkEnd w:id="140"/>
      <w:bookmarkEnd w:id="142"/>
      <w:bookmarkEnd w:id="143"/>
      <w:bookmarkEnd w:id="144"/>
      <w:bookmarkEnd w:id="145"/>
    </w:p>
    <w:bookmarkEnd w:id="141"/>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146" w:name="_Toc134287876"/>
      <w:bookmarkStart w:id="147" w:name="_Toc32761"/>
      <w:bookmarkStart w:id="148" w:name="_Toc11250"/>
      <w:bookmarkStart w:id="149" w:name="_Toc334"/>
      <w:bookmarkStart w:id="150" w:name="_Toc5286"/>
      <w:bookmarkStart w:id="151" w:name="_Toc2155"/>
      <w:r>
        <w:rPr>
          <w:rFonts w:hint="eastAsia" w:ascii="仿宋_GB2312" w:hAnsi="仿宋_GB2312" w:eastAsia="仿宋_GB2312" w:cs="仿宋_GB2312"/>
          <w:b/>
          <w:kern w:val="0"/>
          <w:sz w:val="32"/>
          <w:szCs w:val="32"/>
        </w:rPr>
        <w:t>1.</w:t>
      </w:r>
      <w:bookmarkStart w:id="152" w:name="_Hlk134286977"/>
      <w:r>
        <w:rPr>
          <w:rFonts w:hint="eastAsia" w:ascii="仿宋_GB2312" w:hAnsi="仿宋_GB2312" w:eastAsia="仿宋_GB2312" w:cs="仿宋_GB2312"/>
          <w:b/>
          <w:kern w:val="0"/>
          <w:sz w:val="32"/>
          <w:szCs w:val="32"/>
        </w:rPr>
        <w:t>支持领域</w:t>
      </w:r>
      <w:bookmarkEnd w:id="146"/>
      <w:bookmarkEnd w:id="152"/>
    </w:p>
    <w:p>
      <w:pPr>
        <w:pStyle w:val="21"/>
        <w:adjustRightInd/>
        <w:snapToGrid/>
        <w:ind w:firstLine="640"/>
      </w:pPr>
      <w:r>
        <w:rPr>
          <w:rFonts w:hint="eastAsia"/>
        </w:rPr>
        <w:t>支持电池材料、电芯模组、控制系统、系统集成、智能生产装备、终端应用等储能相关领域。</w:t>
      </w:r>
    </w:p>
    <w:p>
      <w:pPr>
        <w:shd w:val="clear" w:color="auto" w:fill="FFFFFF"/>
        <w:spacing w:line="560" w:lineRule="exact"/>
        <w:ind w:firstLine="643" w:firstLineChars="200"/>
        <w:jc w:val="left"/>
        <w:outlineLvl w:val="2"/>
        <w:rPr>
          <w:rFonts w:ascii="仿宋_GB2312" w:hAnsi="仿宋_GB2312" w:eastAsia="仿宋_GB2312" w:cs="仿宋_GB2312"/>
          <w:b/>
          <w:kern w:val="0"/>
          <w:sz w:val="32"/>
          <w:szCs w:val="32"/>
        </w:rPr>
      </w:pPr>
      <w:bookmarkStart w:id="153" w:name="_Toc134287877"/>
      <w:r>
        <w:rPr>
          <w:rFonts w:hint="eastAsia" w:ascii="仿宋_GB2312" w:hAnsi="仿宋_GB2312" w:eastAsia="仿宋_GB2312" w:cs="仿宋_GB2312"/>
          <w:b/>
          <w:kern w:val="0"/>
          <w:sz w:val="32"/>
          <w:szCs w:val="32"/>
        </w:rPr>
        <w:t>2.扶持方式及资助标准</w:t>
      </w:r>
      <w:bookmarkEnd w:id="147"/>
      <w:bookmarkEnd w:id="148"/>
      <w:bookmarkEnd w:id="149"/>
      <w:bookmarkEnd w:id="150"/>
      <w:bookmarkEnd w:id="151"/>
      <w:bookmarkEnd w:id="153"/>
    </w:p>
    <w:p>
      <w:pPr>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rPr>
        <w:t>国家工程研究中心项目配套和国家产业发展项目配套具体标准如下：</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bCs/>
          <w:sz w:val="32"/>
          <w:szCs w:val="32"/>
        </w:rPr>
        <w:t>资助资金须全部用于项目建设投资。</w:t>
      </w:r>
    </w:p>
    <w:p>
      <w:pPr>
        <w:shd w:val="clear" w:color="auto" w:fill="FFFFFF"/>
        <w:spacing w:line="560" w:lineRule="exact"/>
        <w:ind w:firstLine="643" w:firstLineChars="200"/>
        <w:outlineLvl w:val="2"/>
        <w:rPr>
          <w:rFonts w:ascii="仿宋_GB2312" w:hAnsi="仿宋_GB2312" w:eastAsia="仿宋_GB2312" w:cs="仿宋_GB2312"/>
          <w:b/>
          <w:color w:val="000000"/>
          <w:kern w:val="0"/>
          <w:sz w:val="32"/>
          <w:szCs w:val="32"/>
        </w:rPr>
      </w:pPr>
      <w:bookmarkStart w:id="154" w:name="_Toc2716"/>
      <w:bookmarkStart w:id="155" w:name="_Toc26106"/>
      <w:bookmarkStart w:id="156" w:name="_Toc7580"/>
      <w:bookmarkStart w:id="157" w:name="_Toc3550"/>
      <w:bookmarkStart w:id="158" w:name="_Toc15898"/>
      <w:bookmarkStart w:id="159" w:name="_Toc134287878"/>
      <w:r>
        <w:rPr>
          <w:rFonts w:hint="eastAsia" w:ascii="仿宋_GB2312" w:hAnsi="仿宋_GB2312" w:eastAsia="仿宋_GB2312" w:cs="仿宋_GB2312"/>
          <w:b/>
          <w:color w:val="000000"/>
          <w:kern w:val="0"/>
          <w:sz w:val="32"/>
          <w:szCs w:val="32"/>
        </w:rPr>
        <w:t>3.</w:t>
      </w:r>
      <w:r>
        <w:rPr>
          <w:rFonts w:hint="eastAsia" w:ascii="仿宋_GB2312" w:hAnsi="仿宋_GB2312" w:eastAsia="仿宋_GB2312" w:cs="仿宋_GB2312"/>
          <w:b/>
          <w:kern w:val="0"/>
          <w:sz w:val="32"/>
          <w:szCs w:val="32"/>
        </w:rPr>
        <w:t>申报条件</w:t>
      </w:r>
      <w:bookmarkEnd w:id="154"/>
      <w:bookmarkEnd w:id="155"/>
      <w:bookmarkEnd w:id="156"/>
      <w:bookmarkEnd w:id="157"/>
      <w:bookmarkEnd w:id="158"/>
      <w:bookmarkEnd w:id="159"/>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bookmarkEnd w:id="109"/>
    <w:bookmarkEnd w:id="110"/>
    <w:bookmarkEnd w:id="111"/>
    <w:bookmarkEnd w:id="112"/>
    <w:bookmarkEnd w:id="113"/>
    <w:p>
      <w:pPr>
        <w:pStyle w:val="2"/>
        <w:spacing w:after="0" w:line="560" w:lineRule="exact"/>
        <w:ind w:firstLine="640" w:firstLineChars="200"/>
        <w:jc w:val="left"/>
        <w:outlineLvl w:val="0"/>
        <w:rPr>
          <w:rFonts w:ascii="黑体" w:hAnsi="黑体" w:eastAsia="黑体" w:cs="黑体"/>
          <w:bCs/>
          <w:kern w:val="0"/>
          <w:sz w:val="32"/>
          <w:szCs w:val="32"/>
        </w:rPr>
      </w:pPr>
      <w:bookmarkStart w:id="160" w:name="_Toc7424"/>
      <w:bookmarkStart w:id="161" w:name="_Toc134287879"/>
      <w:bookmarkStart w:id="162" w:name="_Toc22493"/>
      <w:bookmarkStart w:id="163" w:name="_Toc16825"/>
      <w:bookmarkStart w:id="164" w:name="_Toc4456"/>
      <w:r>
        <w:rPr>
          <w:rFonts w:hint="eastAsia" w:ascii="黑体" w:hAnsi="黑体" w:eastAsia="黑体" w:cs="黑体"/>
          <w:bCs/>
          <w:kern w:val="0"/>
          <w:sz w:val="32"/>
          <w:szCs w:val="32"/>
        </w:rPr>
        <w:t>四、申报材料</w:t>
      </w:r>
      <w:bookmarkEnd w:id="160"/>
      <w:bookmarkEnd w:id="161"/>
      <w:bookmarkEnd w:id="162"/>
      <w:bookmarkEnd w:id="163"/>
      <w:bookmarkEnd w:id="164"/>
    </w:p>
    <w:p>
      <w:pPr>
        <w:shd w:val="clear" w:color="auto" w:fill="FFFFFF"/>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（一）国家项目配套扶持计划仅需提供国家工程研究中心、国家产业发展项目申报材料以及国家发展改革部门批复同意的立项文件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涉密项目书面报送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w:t>
      </w:r>
    </w:p>
    <w:p>
      <w:pPr>
        <w:pStyle w:val="2"/>
        <w:spacing w:after="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（二）其他类扶持计划项目申报单位需按照附件1《资金申请报告编制大纲》要求编制项目资金申请报告，并按照附件2《资金申请报告附件清单》要求提交相关材料。</w:t>
      </w:r>
    </w:p>
    <w:p>
      <w:pPr>
        <w:pStyle w:val="20"/>
        <w:widowControl w:val="0"/>
        <w:numPr>
          <w:ilvl w:val="255"/>
          <w:numId w:val="0"/>
        </w:numPr>
        <w:snapToGrid w:val="0"/>
        <w:spacing w:line="560" w:lineRule="exact"/>
        <w:ind w:firstLine="640" w:firstLineChars="200"/>
        <w:jc w:val="left"/>
        <w:outlineLvl w:val="0"/>
        <w:rPr>
          <w:rFonts w:ascii="黑体" w:hAnsi="黑体" w:eastAsia="黑体" w:cs="黑体"/>
          <w:b w:val="0"/>
          <w:bCs/>
          <w:color w:val="auto"/>
        </w:rPr>
      </w:pPr>
      <w:bookmarkStart w:id="165" w:name="_Toc134287880"/>
      <w:bookmarkStart w:id="166" w:name="_Toc1756"/>
      <w:bookmarkStart w:id="167" w:name="_Toc17311"/>
      <w:bookmarkStart w:id="168" w:name="_Toc2134"/>
      <w:bookmarkStart w:id="169" w:name="_Toc29219"/>
      <w:r>
        <w:rPr>
          <w:rFonts w:hint="eastAsia" w:ascii="黑体" w:hAnsi="黑体" w:eastAsia="黑体" w:cs="黑体"/>
          <w:b w:val="0"/>
          <w:bCs/>
          <w:color w:val="auto"/>
        </w:rPr>
        <w:t>五、申报时间</w:t>
      </w:r>
      <w:bookmarkEnd w:id="165"/>
    </w:p>
    <w:p>
      <w:pPr>
        <w:pStyle w:val="21"/>
        <w:numPr>
          <w:ilvl w:val="255"/>
          <w:numId w:val="0"/>
        </w:numPr>
        <w:adjustRightInd/>
        <w:ind w:firstLine="640" w:firstLineChars="200"/>
        <w:jc w:val="left"/>
        <w:rPr>
          <w:highlight w:val="none"/>
        </w:rPr>
      </w:pPr>
      <w:r>
        <w:rPr>
          <w:rFonts w:hint="eastAsia"/>
        </w:rPr>
        <w:t>申报时间为</w:t>
      </w:r>
      <w:r>
        <w:rPr>
          <w:rFonts w:hint="eastAsia"/>
          <w:highlight w:val="none"/>
        </w:rPr>
        <w:t>：2023年5月</w:t>
      </w:r>
      <w:r>
        <w:rPr>
          <w:rFonts w:hint="eastAsia"/>
          <w:highlight w:val="none"/>
          <w:lang w:val="en-US" w:eastAsia="zh-CN"/>
        </w:rPr>
        <w:t>8</w:t>
      </w:r>
      <w:r>
        <w:rPr>
          <w:rFonts w:hint="eastAsia"/>
          <w:highlight w:val="none"/>
        </w:rPr>
        <w:t>日9:00至2023年6月</w:t>
      </w:r>
      <w:r>
        <w:rPr>
          <w:rFonts w:hint="eastAsia"/>
          <w:highlight w:val="none"/>
          <w:lang w:val="en-US" w:eastAsia="zh-CN"/>
        </w:rPr>
        <w:t>8</w:t>
      </w:r>
      <w:r>
        <w:rPr>
          <w:rFonts w:hint="eastAsia"/>
          <w:highlight w:val="none"/>
        </w:rPr>
        <w:t>日18:00。</w:t>
      </w:r>
    </w:p>
    <w:p>
      <w:pPr>
        <w:pStyle w:val="2"/>
        <w:spacing w:after="0" w:line="560" w:lineRule="exact"/>
        <w:ind w:firstLine="640" w:firstLineChars="200"/>
        <w:jc w:val="left"/>
        <w:outlineLvl w:val="0"/>
        <w:rPr>
          <w:rFonts w:ascii="黑体" w:hAnsi="黑体" w:eastAsia="黑体" w:cs="黑体"/>
          <w:bCs/>
          <w:kern w:val="0"/>
          <w:sz w:val="32"/>
          <w:szCs w:val="32"/>
        </w:rPr>
      </w:pPr>
      <w:bookmarkStart w:id="170" w:name="_Toc134287881"/>
      <w:r>
        <w:rPr>
          <w:rFonts w:hint="eastAsia" w:ascii="黑体" w:hAnsi="黑体" w:eastAsia="黑体" w:cs="黑体"/>
          <w:bCs/>
          <w:kern w:val="0"/>
          <w:sz w:val="32"/>
          <w:szCs w:val="32"/>
        </w:rPr>
        <w:t>六、申报路径</w:t>
      </w:r>
      <w:bookmarkEnd w:id="166"/>
      <w:bookmarkEnd w:id="167"/>
      <w:bookmarkEnd w:id="168"/>
      <w:bookmarkEnd w:id="169"/>
      <w:bookmarkEnd w:id="170"/>
    </w:p>
    <w:p>
      <w:pPr>
        <w:pStyle w:val="3"/>
        <w:spacing w:before="0" w:after="0" w:line="560" w:lineRule="exact"/>
        <w:ind w:firstLine="616" w:firstLineChars="200"/>
        <w:jc w:val="left"/>
        <w:outlineLvl w:val="9"/>
        <w:rPr>
          <w:rFonts w:ascii="仿宋_GB2312" w:hAnsi="仿宋_GB2312" w:eastAsia="仿宋_GB2312" w:cs="仿宋_GB2312"/>
          <w:b w:val="0"/>
          <w:kern w:val="0"/>
        </w:rPr>
      </w:pPr>
      <w:bookmarkStart w:id="171" w:name="_Toc17260"/>
      <w:bookmarkStart w:id="172" w:name="_Toc13094"/>
      <w:bookmarkStart w:id="173" w:name="_Toc8952"/>
      <w:bookmarkStart w:id="174" w:name="_Toc23294"/>
      <w:bookmarkStart w:id="175" w:name="_Toc5589"/>
      <w:bookmarkStart w:id="176" w:name="_Toc13101"/>
      <w:r>
        <w:rPr>
          <w:rFonts w:hint="eastAsia" w:ascii="仿宋_GB2312" w:hAnsi="仿宋_GB2312" w:eastAsia="仿宋_GB2312" w:cs="仿宋_GB2312"/>
          <w:b w:val="0"/>
          <w:spacing w:val="-6"/>
          <w:kern w:val="0"/>
        </w:rPr>
        <w:t>项目申报单位应登录广东政务服务网在线申报，申报网址为</w:t>
      </w: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http://www.gdzwfw.gov.cn/portal/guide/11440300693966093K3442001031000</w:t>
      </w:r>
      <w:r>
        <w:rPr>
          <w:rFonts w:hint="eastAsia" w:ascii="仿宋_GB2312" w:hAnsi="仿宋_GB2312" w:eastAsia="仿宋_GB2312" w:cs="仿宋_GB2312"/>
          <w:b w:val="0"/>
          <w:kern w:val="0"/>
        </w:rPr>
        <w:t>，</w:t>
      </w:r>
      <w:r>
        <w:rPr>
          <w:rFonts w:ascii="仿宋_GB2312" w:hAnsi="Times New Roman" w:eastAsia="仿宋_GB2312"/>
          <w:b/>
          <w:bCs/>
          <w:color w:val="000000"/>
        </w:rPr>
        <w:t>无需提交纸质版申报材料</w:t>
      </w:r>
      <w:r>
        <w:rPr>
          <w:rFonts w:hint="eastAsia" w:ascii="仿宋_GB2312" w:hAnsi="Times New Roman" w:eastAsia="仿宋_GB2312"/>
          <w:b/>
          <w:bCs/>
          <w:color w:val="000000"/>
          <w:lang w:eastAsia="zh-CN"/>
        </w:rPr>
        <w:t>（</w:t>
      </w:r>
      <w:r>
        <w:rPr>
          <w:rFonts w:hint="eastAsia" w:ascii="仿宋_GB2312" w:hAnsi="Times New Roman" w:eastAsia="仿宋_GB2312"/>
          <w:b/>
          <w:bCs/>
          <w:color w:val="000000"/>
          <w:lang w:val="en-US" w:eastAsia="zh-CN"/>
        </w:rPr>
        <w:t>涉密项目书面报送</w:t>
      </w:r>
      <w:r>
        <w:rPr>
          <w:rFonts w:hint="eastAsia" w:ascii="仿宋_GB2312" w:hAnsi="Times New Roman" w:eastAsia="仿宋_GB2312"/>
          <w:b/>
          <w:bCs/>
          <w:color w:val="000000"/>
          <w:lang w:eastAsia="zh-CN"/>
        </w:rPr>
        <w:t>）</w:t>
      </w:r>
      <w:r>
        <w:rPr>
          <w:rFonts w:hint="eastAsia" w:ascii="仿宋_GB2312" w:hAnsi="仿宋_GB2312" w:eastAsia="仿宋_GB2312" w:cs="仿宋_GB2312"/>
          <w:b w:val="0"/>
          <w:kern w:val="0"/>
        </w:rPr>
        <w:t>。</w:t>
      </w:r>
      <w:bookmarkEnd w:id="171"/>
      <w:bookmarkEnd w:id="172"/>
      <w:bookmarkEnd w:id="173"/>
      <w:bookmarkEnd w:id="174"/>
      <w:bookmarkEnd w:id="175"/>
      <w:bookmarkEnd w:id="176"/>
    </w:p>
    <w:p>
      <w:pPr>
        <w:pStyle w:val="2"/>
        <w:numPr>
          <w:ilvl w:val="255"/>
          <w:numId w:val="0"/>
        </w:numPr>
        <w:snapToGrid w:val="0"/>
        <w:spacing w:after="0" w:line="560" w:lineRule="exact"/>
        <w:ind w:firstLine="640" w:firstLineChars="200"/>
        <w:jc w:val="left"/>
        <w:outlineLvl w:val="0"/>
        <w:rPr>
          <w:rFonts w:ascii="黑体" w:hAnsi="黑体" w:eastAsia="黑体" w:cs="黑体"/>
          <w:bCs/>
          <w:kern w:val="0"/>
          <w:sz w:val="32"/>
          <w:szCs w:val="32"/>
        </w:rPr>
      </w:pPr>
      <w:bookmarkStart w:id="177" w:name="_Toc134287882"/>
      <w:r>
        <w:rPr>
          <w:rFonts w:hint="eastAsia" w:ascii="黑体" w:hAnsi="黑体" w:eastAsia="黑体" w:cs="黑体"/>
          <w:bCs/>
          <w:kern w:val="0"/>
          <w:sz w:val="32"/>
          <w:szCs w:val="32"/>
        </w:rPr>
        <w:t>七、办理流程</w:t>
      </w:r>
      <w:bookmarkEnd w:id="177"/>
    </w:p>
    <w:p>
      <w:pPr>
        <w:pStyle w:val="21"/>
        <w:numPr>
          <w:ilvl w:val="255"/>
          <w:numId w:val="0"/>
        </w:numPr>
        <w:adjustRightInd/>
        <w:ind w:firstLine="640" w:firstLineChars="200"/>
        <w:jc w:val="left"/>
      </w:pPr>
      <w:r>
        <w:rPr>
          <w:rFonts w:hint="eastAsia"/>
        </w:rPr>
        <w:t>项目申报—项目初审—第三方评审机构评审—现场核查—征求各部门意见—公示—下达扶持计划—下达项目批复或签订项目合同。</w:t>
      </w:r>
    </w:p>
    <w:p>
      <w:pPr>
        <w:pStyle w:val="2"/>
        <w:spacing w:after="0" w:line="560" w:lineRule="exact"/>
        <w:ind w:firstLine="640" w:firstLineChars="200"/>
        <w:jc w:val="left"/>
        <w:outlineLvl w:val="0"/>
        <w:rPr>
          <w:rFonts w:ascii="黑体" w:hAnsi="黑体" w:eastAsia="黑体" w:cs="黑体"/>
          <w:bCs/>
          <w:kern w:val="0"/>
          <w:sz w:val="32"/>
          <w:szCs w:val="32"/>
        </w:rPr>
      </w:pPr>
      <w:bookmarkStart w:id="178" w:name="_Toc19104"/>
      <w:bookmarkStart w:id="179" w:name="_Toc1406"/>
      <w:bookmarkStart w:id="180" w:name="_Toc25038"/>
      <w:bookmarkStart w:id="181" w:name="_Toc29127"/>
      <w:bookmarkStart w:id="182" w:name="_Toc134287883"/>
      <w:r>
        <w:rPr>
          <w:rFonts w:hint="eastAsia" w:ascii="黑体" w:hAnsi="黑体" w:eastAsia="黑体" w:cs="黑体"/>
          <w:bCs/>
          <w:kern w:val="0"/>
          <w:sz w:val="32"/>
          <w:szCs w:val="32"/>
        </w:rPr>
        <w:t>八、注意事项</w:t>
      </w:r>
      <w:bookmarkEnd w:id="178"/>
      <w:bookmarkEnd w:id="179"/>
      <w:bookmarkEnd w:id="180"/>
      <w:bookmarkEnd w:id="181"/>
      <w:bookmarkEnd w:id="182"/>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kern w:val="0"/>
          <w:sz w:val="32"/>
          <w:szCs w:val="32"/>
        </w:rPr>
        <w:t>根据《深圳市促进重大科技基础设施和大型科研仪器开放共享管理办法》要求，对工程研究中心、公共服务平台扶持计划项目，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after="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（三）除国家项目配套扶持计划外，申请其他类别扶持计划项目的，</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（五）项目应符合国家产业政策，落实节能、降耗、环保、安全等要求；已按有关规定取得项目备案或核准文件，且时限未超过2年，并已根据需要取得环评批准文件，落实项目建设场地。</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（六）项目的财务核算、研发、生产和服务等关键环节在深圳本地实施。</w:t>
      </w:r>
    </w:p>
    <w:p>
      <w:pPr>
        <w:pStyle w:val="2"/>
        <w:spacing w:after="0"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after="0" w:line="560" w:lineRule="exact"/>
        <w:ind w:firstLine="640" w:firstLineChars="200"/>
        <w:jc w:val="left"/>
        <w:rPr>
          <w:rFonts w:ascii="黑体" w:hAnsi="黑体" w:eastAsia="黑体" w:cs="黑体"/>
          <w:bCs/>
          <w:kern w:val="0"/>
          <w:sz w:val="32"/>
          <w:szCs w:val="32"/>
        </w:rPr>
      </w:pPr>
      <w:r>
        <w:rPr>
          <w:rFonts w:hint="eastAsia" w:ascii="仿宋_GB2312" w:hAnsi="仿宋_GB2312" w:eastAsia="仿宋_GB2312" w:cs="仿宋_GB2312"/>
          <w:kern w:val="0"/>
          <w:sz w:val="32"/>
          <w:szCs w:val="32"/>
        </w:rPr>
        <w:t>（八）同一单位建设内容相同或部分相同的项目不得向市有关部门多头申报。经核实属多头申报的项目，将取消申报资格并追究申报单位责任。</w:t>
      </w:r>
    </w:p>
    <w:p>
      <w:pPr>
        <w:pStyle w:val="2"/>
        <w:spacing w:after="0" w:line="560" w:lineRule="exact"/>
        <w:ind w:firstLine="640" w:firstLineChars="200"/>
        <w:rPr>
          <w:rFonts w:ascii="黑体" w:hAnsi="黑体" w:eastAsia="黑体" w:cs="黑体"/>
          <w:bCs/>
          <w:kern w:val="0"/>
          <w:sz w:val="32"/>
          <w:szCs w:val="32"/>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start="1"/>
          <w:cols w:space="720" w:num="1"/>
          <w:titlePg/>
          <w:docGrid w:type="lines" w:linePitch="312" w:charSpace="0"/>
        </w:sectPr>
      </w:pPr>
    </w:p>
    <w:p>
      <w:pPr>
        <w:shd w:val="clear" w:color="auto" w:fill="FFFFFF"/>
        <w:spacing w:line="560" w:lineRule="exact"/>
        <w:jc w:val="left"/>
        <w:outlineLvl w:val="0"/>
        <w:rPr>
          <w:rFonts w:ascii="黑体" w:hAnsi="黑体" w:eastAsia="黑体" w:cs="黑体"/>
          <w:bCs/>
          <w:color w:val="000000"/>
          <w:kern w:val="0"/>
          <w:sz w:val="32"/>
          <w:szCs w:val="32"/>
        </w:rPr>
      </w:pPr>
      <w:bookmarkStart w:id="183" w:name="_Toc16739"/>
      <w:bookmarkStart w:id="184" w:name="_Toc18168"/>
      <w:bookmarkStart w:id="185" w:name="_Toc24512"/>
      <w:bookmarkStart w:id="186" w:name="_Toc15564"/>
      <w:bookmarkStart w:id="187" w:name="_Toc134287884"/>
      <w:r>
        <w:rPr>
          <w:rFonts w:hint="eastAsia" w:ascii="黑体" w:hAnsi="黑体" w:eastAsia="黑体" w:cs="黑体"/>
          <w:bCs/>
          <w:color w:val="000000"/>
          <w:kern w:val="0"/>
          <w:sz w:val="32"/>
          <w:szCs w:val="32"/>
        </w:rPr>
        <w:t>附件</w:t>
      </w:r>
      <w:bookmarkEnd w:id="183"/>
      <w:bookmarkEnd w:id="184"/>
      <w:bookmarkEnd w:id="185"/>
      <w:bookmarkEnd w:id="186"/>
      <w:r>
        <w:rPr>
          <w:rFonts w:hint="eastAsia" w:ascii="黑体" w:hAnsi="黑体" w:eastAsia="黑体" w:cs="黑体"/>
          <w:bCs/>
          <w:color w:val="000000"/>
          <w:kern w:val="0"/>
          <w:sz w:val="32"/>
          <w:szCs w:val="32"/>
        </w:rPr>
        <w:t>1</w:t>
      </w:r>
      <w:bookmarkEnd w:id="187"/>
    </w:p>
    <w:p>
      <w:pPr>
        <w:spacing w:line="640" w:lineRule="exact"/>
        <w:jc w:val="center"/>
        <w:rPr>
          <w:rFonts w:ascii="黑体" w:hAnsi="黑体" w:eastAsia="黑体" w:cs="Calibri"/>
          <w:bCs/>
          <w:szCs w:val="32"/>
        </w:rPr>
      </w:pPr>
    </w:p>
    <w:p>
      <w:pPr>
        <w:spacing w:line="640" w:lineRule="exact"/>
        <w:jc w:val="center"/>
        <w:rPr>
          <w:rFonts w:ascii="宋体" w:hAnsi="宋体" w:cs="Calibri"/>
          <w:b/>
          <w:bCs/>
          <w:sz w:val="72"/>
          <w:szCs w:val="72"/>
        </w:rPr>
      </w:pP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深圳市发展和改革委员会战略性新兴</w:t>
      </w:r>
    </w:p>
    <w:p>
      <w:pPr>
        <w:spacing w:before="573" w:beforeLines="100" w:line="640" w:lineRule="exact"/>
        <w:jc w:val="center"/>
        <w:rPr>
          <w:rFonts w:ascii="方正小标宋简体" w:hAnsi="方正小标宋简体" w:eastAsia="方正小标宋简体" w:cs="方正小标宋简体"/>
          <w:bCs/>
          <w:color w:val="000000"/>
          <w:kern w:val="0"/>
          <w:sz w:val="52"/>
          <w:szCs w:val="52"/>
        </w:rPr>
      </w:pPr>
      <w:r>
        <w:rPr>
          <w:rFonts w:hint="eastAsia" w:ascii="方正小标宋简体" w:hAnsi="方正小标宋简体" w:eastAsia="方正小标宋简体" w:cs="方正小标宋简体"/>
          <w:bCs/>
          <w:color w:val="000000"/>
          <w:kern w:val="0"/>
          <w:sz w:val="52"/>
          <w:szCs w:val="52"/>
        </w:rPr>
        <w:t>产业专项资金项目</w:t>
      </w:r>
    </w:p>
    <w:p>
      <w:pPr>
        <w:spacing w:before="573" w:beforeLines="100" w:line="640" w:lineRule="exact"/>
        <w:jc w:val="center"/>
        <w:rPr>
          <w:rFonts w:ascii="宋体" w:hAnsi="宋体" w:cs="Arial"/>
          <w:b/>
          <w:bCs/>
          <w:spacing w:val="20"/>
          <w:sz w:val="52"/>
          <w:szCs w:val="52"/>
        </w:rPr>
      </w:pPr>
      <w:r>
        <w:rPr>
          <w:rFonts w:hint="eastAsia" w:ascii="方正小标宋简体" w:hAnsi="方正小标宋简体" w:eastAsia="方正小标宋简体" w:cs="方正小标宋简体"/>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rPr>
        <w:t>申</w:t>
      </w:r>
      <w:r>
        <w:rPr>
          <w:rFonts w:cs="Calibri"/>
          <w:b/>
          <w:sz w:val="30"/>
        </w:rPr>
        <w:t xml:space="preserve"> </w:t>
      </w:r>
      <w:r>
        <w:rPr>
          <w:rFonts w:hint="eastAsia" w:cs="Calibri"/>
          <w:b/>
          <w:sz w:val="30"/>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rPr>
        <w:t>联</w:t>
      </w:r>
      <w:r>
        <w:rPr>
          <w:rFonts w:cs="Calibri"/>
          <w:b/>
          <w:sz w:val="30"/>
        </w:rPr>
        <w:t xml:space="preserve"> </w:t>
      </w:r>
      <w:r>
        <w:rPr>
          <w:rFonts w:hint="eastAsia" w:cs="Calibri"/>
          <w:b/>
          <w:sz w:val="30"/>
        </w:rPr>
        <w:t>系</w:t>
      </w:r>
      <w:r>
        <w:rPr>
          <w:rFonts w:cs="Calibri"/>
          <w:b/>
          <w:sz w:val="30"/>
        </w:rPr>
        <w:t xml:space="preserve"> </w:t>
      </w:r>
      <w:r>
        <w:rPr>
          <w:rFonts w:hint="eastAsia" w:cs="Calibri"/>
          <w:b/>
          <w:sz w:val="30"/>
        </w:rPr>
        <w:t>方</w:t>
      </w:r>
      <w:r>
        <w:rPr>
          <w:rFonts w:cs="Calibri"/>
          <w:b/>
          <w:sz w:val="30"/>
        </w:rPr>
        <w:t xml:space="preserve"> </w:t>
      </w:r>
      <w:r>
        <w:rPr>
          <w:rFonts w:hint="eastAsia" w:cs="Calibri"/>
          <w:b/>
          <w:sz w:val="30"/>
        </w:rPr>
        <w:t>式：</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2" w:type="default"/>
          <w:footerReference r:id="rId13" w:type="default"/>
          <w:pgSz w:w="11906" w:h="16838"/>
          <w:pgMar w:top="2098" w:right="1474" w:bottom="1985" w:left="1588" w:header="851" w:footer="1361" w:gutter="0"/>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资金申请报告编制大纲</w:t>
      </w:r>
    </w:p>
    <w:p>
      <w:pPr>
        <w:pStyle w:val="2"/>
        <w:spacing w:after="0" w:line="560" w:lineRule="exact"/>
        <w:ind w:firstLine="0"/>
        <w:jc w:val="center"/>
        <w:rPr>
          <w:rFonts w:ascii="楷体_GB2312" w:hAnsi="楷体_GB2312" w:eastAsia="楷体_GB2312" w:cs="楷体_GB2312"/>
          <w:bCs/>
          <w:spacing w:val="-17"/>
          <w:sz w:val="32"/>
          <w:szCs w:val="32"/>
        </w:rPr>
      </w:pPr>
      <w:r>
        <w:rPr>
          <w:rFonts w:hint="eastAsia" w:ascii="楷体_GB2312" w:hAnsi="楷体_GB2312" w:eastAsia="楷体_GB2312" w:cs="楷体_GB2312"/>
          <w:bCs/>
          <w:spacing w:val="-17"/>
          <w:sz w:val="32"/>
          <w:szCs w:val="32"/>
        </w:rPr>
        <w:t>（工程研究中心、公共服务平台、产业化事后补助扶持计划适用）</w:t>
      </w:r>
    </w:p>
    <w:p>
      <w:pPr>
        <w:spacing w:line="560" w:lineRule="exact"/>
        <w:ind w:firstLine="640" w:firstLineChars="200"/>
        <w:jc w:val="left"/>
        <w:rPr>
          <w:rFonts w:ascii="黑体" w:hAnsi="黑体" w:eastAsia="黑体" w:cs="黑体"/>
          <w:sz w:val="32"/>
          <w:szCs w:val="32"/>
        </w:rPr>
      </w:pPr>
      <w:bookmarkStart w:id="188" w:name="_Toc536"/>
      <w:bookmarkStart w:id="189" w:name="_Toc28723"/>
      <w:bookmarkStart w:id="190" w:name="_Toc8524"/>
      <w:bookmarkStart w:id="191" w:name="_Toc18246"/>
      <w:bookmarkStart w:id="192" w:name="_Toc24090"/>
      <w:r>
        <w:rPr>
          <w:rFonts w:hint="eastAsia" w:ascii="黑体" w:hAnsi="黑体" w:eastAsia="黑体" w:cs="黑体"/>
          <w:sz w:val="32"/>
          <w:szCs w:val="32"/>
        </w:rPr>
        <w:t>一、项目摘要（4000字以内）</w:t>
      </w:r>
      <w:bookmarkEnd w:id="188"/>
      <w:bookmarkEnd w:id="189"/>
      <w:bookmarkEnd w:id="190"/>
      <w:bookmarkEnd w:id="191"/>
      <w:bookmarkEnd w:id="192"/>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涉及申报提升项目的，需总结原组建项目建设情况。</w:t>
      </w:r>
    </w:p>
    <w:p>
      <w:pPr>
        <w:spacing w:line="560" w:lineRule="exact"/>
        <w:ind w:firstLine="640" w:firstLineChars="200"/>
        <w:jc w:val="left"/>
        <w:rPr>
          <w:rFonts w:ascii="黑体" w:hAnsi="黑体" w:eastAsia="黑体" w:cs="黑体"/>
          <w:sz w:val="32"/>
          <w:szCs w:val="32"/>
        </w:rPr>
      </w:pPr>
      <w:bookmarkStart w:id="193" w:name="_Toc18757"/>
      <w:bookmarkStart w:id="194" w:name="_Toc3843"/>
      <w:bookmarkStart w:id="195" w:name="_Toc16743"/>
      <w:bookmarkStart w:id="196" w:name="_Toc8719"/>
      <w:bookmarkStart w:id="197" w:name="_Toc29186"/>
      <w:r>
        <w:rPr>
          <w:rFonts w:hint="eastAsia" w:ascii="黑体" w:hAnsi="黑体" w:eastAsia="黑体" w:cs="黑体"/>
          <w:sz w:val="32"/>
          <w:szCs w:val="32"/>
        </w:rPr>
        <w:t>二、项目建设依据、背景与意义</w:t>
      </w:r>
      <w:bookmarkEnd w:id="193"/>
      <w:bookmarkEnd w:id="194"/>
      <w:bookmarkEnd w:id="195"/>
      <w:bookmarkEnd w:id="196"/>
      <w:bookmarkEnd w:id="197"/>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line="560" w:lineRule="exact"/>
        <w:ind w:firstLine="640" w:firstLineChars="200"/>
        <w:jc w:val="left"/>
        <w:rPr>
          <w:rFonts w:ascii="黑体" w:hAnsi="黑体" w:eastAsia="黑体" w:cs="黑体"/>
          <w:sz w:val="32"/>
          <w:szCs w:val="32"/>
        </w:rPr>
      </w:pPr>
      <w:bookmarkStart w:id="198" w:name="_Toc13990"/>
      <w:bookmarkStart w:id="199" w:name="_Toc9780"/>
      <w:bookmarkStart w:id="200" w:name="_Toc2039"/>
      <w:bookmarkStart w:id="201" w:name="_Toc2007"/>
      <w:bookmarkStart w:id="202" w:name="_Toc17994"/>
      <w:r>
        <w:rPr>
          <w:rFonts w:hint="eastAsia" w:ascii="黑体" w:hAnsi="黑体" w:eastAsia="黑体" w:cs="黑体"/>
          <w:sz w:val="32"/>
          <w:szCs w:val="32"/>
        </w:rPr>
        <w:t>三、技术发展与应用前景分析</w:t>
      </w:r>
      <w:bookmarkEnd w:id="198"/>
      <w:bookmarkEnd w:id="199"/>
      <w:bookmarkEnd w:id="200"/>
      <w:bookmarkEnd w:id="201"/>
      <w:bookmarkEnd w:id="202"/>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line="560" w:lineRule="exact"/>
        <w:ind w:firstLine="640" w:firstLineChars="200"/>
        <w:jc w:val="left"/>
        <w:rPr>
          <w:rFonts w:ascii="黑体" w:hAnsi="黑体" w:eastAsia="黑体" w:cs="黑体"/>
          <w:sz w:val="32"/>
          <w:szCs w:val="32"/>
        </w:rPr>
      </w:pPr>
      <w:bookmarkStart w:id="203" w:name="_Toc32580"/>
      <w:bookmarkStart w:id="204" w:name="_Toc24893"/>
      <w:bookmarkStart w:id="205" w:name="_Toc20393"/>
      <w:bookmarkStart w:id="206" w:name="_Toc25389"/>
      <w:bookmarkStart w:id="207" w:name="_Toc19535"/>
      <w:r>
        <w:rPr>
          <w:rFonts w:hint="eastAsia" w:ascii="黑体" w:hAnsi="黑体" w:eastAsia="黑体" w:cs="黑体"/>
          <w:sz w:val="32"/>
          <w:szCs w:val="32"/>
        </w:rPr>
        <w:t>四、主要方向、任务与目标</w:t>
      </w:r>
      <w:bookmarkEnd w:id="203"/>
      <w:bookmarkEnd w:id="204"/>
      <w:bookmarkEnd w:id="205"/>
      <w:bookmarkEnd w:id="206"/>
      <w:bookmarkEnd w:id="207"/>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line="560" w:lineRule="exact"/>
        <w:ind w:firstLine="640" w:firstLineChars="200"/>
        <w:jc w:val="left"/>
        <w:rPr>
          <w:rFonts w:ascii="黑体" w:hAnsi="黑体" w:eastAsia="黑体" w:cs="黑体"/>
          <w:sz w:val="32"/>
          <w:szCs w:val="32"/>
        </w:rPr>
      </w:pPr>
      <w:bookmarkStart w:id="208" w:name="_Toc14783"/>
      <w:bookmarkStart w:id="209" w:name="_Toc28196"/>
      <w:bookmarkStart w:id="210" w:name="_Toc17287"/>
      <w:bookmarkStart w:id="211" w:name="_Toc6823"/>
      <w:bookmarkStart w:id="212" w:name="_Toc10700"/>
      <w:r>
        <w:rPr>
          <w:rFonts w:hint="eastAsia" w:ascii="黑体" w:hAnsi="黑体" w:eastAsia="黑体" w:cs="黑体"/>
          <w:sz w:val="32"/>
          <w:szCs w:val="32"/>
        </w:rPr>
        <w:t>五、项目申报单位的基本情况</w:t>
      </w:r>
      <w:bookmarkEnd w:id="208"/>
      <w:bookmarkEnd w:id="209"/>
      <w:bookmarkEnd w:id="210"/>
      <w:bookmarkEnd w:id="211"/>
      <w:bookmarkEnd w:id="212"/>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bookmarkStart w:id="213" w:name="_Toc32516"/>
      <w:bookmarkStart w:id="214" w:name="_Toc19593"/>
      <w:bookmarkStart w:id="215" w:name="_Toc8853"/>
      <w:bookmarkStart w:id="216" w:name="_Toc5851"/>
      <w:bookmarkStart w:id="217" w:name="_Toc21932"/>
      <w:r>
        <w:rPr>
          <w:rFonts w:hint="eastAsia" w:ascii="黑体" w:hAnsi="黑体" w:eastAsia="黑体" w:cs="黑体"/>
          <w:sz w:val="32"/>
          <w:szCs w:val="32"/>
        </w:rPr>
        <w:t>六、项目的技术基础</w:t>
      </w:r>
      <w:bookmarkEnd w:id="213"/>
      <w:bookmarkEnd w:id="214"/>
      <w:bookmarkEnd w:id="215"/>
      <w:bookmarkEnd w:id="216"/>
      <w:bookmarkEnd w:id="217"/>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pacing w:line="560" w:lineRule="exact"/>
        <w:ind w:firstLine="640" w:firstLineChars="200"/>
        <w:jc w:val="left"/>
        <w:rPr>
          <w:rFonts w:ascii="黑体" w:hAnsi="黑体" w:eastAsia="黑体" w:cs="黑体"/>
          <w:sz w:val="32"/>
          <w:szCs w:val="32"/>
        </w:rPr>
      </w:pPr>
      <w:bookmarkStart w:id="218" w:name="_Toc8759"/>
      <w:bookmarkStart w:id="219" w:name="_Toc28871"/>
      <w:bookmarkStart w:id="220" w:name="_Toc31061"/>
      <w:bookmarkStart w:id="221" w:name="_Toc21273"/>
      <w:bookmarkStart w:id="222" w:name="_Toc3384"/>
      <w:r>
        <w:rPr>
          <w:rFonts w:hint="eastAsia" w:ascii="黑体" w:hAnsi="黑体" w:eastAsia="黑体" w:cs="黑体"/>
          <w:sz w:val="32"/>
          <w:szCs w:val="32"/>
        </w:rPr>
        <w:t>七、项目建设方案</w:t>
      </w:r>
      <w:bookmarkEnd w:id="218"/>
      <w:bookmarkEnd w:id="219"/>
      <w:bookmarkEnd w:id="220"/>
      <w:bookmarkEnd w:id="221"/>
      <w:bookmarkEnd w:id="222"/>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line="560" w:lineRule="exact"/>
        <w:ind w:firstLine="640" w:firstLineChars="200"/>
        <w:jc w:val="left"/>
        <w:rPr>
          <w:rFonts w:ascii="黑体" w:hAnsi="黑体" w:eastAsia="黑体" w:cs="黑体"/>
          <w:sz w:val="32"/>
          <w:szCs w:val="32"/>
        </w:rPr>
      </w:pPr>
      <w:bookmarkStart w:id="223" w:name="_Toc16121"/>
      <w:bookmarkStart w:id="224" w:name="_Toc17688"/>
      <w:bookmarkStart w:id="225" w:name="_Toc12465"/>
      <w:bookmarkStart w:id="226" w:name="_Toc13774"/>
      <w:bookmarkStart w:id="227" w:name="_Toc9984"/>
      <w:r>
        <w:rPr>
          <w:rFonts w:hint="eastAsia" w:ascii="黑体" w:hAnsi="黑体" w:eastAsia="黑体" w:cs="黑体"/>
          <w:sz w:val="32"/>
          <w:szCs w:val="32"/>
        </w:rPr>
        <w:t>八、节能及环境影响</w:t>
      </w:r>
      <w:bookmarkEnd w:id="223"/>
      <w:bookmarkEnd w:id="224"/>
      <w:bookmarkEnd w:id="225"/>
      <w:bookmarkEnd w:id="226"/>
      <w:bookmarkEnd w:id="227"/>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bookmarkStart w:id="228" w:name="_Toc16614"/>
      <w:bookmarkStart w:id="229" w:name="_Toc30741"/>
      <w:bookmarkStart w:id="230" w:name="_Toc3880"/>
      <w:bookmarkStart w:id="231" w:name="_Toc6920"/>
      <w:bookmarkStart w:id="232" w:name="_Toc14649"/>
      <w:r>
        <w:rPr>
          <w:rFonts w:hint="eastAsia" w:ascii="黑体" w:hAnsi="黑体" w:eastAsia="黑体" w:cs="黑体"/>
          <w:sz w:val="32"/>
          <w:szCs w:val="32"/>
        </w:rPr>
        <w:t>九、项目实施进度与管理</w:t>
      </w:r>
      <w:bookmarkEnd w:id="228"/>
      <w:bookmarkEnd w:id="229"/>
      <w:bookmarkEnd w:id="230"/>
      <w:bookmarkEnd w:id="231"/>
      <w:bookmarkEnd w:id="232"/>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line="560" w:lineRule="exact"/>
        <w:ind w:firstLine="640" w:firstLineChars="200"/>
        <w:jc w:val="left"/>
        <w:rPr>
          <w:rFonts w:ascii="黑体" w:hAnsi="黑体" w:eastAsia="黑体" w:cs="黑体"/>
          <w:color w:val="000000"/>
          <w:sz w:val="32"/>
          <w:szCs w:val="32"/>
        </w:rPr>
      </w:pPr>
      <w:bookmarkStart w:id="233" w:name="_Toc21941"/>
      <w:bookmarkStart w:id="234" w:name="_Toc9309"/>
      <w:bookmarkStart w:id="235" w:name="_Toc4284"/>
      <w:bookmarkStart w:id="236" w:name="_Toc1139"/>
      <w:bookmarkStart w:id="237" w:name="_Toc8526"/>
      <w:r>
        <w:rPr>
          <w:rFonts w:hint="eastAsia" w:ascii="黑体" w:hAnsi="黑体" w:eastAsia="黑体" w:cs="黑体"/>
          <w:color w:val="000000"/>
          <w:sz w:val="32"/>
          <w:szCs w:val="32"/>
        </w:rPr>
        <w:t>十、投资估算及资金筹措</w:t>
      </w:r>
      <w:bookmarkEnd w:id="233"/>
      <w:bookmarkEnd w:id="234"/>
      <w:bookmarkEnd w:id="235"/>
      <w:bookmarkEnd w:id="236"/>
      <w:bookmarkEnd w:id="237"/>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并按申报要求对项目投资构成进行详细说明。</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line="560" w:lineRule="exact"/>
        <w:ind w:firstLine="640" w:firstLineChars="200"/>
        <w:jc w:val="left"/>
        <w:rPr>
          <w:rFonts w:ascii="黑体" w:hAnsi="黑体" w:eastAsia="黑体" w:cs="黑体"/>
          <w:sz w:val="32"/>
          <w:szCs w:val="32"/>
        </w:rPr>
      </w:pPr>
      <w:bookmarkStart w:id="238" w:name="_Toc4253"/>
      <w:bookmarkStart w:id="239" w:name="_Toc5252"/>
      <w:bookmarkStart w:id="240" w:name="_Toc466"/>
      <w:bookmarkStart w:id="241" w:name="_Toc7669"/>
      <w:bookmarkStart w:id="242" w:name="_Toc27882"/>
      <w:r>
        <w:rPr>
          <w:rFonts w:hint="eastAsia" w:ascii="黑体" w:hAnsi="黑体" w:eastAsia="黑体" w:cs="黑体"/>
          <w:sz w:val="32"/>
          <w:szCs w:val="32"/>
        </w:rPr>
        <w:t>十一、项目经济及社会效益分析</w:t>
      </w:r>
      <w:bookmarkEnd w:id="238"/>
      <w:bookmarkEnd w:id="239"/>
      <w:bookmarkEnd w:id="240"/>
      <w:bookmarkEnd w:id="241"/>
      <w:bookmarkEnd w:id="242"/>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bookmarkStart w:id="243" w:name="_Toc24945"/>
      <w:bookmarkStart w:id="244" w:name="_Toc1028"/>
      <w:bookmarkStart w:id="245" w:name="_Toc20675"/>
      <w:bookmarkStart w:id="246" w:name="_Toc30295"/>
      <w:bookmarkStart w:id="247" w:name="_Toc29971"/>
      <w:r>
        <w:rPr>
          <w:rFonts w:hint="eastAsia" w:ascii="黑体" w:hAnsi="黑体" w:eastAsia="黑体" w:cs="黑体"/>
          <w:sz w:val="32"/>
          <w:szCs w:val="32"/>
        </w:rPr>
        <w:t>十二、项目风险分析</w:t>
      </w:r>
      <w:bookmarkEnd w:id="243"/>
      <w:bookmarkEnd w:id="244"/>
      <w:bookmarkEnd w:id="245"/>
      <w:bookmarkEnd w:id="246"/>
      <w:bookmarkEnd w:id="247"/>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line="500" w:lineRule="exact"/>
        <w:ind w:firstLine="640" w:firstLineChars="200"/>
        <w:jc w:val="left"/>
        <w:rPr>
          <w:rFonts w:ascii="黑体" w:hAnsi="黑体" w:eastAsia="黑体" w:cs="黑体"/>
          <w:sz w:val="32"/>
          <w:szCs w:val="32"/>
        </w:rPr>
      </w:pPr>
      <w:bookmarkStart w:id="248" w:name="_Toc19501"/>
      <w:bookmarkStart w:id="249" w:name="_Toc19005"/>
      <w:bookmarkStart w:id="250" w:name="_Toc14605"/>
      <w:bookmarkStart w:id="251" w:name="_Toc2089"/>
      <w:bookmarkStart w:id="252" w:name="_Toc22766"/>
      <w:r>
        <w:rPr>
          <w:rFonts w:hint="eastAsia" w:ascii="黑体" w:hAnsi="黑体" w:eastAsia="黑体" w:cs="黑体"/>
          <w:sz w:val="32"/>
          <w:szCs w:val="32"/>
        </w:rPr>
        <w:t>十三、其它需说明的问题</w:t>
      </w:r>
      <w:bookmarkEnd w:id="248"/>
      <w:bookmarkEnd w:id="249"/>
      <w:bookmarkEnd w:id="250"/>
      <w:bookmarkEnd w:id="251"/>
      <w:bookmarkEnd w:id="252"/>
    </w:p>
    <w:p>
      <w:pPr>
        <w:pStyle w:val="2"/>
      </w:pPr>
    </w:p>
    <w:p>
      <w:pPr>
        <w:pStyle w:val="3"/>
      </w:pPr>
    </w:p>
    <w:p/>
    <w:p>
      <w:pPr>
        <w:pStyle w:val="2"/>
      </w:pPr>
    </w:p>
    <w:p>
      <w:pPr>
        <w:pStyle w:val="3"/>
      </w:pPr>
      <w:r>
        <w:rPr>
          <w:rFonts w:hint="eastAsia"/>
        </w:rPr>
        <w:t xml:space="preserve"> </w:t>
      </w:r>
      <w:r>
        <w:t xml:space="preserve"> </w:t>
      </w:r>
    </w:p>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bookmarkStart w:id="253" w:name="_Toc10335"/>
      <w:bookmarkStart w:id="254" w:name="_Toc1826"/>
      <w:bookmarkStart w:id="255" w:name="_Toc2020"/>
      <w:bookmarkStart w:id="256" w:name="_Toc9752"/>
      <w:bookmarkStart w:id="257" w:name="_Toc8112"/>
      <w:r>
        <w:rPr>
          <w:rFonts w:hint="eastAsia" w:ascii="方正小标宋简体" w:hAnsi="方正小标宋简体" w:eastAsia="方正小标宋简体" w:cs="方正小标宋简体"/>
          <w:bCs/>
          <w:color w:val="000000"/>
          <w:kern w:val="0"/>
          <w:sz w:val="44"/>
          <w:szCs w:val="44"/>
        </w:rPr>
        <w:t>资金申请报告编制大纲</w:t>
      </w:r>
      <w:bookmarkEnd w:id="253"/>
      <w:bookmarkEnd w:id="254"/>
      <w:bookmarkEnd w:id="255"/>
      <w:bookmarkEnd w:id="256"/>
      <w:bookmarkEnd w:id="257"/>
    </w:p>
    <w:p>
      <w:pPr>
        <w:shd w:val="clear" w:color="auto" w:fill="FFFFFF"/>
        <w:spacing w:line="560" w:lineRule="exact"/>
        <w:jc w:val="center"/>
        <w:rPr>
          <w:rFonts w:ascii="楷体_GB2312" w:hAnsi="方正小标宋简体" w:eastAsia="楷体_GB2312" w:cs="方正小标宋简体"/>
          <w:bCs/>
          <w:color w:val="000000"/>
          <w:kern w:val="0"/>
          <w:sz w:val="32"/>
          <w:szCs w:val="32"/>
        </w:rPr>
      </w:pPr>
      <w:bookmarkStart w:id="258" w:name="_Toc20395"/>
      <w:bookmarkStart w:id="259" w:name="_Toc32721"/>
      <w:bookmarkStart w:id="260" w:name="_Toc28858"/>
      <w:bookmarkStart w:id="261" w:name="_Toc28016"/>
      <w:bookmarkStart w:id="262" w:name="_Toc54"/>
      <w:r>
        <w:rPr>
          <w:rFonts w:hint="eastAsia" w:ascii="楷体_GB2312" w:hAnsi="方正小标宋简体" w:eastAsia="楷体_GB2312" w:cs="方正小标宋简体"/>
          <w:bCs/>
          <w:color w:val="000000"/>
          <w:kern w:val="0"/>
          <w:sz w:val="32"/>
          <w:szCs w:val="32"/>
        </w:rPr>
        <w:t>（新技术新产品示范应用推广扶持计划适用）</w:t>
      </w:r>
      <w:bookmarkEnd w:id="258"/>
      <w:bookmarkEnd w:id="259"/>
      <w:bookmarkEnd w:id="260"/>
      <w:bookmarkEnd w:id="261"/>
      <w:bookmarkEnd w:id="262"/>
    </w:p>
    <w:p>
      <w:pPr>
        <w:adjustRightInd w:val="0"/>
        <w:snapToGrid w:val="0"/>
        <w:spacing w:line="560" w:lineRule="exact"/>
        <w:ind w:firstLine="640" w:firstLineChars="200"/>
        <w:jc w:val="left"/>
        <w:rPr>
          <w:rFonts w:ascii="黑体" w:hAnsi="黑体" w:eastAsia="黑体" w:cs="黑体"/>
          <w:sz w:val="32"/>
          <w:szCs w:val="32"/>
        </w:rPr>
      </w:pPr>
      <w:bookmarkStart w:id="263" w:name="_Toc4828"/>
      <w:bookmarkStart w:id="264" w:name="_Toc3828"/>
      <w:bookmarkStart w:id="265" w:name="_Toc27202"/>
      <w:bookmarkStart w:id="266" w:name="_Toc31617"/>
      <w:r>
        <w:rPr>
          <w:rFonts w:hint="eastAsia" w:ascii="黑体" w:hAnsi="黑体" w:eastAsia="黑体" w:cs="黑体"/>
          <w:sz w:val="32"/>
          <w:szCs w:val="32"/>
        </w:rPr>
        <w:t>一、项目摘要（4000字以内）</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项目名称、</w:t>
      </w:r>
      <w:r>
        <w:rPr>
          <w:rFonts w:hint="eastAsia" w:ascii="仿宋_GB2312" w:hAnsi="仿宋_GB2312" w:eastAsia="仿宋_GB2312" w:cs="仿宋_GB2312"/>
          <w:sz w:val="32"/>
          <w:szCs w:val="32"/>
        </w:rPr>
        <w:t>申报方向（需备注）、</w:t>
      </w:r>
      <w:r>
        <w:rPr>
          <w:rFonts w:hint="eastAsia" w:ascii="仿宋_GB2312" w:hAnsi="仿宋_GB2312" w:eastAsia="仿宋_GB2312"/>
          <w:color w:val="000000"/>
          <w:sz w:val="32"/>
          <w:szCs w:val="32"/>
        </w:rPr>
        <w:t>法人概况、项目背景、技术基础、建设内容、规模、时间、方案和地点、技术基础，项目运营模式，项目建设条件落实情况，项目总投资及资金来源、主要建设条件、总支出及构成明细、申请政府补助资金用途、示范意义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二、项目背景与意义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包括国内外相关产业现状及趋势预测，所属产业链关键环节和难点，项目试点示范应用对产业发展、结构调整将产生的影响、作用和意义等。</w:t>
      </w:r>
    </w:p>
    <w:p>
      <w:pPr>
        <w:adjustRightInd w:val="0"/>
        <w:snapToGrid w:val="0"/>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三、项目申报单位的基本情况</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olor w:val="000000"/>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四、项目的技术基础</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成果来源及知识产权情况，已完成的研究开发工作及中试情况和鉴定年限，技术或工艺特点以及与现有技术或工艺比较所具有的优势，该项技术的规模化应用对行业技术进步的重要意义和作用。</w:t>
      </w:r>
    </w:p>
    <w:p>
      <w:pPr>
        <w:keepNext/>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五、应用示范推广项目主要内容</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项目建设规模、采用的工艺路线与技术特点、设备选型及主要技术指标、经济指标、项目盈利模式、经济社会效益评价等。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六、项目建设方案</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七、节能及环境影响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八、项目实施进度与管理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九、项目总支出及构成明细</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包括项目总投资估算表、建设投资估算、分年投资计划表、项目资金筹措及落实情况和申请市政府补贴资金使用方案。</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总投资一般由建设投资和铺底流动资金构成。建设投资主要包括建筑工程费、安装工程费、场地改造费、设备及工器具购置费（含购置必要的技术和软件、专用仪器设备定制、云服务器租赁、基站租赁）等。铺底流动资金主要包括燃料动力费、生产原材料费、场地租赁费、基本预备费、项目执行期利息等。并按申报要求对项目投资构成进行详细说明。</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项目资金筹措方案中，自有资金（不包括银行贷款）不低于项目总投资的30%，且须提供银行出具的证明文件。</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sz w:val="32"/>
          <w:szCs w:val="32"/>
        </w:rPr>
        <w:t>资金使用方案需列出项目建设所需购置的主要设备、技术及软件等清单（设备种类、数量、参考单价、是否已购、是否采用财政直接补贴资金等）以及研发、土建、流动资金等其他相关费用。</w:t>
      </w:r>
      <w:r>
        <w:rPr>
          <w:rFonts w:hint="eastAsia" w:ascii="仿宋_GB2312" w:hAnsi="仿宋_GB2312" w:eastAsia="仿宋_GB2312"/>
          <w:color w:val="000000"/>
          <w:sz w:val="32"/>
          <w:szCs w:val="32"/>
        </w:rPr>
        <w:t>（咨询、审计、证明等）。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十、项目经济及社会效益分析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十一、项目风险分析</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包括项目的技术风险、市场风险、资金风险、安全风险等评价情况，以及风险控制思路等。</w:t>
      </w:r>
    </w:p>
    <w:p>
      <w:pPr>
        <w:spacing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十二、其它需说明的问题</w:t>
      </w:r>
    </w:p>
    <w:bookmarkEnd w:id="263"/>
    <w:bookmarkEnd w:id="264"/>
    <w:bookmarkEnd w:id="265"/>
    <w:bookmarkEnd w:id="266"/>
    <w:p>
      <w:pPr>
        <w:shd w:val="clear" w:color="auto" w:fill="FFFFFF"/>
        <w:spacing w:line="560" w:lineRule="exact"/>
        <w:jc w:val="center"/>
        <w:rPr>
          <w:rFonts w:ascii="方正小标宋简体" w:hAnsi="方正小标宋简体" w:eastAsia="方正小标宋简体" w:cs="方正小标宋简体"/>
          <w:bCs/>
          <w:color w:val="000000"/>
          <w:kern w:val="0"/>
          <w:sz w:val="44"/>
          <w:szCs w:val="44"/>
        </w:rPr>
      </w:pPr>
    </w:p>
    <w:p>
      <w:pPr>
        <w:spacing w:line="560" w:lineRule="exact"/>
        <w:ind w:firstLine="643" w:firstLineChars="200"/>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line="520" w:lineRule="exact"/>
        <w:jc w:val="left"/>
        <w:outlineLvl w:val="0"/>
        <w:rPr>
          <w:rFonts w:ascii="黑体" w:hAnsi="黑体" w:eastAsia="黑体" w:cs="黑体"/>
          <w:sz w:val="32"/>
          <w:szCs w:val="32"/>
        </w:rPr>
      </w:pPr>
      <w:bookmarkStart w:id="267" w:name="_Toc28758"/>
      <w:bookmarkStart w:id="268" w:name="_Toc8504"/>
      <w:bookmarkStart w:id="269" w:name="_Toc18344"/>
      <w:bookmarkStart w:id="270" w:name="_Toc13808"/>
      <w:bookmarkStart w:id="271" w:name="_Toc134287885"/>
      <w:r>
        <w:rPr>
          <w:rFonts w:hint="eastAsia" w:ascii="黑体" w:hAnsi="黑体" w:eastAsia="黑体" w:cs="黑体"/>
          <w:sz w:val="32"/>
          <w:szCs w:val="32"/>
        </w:rPr>
        <w:t>附件</w:t>
      </w:r>
      <w:bookmarkEnd w:id="267"/>
      <w:bookmarkEnd w:id="268"/>
      <w:bookmarkEnd w:id="269"/>
      <w:bookmarkEnd w:id="270"/>
      <w:r>
        <w:rPr>
          <w:rFonts w:hint="eastAsia" w:ascii="黑体" w:hAnsi="黑体" w:eastAsia="黑体" w:cs="黑体"/>
          <w:sz w:val="32"/>
          <w:szCs w:val="32"/>
        </w:rPr>
        <w:t>2</w:t>
      </w:r>
      <w:bookmarkEnd w:id="271"/>
    </w:p>
    <w:p>
      <w:pPr>
        <w:spacing w:line="520" w:lineRule="exact"/>
        <w:jc w:val="center"/>
        <w:rPr>
          <w:rFonts w:ascii="方正小标宋简体" w:hAnsi="方正小标宋简体" w:eastAsia="方正小标宋简体" w:cs="方正小标宋简体"/>
          <w:sz w:val="44"/>
          <w:szCs w:val="44"/>
        </w:rPr>
      </w:pPr>
      <w:bookmarkStart w:id="272" w:name="_Toc22686"/>
      <w:bookmarkStart w:id="273" w:name="_Toc26474"/>
      <w:bookmarkStart w:id="274" w:name="_Toc16708"/>
      <w:bookmarkStart w:id="275" w:name="_Toc17230"/>
      <w:bookmarkStart w:id="276" w:name="_Toc4624"/>
      <w:r>
        <w:rPr>
          <w:rFonts w:hint="eastAsia" w:ascii="方正小标宋简体" w:hAnsi="方正小标宋简体" w:eastAsia="方正小标宋简体" w:cs="方正小标宋简体"/>
          <w:sz w:val="44"/>
          <w:szCs w:val="44"/>
        </w:rPr>
        <w:t>资金申请报告附件清单</w:t>
      </w:r>
      <w:bookmarkEnd w:id="272"/>
      <w:bookmarkEnd w:id="273"/>
      <w:bookmarkEnd w:id="274"/>
      <w:bookmarkEnd w:id="275"/>
      <w:bookmarkEnd w:id="276"/>
    </w:p>
    <w:p>
      <w:pPr>
        <w:pStyle w:val="2"/>
        <w:spacing w:after="0" w:line="520" w:lineRule="exact"/>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附件目录</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1.项目基本情况表（见附件2-1）。</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2.项目单位法人注册文件、组织机构代码证。</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3.社会投资项目的备案或核准文件，如有信息变更，需附项目信息变更声明。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4.银行出具（自申报截止日期前三个月内）的自有资金存款证明文件（扫描件1份），银行出具的贷款承诺文件或已签订的贷款协议或合同（若有贷款）。</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6.上年度纳税证明。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7.项目单位近三年研发经费实际支出专项审计报告。</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8.项目技术先进性证明及奖励文件，包括查新报告、软件著作权、发明专利、产品检测报告等（非必须项，如无法提供需提交情况说明）。</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9.申报项目技术团队成员及相关证明材料（包括社保缴纳证明、学历学位证明或职称证书等）。</w:t>
      </w:r>
    </w:p>
    <w:p>
      <w:pPr>
        <w:spacing w:line="520" w:lineRule="exact"/>
        <w:ind w:firstLine="640" w:firstLineChars="200"/>
        <w:jc w:val="left"/>
        <w:rPr>
          <w:rFonts w:ascii="仿宋_GB2312" w:hAnsi="仿宋_GB2312" w:eastAsia="仿宋_GB2312" w:cs="仿宋_GB2312"/>
          <w:sz w:val="32"/>
          <w:szCs w:val="32"/>
        </w:rPr>
      </w:pPr>
      <w:bookmarkStart w:id="277" w:name="_Toc23273"/>
      <w:bookmarkStart w:id="278" w:name="_Toc31969"/>
      <w:bookmarkStart w:id="279" w:name="_Toc7741"/>
      <w:bookmarkStart w:id="280" w:name="_Toc23793"/>
      <w:bookmarkStart w:id="281" w:name="_Toc12726"/>
      <w:r>
        <w:rPr>
          <w:rFonts w:hint="eastAsia" w:ascii="仿宋_GB2312" w:hAnsi="仿宋_GB2312" w:eastAsia="仿宋_GB2312" w:cs="仿宋_GB2312"/>
          <w:sz w:val="32"/>
          <w:szCs w:val="32"/>
        </w:rPr>
        <w:t>10.申报项目拟新增设备和软件购置清单（见附件2-2）。</w:t>
      </w:r>
      <w:bookmarkEnd w:id="277"/>
      <w:bookmarkEnd w:id="278"/>
      <w:bookmarkEnd w:id="279"/>
      <w:bookmarkEnd w:id="280"/>
      <w:r>
        <w:rPr>
          <w:rFonts w:hint="eastAsia" w:ascii="仿宋_GB2312" w:hAnsi="仿宋_GB2312" w:eastAsia="仿宋_GB2312" w:cs="仿宋_GB2312"/>
          <w:sz w:val="32"/>
          <w:szCs w:val="32"/>
        </w:rPr>
        <w:t>（此项仅分阶段资助项目提供）</w:t>
      </w:r>
      <w:bookmarkEnd w:id="281"/>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11.项目用地规划许可文件及土地使用权属证明，租赁场地的请提供租赁证明（土地权属证明文件的所有人或租赁合同的承租方应与申报单位一致）。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涉及环境影响的，应提供生态环境部门出具的环境影响评价文件的审批意见；如项目不属于环评目录范围，无需生态环境部门出具审批意见的，项目单位须出具不影响环境的承诺函（环评文件项目名称须与申报项目名称一致）。</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13.申报项目使用政府补助资金招标事项计划表（见附件2-3）。</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14.项目建设管理承诺函（见附件2-4）。</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15.近3年项目单位受国家、省、市各级财政资金扶持情况（见附件2-5）。</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16.项目建设情况的投资说明（见附件2-6）。必要的生产、经营许可及认证文件，若无法提供需提交情况说明。（此项仅产业化事后补助扶持计划提供）</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17.项目单位对项目资金申请报告内容和附属文件真实性负责的声明，需加盖公章（见附件2-7）。</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60" w:lineRule="exact"/>
        <w:outlineLvl w:val="1"/>
        <w:rPr>
          <w:rFonts w:ascii="黑体" w:hAnsi="黑体" w:eastAsia="黑体" w:cs="黑体"/>
          <w:sz w:val="32"/>
          <w:szCs w:val="22"/>
        </w:rPr>
      </w:pPr>
      <w:bookmarkStart w:id="282" w:name="_Toc134287886"/>
      <w:r>
        <w:rPr>
          <w:rFonts w:hint="eastAsia" w:ascii="黑体" w:hAnsi="黑体" w:eastAsia="黑体" w:cs="黑体"/>
          <w:bCs/>
          <w:sz w:val="32"/>
          <w:szCs w:val="22"/>
        </w:rPr>
        <w:t>附件2-1</w:t>
      </w:r>
      <w:bookmarkEnd w:id="282"/>
    </w:p>
    <w:p>
      <w:pPr>
        <w:spacing w:line="560" w:lineRule="exact"/>
        <w:ind w:firstLine="708" w:firstLineChars="196"/>
        <w:jc w:val="center"/>
        <w:rPr>
          <w:rFonts w:ascii="宋体" w:hAnsi="宋体"/>
          <w:b/>
          <w:sz w:val="36"/>
          <w:szCs w:val="36"/>
        </w:rPr>
      </w:pPr>
      <w:bookmarkStart w:id="283" w:name="_Toc11659"/>
      <w:bookmarkStart w:id="284" w:name="_Toc1150"/>
      <w:bookmarkStart w:id="285" w:name="_Toc8325"/>
      <w:bookmarkStart w:id="286" w:name="_Toc17212"/>
      <w:bookmarkStart w:id="287" w:name="_Toc23938"/>
      <w:r>
        <w:rPr>
          <w:rFonts w:hint="eastAsia" w:ascii="宋体" w:hAnsi="宋体"/>
          <w:b/>
          <w:sz w:val="36"/>
          <w:szCs w:val="36"/>
        </w:rPr>
        <w:t>项目基本情况表</w:t>
      </w:r>
      <w:bookmarkEnd w:id="283"/>
      <w:bookmarkEnd w:id="284"/>
      <w:bookmarkEnd w:id="285"/>
      <w:bookmarkEnd w:id="286"/>
      <w:bookmarkEnd w:id="287"/>
    </w:p>
    <w:tbl>
      <w:tblPr>
        <w:tblStyle w:val="12"/>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spacing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line="560" w:lineRule="exact"/>
              <w:jc w:val="center"/>
              <w:rPr>
                <w:rFonts w:ascii="宋体" w:hAnsi="宋体" w:cs="宋体"/>
                <w:b/>
                <w:sz w:val="28"/>
                <w:szCs w:val="28"/>
              </w:rPr>
            </w:pPr>
          </w:p>
        </w:tc>
        <w:tc>
          <w:tcPr>
            <w:tcW w:w="1822" w:type="dxa"/>
            <w:gridSpan w:val="3"/>
            <w:vAlign w:val="center"/>
          </w:tcPr>
          <w:p>
            <w:pPr>
              <w:spacing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3895" w:type="dxa"/>
            <w:gridSpan w:val="4"/>
            <w:vAlign w:val="center"/>
          </w:tcPr>
          <w:p>
            <w:pPr>
              <w:spacing w:line="560" w:lineRule="exact"/>
              <w:jc w:val="center"/>
              <w:rPr>
                <w:rFonts w:ascii="宋体" w:hAnsi="宋体" w:cs="宋体"/>
                <w:b/>
                <w:sz w:val="28"/>
                <w:szCs w:val="28"/>
              </w:rPr>
            </w:pPr>
          </w:p>
        </w:tc>
        <w:tc>
          <w:tcPr>
            <w:tcW w:w="3148" w:type="dxa"/>
            <w:gridSpan w:val="4"/>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line="560" w:lineRule="exact"/>
              <w:jc w:val="center"/>
              <w:rPr>
                <w:rFonts w:ascii="宋体" w:hAnsi="宋体" w:cs="宋体"/>
                <w:b/>
                <w:sz w:val="28"/>
                <w:szCs w:val="28"/>
              </w:rPr>
            </w:pPr>
          </w:p>
        </w:tc>
        <w:tc>
          <w:tcPr>
            <w:tcW w:w="1278" w:type="dxa"/>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spacing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line="560" w:lineRule="exact"/>
              <w:jc w:val="center"/>
              <w:rPr>
                <w:rFonts w:ascii="宋体" w:hAnsi="宋体" w:cs="宋体"/>
                <w:b/>
                <w:sz w:val="28"/>
                <w:szCs w:val="28"/>
              </w:rPr>
            </w:pPr>
          </w:p>
        </w:tc>
        <w:tc>
          <w:tcPr>
            <w:tcW w:w="1757" w:type="dxa"/>
            <w:gridSpan w:val="3"/>
            <w:vAlign w:val="center"/>
          </w:tcPr>
          <w:p>
            <w:pPr>
              <w:spacing w:line="560" w:lineRule="exact"/>
              <w:jc w:val="center"/>
              <w:rPr>
                <w:rFonts w:ascii="宋体" w:hAnsi="宋体" w:cs="宋体"/>
                <w:b/>
                <w:sz w:val="28"/>
                <w:szCs w:val="28"/>
              </w:rPr>
            </w:pPr>
          </w:p>
        </w:tc>
        <w:tc>
          <w:tcPr>
            <w:tcW w:w="1653" w:type="dxa"/>
            <w:gridSpan w:val="2"/>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spacing w:line="560" w:lineRule="exact"/>
              <w:jc w:val="center"/>
              <w:rPr>
                <w:rFonts w:ascii="宋体" w:hAnsi="宋体" w:cs="宋体"/>
                <w:b/>
                <w:kern w:val="0"/>
                <w:sz w:val="28"/>
                <w:szCs w:val="28"/>
              </w:rPr>
            </w:pPr>
          </w:p>
        </w:tc>
        <w:tc>
          <w:tcPr>
            <w:tcW w:w="2355" w:type="dxa"/>
            <w:gridSpan w:val="2"/>
            <w:vAlign w:val="center"/>
          </w:tcPr>
          <w:p>
            <w:pPr>
              <w:spacing w:line="560" w:lineRule="exact"/>
              <w:jc w:val="center"/>
              <w:rPr>
                <w:rFonts w:ascii="宋体" w:hAnsi="宋体" w:cs="宋体"/>
                <w:b/>
                <w:kern w:val="0"/>
                <w:sz w:val="28"/>
                <w:szCs w:val="28"/>
              </w:rPr>
            </w:pPr>
          </w:p>
        </w:tc>
        <w:tc>
          <w:tcPr>
            <w:tcW w:w="1842" w:type="dxa"/>
            <w:gridSpan w:val="3"/>
            <w:vAlign w:val="center"/>
          </w:tcPr>
          <w:p>
            <w:pPr>
              <w:spacing w:line="560" w:lineRule="exact"/>
              <w:jc w:val="center"/>
              <w:rPr>
                <w:rFonts w:ascii="宋体" w:hAnsi="宋体" w:cs="宋体"/>
                <w:b/>
                <w:kern w:val="0"/>
                <w:sz w:val="28"/>
                <w:szCs w:val="28"/>
              </w:rPr>
            </w:pPr>
          </w:p>
        </w:tc>
        <w:tc>
          <w:tcPr>
            <w:tcW w:w="1418" w:type="dxa"/>
            <w:gridSpan w:val="2"/>
            <w:vAlign w:val="center"/>
          </w:tcPr>
          <w:p>
            <w:pPr>
              <w:spacing w:line="560" w:lineRule="exact"/>
              <w:jc w:val="center"/>
              <w:rPr>
                <w:rFonts w:ascii="宋体" w:hAnsi="宋体" w:cs="宋体"/>
                <w:b/>
                <w:kern w:val="0"/>
                <w:sz w:val="28"/>
                <w:szCs w:val="28"/>
              </w:rPr>
            </w:pPr>
          </w:p>
        </w:tc>
        <w:tc>
          <w:tcPr>
            <w:tcW w:w="1428" w:type="dxa"/>
            <w:vAlign w:val="center"/>
          </w:tcPr>
          <w:p>
            <w:pPr>
              <w:spacing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spacing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spacing w:line="560" w:lineRule="exact"/>
              <w:jc w:val="center"/>
              <w:rPr>
                <w:rFonts w:ascii="宋体" w:hAnsi="宋体" w:cs="宋体"/>
                <w:b/>
                <w:kern w:val="0"/>
                <w:sz w:val="28"/>
                <w:szCs w:val="28"/>
              </w:rPr>
            </w:pPr>
          </w:p>
        </w:tc>
      </w:tr>
    </w:tbl>
    <w:p>
      <w:pPr>
        <w:pStyle w:val="2"/>
        <w:spacing w:after="0" w:line="560" w:lineRule="exact"/>
        <w:ind w:firstLine="0"/>
      </w:pPr>
    </w:p>
    <w:p>
      <w:pPr>
        <w:pStyle w:val="2"/>
        <w:spacing w:after="0" w:line="560" w:lineRule="exact"/>
        <w:ind w:firstLine="0"/>
      </w:pPr>
    </w:p>
    <w:p>
      <w:pPr>
        <w:spacing w:line="560" w:lineRule="exact"/>
      </w:pPr>
      <w:r>
        <w:br w:type="page"/>
      </w:r>
    </w:p>
    <w:p>
      <w:pPr>
        <w:outlineLvl w:val="1"/>
        <w:rPr>
          <w:rFonts w:ascii="黑体" w:hAnsi="黑体" w:eastAsia="黑体" w:cs="黑体"/>
          <w:sz w:val="32"/>
          <w:szCs w:val="22"/>
        </w:rPr>
      </w:pPr>
      <w:bookmarkStart w:id="288" w:name="_Toc134287887"/>
      <w:r>
        <w:rPr>
          <w:rFonts w:hint="eastAsia" w:ascii="黑体" w:hAnsi="黑体" w:eastAsia="黑体" w:cs="黑体"/>
          <w:sz w:val="32"/>
          <w:szCs w:val="22"/>
        </w:rPr>
        <w:t>附件2-2</w:t>
      </w:r>
      <w:bookmarkEnd w:id="288"/>
    </w:p>
    <w:p>
      <w:pPr>
        <w:spacing w:line="560" w:lineRule="exact"/>
        <w:jc w:val="center"/>
        <w:rPr>
          <w:rFonts w:ascii="宋体" w:hAnsi="宋体"/>
          <w:b/>
          <w:sz w:val="36"/>
          <w:szCs w:val="36"/>
        </w:rPr>
      </w:pPr>
      <w:r>
        <w:rPr>
          <w:rFonts w:hint="eastAsia" w:ascii="宋体" w:hAnsi="宋体"/>
          <w:b/>
          <w:sz w:val="36"/>
          <w:szCs w:val="36"/>
        </w:rPr>
        <w:t>项目拟新增设备/软件购置清单</w:t>
      </w:r>
    </w:p>
    <w:p>
      <w:pPr>
        <w:spacing w:line="560" w:lineRule="exact"/>
        <w:ind w:left="990"/>
        <w:jc w:val="center"/>
        <w:rPr>
          <w:rFonts w:ascii="仿宋_GB2312"/>
          <w:b/>
        </w:rPr>
      </w:pPr>
      <w:r>
        <w:rPr>
          <w:rFonts w:hint="eastAsia" w:ascii="仿宋_GB2312"/>
          <w:b/>
        </w:rPr>
        <w:t xml:space="preserve">                             单位：万元</w:t>
      </w:r>
    </w:p>
    <w:tbl>
      <w:tblPr>
        <w:tblStyle w:val="12"/>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bCs/>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bCs/>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560" w:lineRule="exact"/>
              <w:jc w:val="center"/>
              <w:rPr>
                <w:rFonts w:ascii="仿宋_GB2312" w:hAnsi="宋体" w:cs="宋体"/>
                <w:kern w:val="0"/>
                <w:szCs w:val="21"/>
              </w:rPr>
            </w:pPr>
          </w:p>
        </w:tc>
        <w:tc>
          <w:tcPr>
            <w:tcW w:w="1418" w:type="dxa"/>
            <w:vAlign w:val="center"/>
          </w:tcPr>
          <w:p>
            <w:pPr>
              <w:spacing w:line="560" w:lineRule="exact"/>
              <w:jc w:val="center"/>
              <w:rPr>
                <w:rFonts w:ascii="仿宋_GB2312" w:hAnsi="宋体" w:cs="宋体"/>
                <w:szCs w:val="21"/>
              </w:rPr>
            </w:pPr>
          </w:p>
        </w:tc>
        <w:tc>
          <w:tcPr>
            <w:tcW w:w="1117" w:type="dxa"/>
            <w:vAlign w:val="center"/>
          </w:tcPr>
          <w:p>
            <w:pPr>
              <w:spacing w:line="560" w:lineRule="exact"/>
              <w:jc w:val="center"/>
              <w:rPr>
                <w:rFonts w:ascii="仿宋_GB2312" w:hAnsi="宋体" w:cs="宋体"/>
                <w:szCs w:val="21"/>
              </w:rPr>
            </w:pP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szCs w:val="21"/>
              </w:rPr>
            </w:pPr>
          </w:p>
        </w:tc>
        <w:tc>
          <w:tcPr>
            <w:tcW w:w="1178" w:type="dxa"/>
            <w:vAlign w:val="center"/>
          </w:tcPr>
          <w:p>
            <w:pPr>
              <w:spacing w:line="560" w:lineRule="exact"/>
              <w:jc w:val="center"/>
              <w:rPr>
                <w:rFonts w:ascii="仿宋_GB2312" w:hAnsi="宋体" w:cs="宋体"/>
                <w:szCs w:val="21"/>
              </w:rPr>
            </w:pPr>
          </w:p>
        </w:tc>
        <w:tc>
          <w:tcPr>
            <w:tcW w:w="1906" w:type="dxa"/>
            <w:vAlign w:val="center"/>
          </w:tcPr>
          <w:p>
            <w:pPr>
              <w:spacing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spacing w:line="560" w:lineRule="exact"/>
              <w:jc w:val="center"/>
              <w:rPr>
                <w:rFonts w:ascii="仿宋_GB2312" w:hAnsi="宋体"/>
                <w:b/>
                <w:sz w:val="24"/>
              </w:rPr>
            </w:pPr>
            <w:r>
              <w:rPr>
                <w:rFonts w:hint="eastAsia" w:ascii="仿宋_GB2312" w:hAnsi="宋体"/>
                <w:b/>
                <w:sz w:val="24"/>
              </w:rPr>
              <w:t>合计</w:t>
            </w:r>
          </w:p>
        </w:tc>
        <w:tc>
          <w:tcPr>
            <w:tcW w:w="1117"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spacing w:line="560" w:lineRule="exact"/>
              <w:jc w:val="center"/>
              <w:rPr>
                <w:rFonts w:ascii="仿宋_GB2312" w:hAnsi="宋体" w:cs="宋体"/>
                <w:kern w:val="0"/>
                <w:szCs w:val="21"/>
              </w:rPr>
            </w:pPr>
          </w:p>
        </w:tc>
        <w:tc>
          <w:tcPr>
            <w:tcW w:w="1010" w:type="dxa"/>
            <w:vAlign w:val="center"/>
          </w:tcPr>
          <w:p>
            <w:pPr>
              <w:spacing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spacing w:line="560" w:lineRule="exact"/>
              <w:jc w:val="center"/>
              <w:rPr>
                <w:rFonts w:ascii="仿宋_GB2312" w:hAnsi="宋体" w:cs="宋体"/>
                <w:kern w:val="0"/>
                <w:szCs w:val="21"/>
              </w:rPr>
            </w:pPr>
          </w:p>
        </w:tc>
        <w:tc>
          <w:tcPr>
            <w:tcW w:w="1906" w:type="dxa"/>
            <w:vAlign w:val="center"/>
          </w:tcPr>
          <w:p>
            <w:pPr>
              <w:spacing w:line="560" w:lineRule="exact"/>
              <w:jc w:val="center"/>
              <w:rPr>
                <w:rFonts w:ascii="仿宋_GB2312" w:hAnsi="宋体" w:cs="宋体"/>
                <w:szCs w:val="21"/>
              </w:rPr>
            </w:pPr>
            <w:r>
              <w:rPr>
                <w:rFonts w:hint="eastAsia" w:ascii="仿宋_GB2312" w:hAnsi="宋体" w:cs="宋体"/>
                <w:szCs w:val="21"/>
              </w:rPr>
              <w:t>——</w:t>
            </w:r>
          </w:p>
        </w:tc>
      </w:tr>
    </w:tbl>
    <w:p>
      <w:pPr>
        <w:spacing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sz w:val="32"/>
          <w:szCs w:val="32"/>
        </w:rPr>
        <w:sectPr>
          <w:pgSz w:w="11906" w:h="16838"/>
          <w:pgMar w:top="1134" w:right="1559" w:bottom="1134" w:left="1644" w:header="851" w:footer="992" w:gutter="0"/>
          <w:cols w:space="720" w:num="1"/>
          <w:titlePg/>
          <w:docGrid w:type="lines" w:linePitch="312" w:charSpace="0"/>
        </w:sectPr>
      </w:pPr>
    </w:p>
    <w:p>
      <w:pPr>
        <w:outlineLvl w:val="1"/>
        <w:rPr>
          <w:rFonts w:ascii="黑体" w:hAnsi="黑体" w:eastAsia="黑体" w:cs="黑体"/>
          <w:sz w:val="32"/>
          <w:szCs w:val="22"/>
        </w:rPr>
      </w:pPr>
      <w:bookmarkStart w:id="289" w:name="_Toc134287888"/>
      <w:r>
        <w:rPr>
          <w:rFonts w:hint="eastAsia" w:ascii="黑体" w:hAnsi="黑体" w:eastAsia="黑体" w:cs="黑体"/>
          <w:sz w:val="32"/>
          <w:szCs w:val="22"/>
        </w:rPr>
        <w:t>附件2-3</w:t>
      </w:r>
      <w:bookmarkEnd w:id="289"/>
    </w:p>
    <w:p>
      <w:pPr>
        <w:spacing w:line="560" w:lineRule="exact"/>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after="0" w:line="560" w:lineRule="exact"/>
      </w:pPr>
    </w:p>
    <w:tbl>
      <w:tblPr>
        <w:tblStyle w:val="12"/>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560" w:lineRule="exact"/>
              <w:rPr>
                <w:rFonts w:ascii="仿宋_GB2312" w:eastAsia="仿宋_GB2312"/>
                <w:b/>
                <w:sz w:val="28"/>
                <w:szCs w:val="28"/>
              </w:rPr>
            </w:pPr>
          </w:p>
        </w:tc>
        <w:tc>
          <w:tcPr>
            <w:tcW w:w="1651" w:type="dxa"/>
          </w:tcPr>
          <w:p>
            <w:pPr>
              <w:spacing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restart"/>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00" w:type="dxa"/>
          </w:tcPr>
          <w:p>
            <w:pPr>
              <w:spacing w:line="560" w:lineRule="exact"/>
              <w:rPr>
                <w:rFonts w:ascii="仿宋_GB2312" w:eastAsia="仿宋_GB2312"/>
                <w:sz w:val="28"/>
                <w:szCs w:val="28"/>
              </w:rPr>
            </w:pPr>
          </w:p>
        </w:tc>
        <w:tc>
          <w:tcPr>
            <w:tcW w:w="1830" w:type="dxa"/>
            <w:vMerge w:val="continue"/>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line="560" w:lineRule="exact"/>
              <w:rPr>
                <w:rFonts w:ascii="仿宋_GB2312" w:eastAsia="仿宋_GB2312"/>
                <w:sz w:val="28"/>
                <w:szCs w:val="28"/>
              </w:rPr>
            </w:pPr>
            <w:r>
              <w:rPr>
                <w:rFonts w:hint="eastAsia" w:ascii="仿宋_GB2312" w:eastAsia="仿宋_GB2312"/>
                <w:sz w:val="28"/>
                <w:szCs w:val="28"/>
              </w:rPr>
              <w:t>项目申报单位意见说明：</w:t>
            </w:r>
          </w:p>
          <w:p>
            <w:pPr>
              <w:spacing w:line="560" w:lineRule="exact"/>
              <w:rPr>
                <w:rFonts w:ascii="仿宋_GB2312" w:eastAsia="仿宋_GB2312"/>
                <w:sz w:val="28"/>
                <w:szCs w:val="28"/>
              </w:rPr>
            </w:pPr>
            <w:r>
              <w:rPr>
                <w:rFonts w:hint="eastAsia" w:ascii="仿宋_GB2312" w:eastAsia="仿宋_GB2312"/>
                <w:sz w:val="28"/>
                <w:szCs w:val="28"/>
              </w:rPr>
              <w:t>　　　　　　　　　　　　　　　　　　　　　　　　（盖 章）</w:t>
            </w:r>
          </w:p>
          <w:p>
            <w:pPr>
              <w:spacing w:line="560" w:lineRule="exact"/>
              <w:rPr>
                <w:rFonts w:ascii="仿宋_GB2312" w:eastAsia="仿宋_GB2312"/>
                <w:sz w:val="28"/>
                <w:szCs w:val="28"/>
              </w:rPr>
            </w:pPr>
            <w:r>
              <w:rPr>
                <w:rFonts w:hint="eastAsia" w:ascii="仿宋_GB2312" w:eastAsia="仿宋_GB2312"/>
                <w:sz w:val="28"/>
                <w:szCs w:val="28"/>
              </w:rPr>
              <w:t>　　　　　　　　　　　　　　　　　　　　　　年　　月　　日</w:t>
            </w:r>
          </w:p>
        </w:tc>
      </w:tr>
    </w:tbl>
    <w:p>
      <w:pPr>
        <w:tabs>
          <w:tab w:val="left" w:pos="-180"/>
        </w:tabs>
        <w:jc w:val="left"/>
        <w:rPr>
          <w:rFonts w:ascii="仿宋_GB2312" w:eastAsia="仿宋_GB2312"/>
          <w:sz w:val="24"/>
        </w:rPr>
      </w:pPr>
    </w:p>
    <w:p>
      <w:pPr>
        <w:tabs>
          <w:tab w:val="left" w:pos="-180"/>
        </w:tabs>
        <w:jc w:val="left"/>
        <w:rPr>
          <w:rFonts w:ascii="仿宋_GB2312" w:eastAsia="仿宋_GB2312"/>
          <w:sz w:val="24"/>
        </w:rPr>
      </w:pPr>
      <w:r>
        <w:rPr>
          <w:rFonts w:hint="eastAsia" w:ascii="仿宋_GB2312" w:eastAsia="仿宋_GB2312"/>
          <w:sz w:val="24"/>
        </w:rPr>
        <w:t>填写说明：</w:t>
      </w:r>
    </w:p>
    <w:p>
      <w:pPr>
        <w:tabs>
          <w:tab w:val="left" w:pos="-180"/>
        </w:tabs>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tabs>
          <w:tab w:val="left" w:pos="-180"/>
        </w:tabs>
        <w:jc w:val="left"/>
        <w:rPr>
          <w:rFonts w:ascii="仿宋_GB2312" w:eastAsia="仿宋_GB2312"/>
          <w:sz w:val="24"/>
        </w:rPr>
      </w:pPr>
      <w:bookmarkStart w:id="290" w:name="_Toc3072"/>
      <w:bookmarkStart w:id="291" w:name="_Toc9203"/>
      <w:bookmarkStart w:id="292" w:name="_Toc20592"/>
      <w:bookmarkStart w:id="293" w:name="_Toc26202"/>
      <w:bookmarkStart w:id="294" w:name="_Toc13391"/>
      <w:r>
        <w:rPr>
          <w:rFonts w:hint="eastAsia" w:ascii="仿宋_GB2312" w:eastAsia="仿宋_GB2312"/>
          <w:sz w:val="24"/>
        </w:rPr>
        <w:t>2、使用政府资助资金购置仪器设备及软硬件须进行公开招标。</w:t>
      </w:r>
      <w:bookmarkEnd w:id="290"/>
      <w:bookmarkEnd w:id="291"/>
      <w:bookmarkEnd w:id="292"/>
      <w:bookmarkEnd w:id="293"/>
      <w:bookmarkEnd w:id="294"/>
    </w:p>
    <w:p>
      <w:pPr>
        <w:spacing w:line="560" w:lineRule="exact"/>
        <w:sectPr>
          <w:headerReference r:id="rId14" w:type="default"/>
          <w:footerReference r:id="rId15" w:type="default"/>
          <w:footerReference r:id="rId16" w:type="even"/>
          <w:pgSz w:w="11906" w:h="16838"/>
          <w:pgMar w:top="1134" w:right="1559" w:bottom="1134" w:left="1644" w:header="851" w:footer="992" w:gutter="0"/>
          <w:pgNumType w:start="29"/>
          <w:cols w:space="720" w:num="1"/>
          <w:titlePg/>
          <w:docGrid w:type="lines" w:linePitch="312" w:charSpace="0"/>
        </w:sectPr>
      </w:pPr>
    </w:p>
    <w:p>
      <w:pPr>
        <w:outlineLvl w:val="1"/>
        <w:rPr>
          <w:rFonts w:ascii="黑体" w:hAnsi="黑体" w:eastAsia="黑体" w:cs="黑体"/>
          <w:sz w:val="32"/>
          <w:szCs w:val="22"/>
        </w:rPr>
      </w:pPr>
      <w:bookmarkStart w:id="295" w:name="_Toc134287889"/>
      <w:r>
        <w:rPr>
          <w:rFonts w:hint="eastAsia" w:ascii="黑体" w:hAnsi="黑体" w:eastAsia="黑体" w:cs="黑体"/>
          <w:sz w:val="32"/>
          <w:szCs w:val="22"/>
        </w:rPr>
        <w:t>附件2-4</w:t>
      </w:r>
      <w:bookmarkEnd w:id="295"/>
    </w:p>
    <w:p>
      <w:pPr>
        <w:spacing w:line="560" w:lineRule="exact"/>
        <w:jc w:val="center"/>
        <w:rPr>
          <w:rFonts w:ascii="宋体" w:hAnsi="宋体"/>
          <w:b/>
          <w:sz w:val="36"/>
          <w:szCs w:val="36"/>
        </w:rPr>
      </w:pPr>
    </w:p>
    <w:p>
      <w:pPr>
        <w:spacing w:line="560" w:lineRule="exact"/>
        <w:jc w:val="center"/>
        <w:rPr>
          <w:rFonts w:ascii="宋体" w:hAnsi="宋体"/>
          <w:b/>
          <w:sz w:val="36"/>
          <w:szCs w:val="36"/>
        </w:rPr>
      </w:pPr>
      <w:r>
        <w:rPr>
          <w:rFonts w:hint="eastAsia" w:ascii="宋体" w:hAnsi="宋体"/>
          <w:b/>
          <w:sz w:val="36"/>
          <w:szCs w:val="36"/>
        </w:rPr>
        <w:t>项目建设管理承诺函</w:t>
      </w:r>
    </w:p>
    <w:p>
      <w:pPr>
        <w:spacing w:line="560" w:lineRule="exact"/>
        <w:jc w:val="center"/>
        <w:rPr>
          <w:rFonts w:ascii="宋体" w:hAnsi="宋体"/>
          <w:b/>
          <w:sz w:val="36"/>
          <w:szCs w:val="36"/>
        </w:rPr>
      </w:pPr>
    </w:p>
    <w:p>
      <w:pPr>
        <w:tabs>
          <w:tab w:val="right" w:pos="8505"/>
        </w:tabs>
        <w:spacing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5、近3年项目单位受国家、省、市各级财政资金扶持情况汇总表（见附件2-5）。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after="0" w:line="560" w:lineRule="exact"/>
        <w:ind w:firstLine="640" w:firstLineChars="200"/>
        <w:rPr>
          <w:rFonts w:ascii="仿宋_GB2312" w:eastAsia="仿宋_GB2312"/>
          <w:sz w:val="32"/>
          <w:szCs w:val="32"/>
        </w:rPr>
      </w:pPr>
      <w:bookmarkStart w:id="296" w:name="_Toc21919"/>
      <w:bookmarkStart w:id="297" w:name="_Toc14591"/>
      <w:bookmarkStart w:id="298" w:name="_Toc32478"/>
      <w:bookmarkStart w:id="299" w:name="_Toc20843"/>
      <w:bookmarkStart w:id="300" w:name="_Toc25722"/>
      <w:r>
        <w:rPr>
          <w:rFonts w:hint="eastAsia" w:ascii="仿宋_GB2312" w:eastAsia="仿宋_GB2312"/>
          <w:sz w:val="32"/>
          <w:szCs w:val="32"/>
        </w:rPr>
        <w:t>7、若发生与上述承诺相违背的事实，由本单位承担全部法律责任。</w:t>
      </w:r>
      <w:bookmarkEnd w:id="296"/>
      <w:bookmarkEnd w:id="297"/>
      <w:bookmarkEnd w:id="298"/>
      <w:bookmarkEnd w:id="299"/>
      <w:bookmarkEnd w:id="300"/>
    </w:p>
    <w:p>
      <w:pPr>
        <w:spacing w:line="560" w:lineRule="exact"/>
        <w:rPr>
          <w:rFonts w:ascii="仿宋_GB2312" w:eastAsia="仿宋_GB2312"/>
          <w:sz w:val="32"/>
          <w:szCs w:val="32"/>
        </w:rPr>
      </w:pPr>
      <w:r>
        <w:rPr>
          <w:rFonts w:hint="eastAsia" w:ascii="仿宋_GB2312" w:eastAsia="仿宋_GB2312"/>
          <w:sz w:val="32"/>
          <w:szCs w:val="32"/>
        </w:rPr>
        <w:t>项目联系人1：                项目联系人2：</w:t>
      </w:r>
    </w:p>
    <w:p>
      <w:pPr>
        <w:spacing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line="560" w:lineRule="exact"/>
        <w:rPr>
          <w:rFonts w:ascii="仿宋_GB2312" w:eastAsia="仿宋_GB2312"/>
          <w:sz w:val="32"/>
          <w:szCs w:val="32"/>
        </w:rPr>
      </w:pPr>
      <w:r>
        <w:rPr>
          <w:rFonts w:hint="eastAsia" w:ascii="仿宋_GB2312" w:eastAsia="仿宋_GB2312"/>
          <w:sz w:val="32"/>
          <w:szCs w:val="32"/>
        </w:rPr>
        <w:t>所在部门：                    所在部门：</w:t>
      </w:r>
    </w:p>
    <w:p>
      <w:pPr>
        <w:spacing w:line="560" w:lineRule="exact"/>
        <w:rPr>
          <w:rFonts w:ascii="仿宋_GB2312" w:eastAsia="仿宋_GB2312"/>
          <w:sz w:val="32"/>
          <w:szCs w:val="32"/>
        </w:rPr>
      </w:pPr>
      <w:r>
        <w:rPr>
          <w:rFonts w:hint="eastAsia" w:ascii="仿宋_GB2312" w:eastAsia="仿宋_GB2312"/>
          <w:sz w:val="32"/>
          <w:szCs w:val="32"/>
        </w:rPr>
        <w:t>手机：                        手机：</w:t>
      </w:r>
    </w:p>
    <w:p>
      <w:pPr>
        <w:spacing w:line="560" w:lineRule="exact"/>
        <w:rPr>
          <w:rFonts w:ascii="仿宋_GB2312" w:eastAsia="仿宋_GB2312"/>
          <w:sz w:val="32"/>
          <w:szCs w:val="32"/>
        </w:rPr>
      </w:pPr>
      <w:r>
        <w:rPr>
          <w:rFonts w:hint="eastAsia" w:ascii="仿宋_GB2312" w:eastAsia="仿宋_GB2312"/>
          <w:sz w:val="32"/>
          <w:szCs w:val="32"/>
        </w:rPr>
        <w:t>邮箱：                        邮箱：</w:t>
      </w:r>
    </w:p>
    <w:p>
      <w:pPr>
        <w:spacing w:line="560" w:lineRule="exact"/>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仿宋_GB2312" w:eastAsia="仿宋_GB2312"/>
          <w:sz w:val="32"/>
          <w:szCs w:val="32"/>
        </w:rPr>
        <w:t>特此承诺。</w:t>
      </w:r>
    </w:p>
    <w:p>
      <w:pPr>
        <w:spacing w:line="560" w:lineRule="exact"/>
        <w:ind w:firstLine="648"/>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line="560" w:lineRule="exact"/>
        <w:ind w:firstLine="3520" w:firstLineChars="1100"/>
        <w:rPr>
          <w:rFonts w:ascii="仿宋_GB2312" w:eastAsia="仿宋_GB2312"/>
          <w:sz w:val="32"/>
          <w:szCs w:val="32"/>
        </w:rPr>
        <w:sectPr>
          <w:pgSz w:w="11906" w:h="16838"/>
          <w:pgMar w:top="1134" w:right="1559" w:bottom="1134" w:left="1644" w:header="851" w:footer="992" w:gutter="0"/>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ascii="黑体" w:hAnsi="黑体" w:eastAsia="黑体" w:cs="黑体"/>
          <w:sz w:val="32"/>
          <w:szCs w:val="22"/>
        </w:rPr>
      </w:pPr>
      <w:bookmarkStart w:id="301" w:name="_Toc134287890"/>
      <w:r>
        <w:rPr>
          <w:rFonts w:hint="eastAsia" w:ascii="黑体" w:hAnsi="黑体" w:eastAsia="黑体" w:cs="黑体"/>
          <w:sz w:val="32"/>
          <w:szCs w:val="22"/>
        </w:rPr>
        <w:t>附件2-5</w:t>
      </w:r>
      <w:bookmarkEnd w:id="301"/>
    </w:p>
    <w:p>
      <w:pPr>
        <w:spacing w:line="560" w:lineRule="exact"/>
        <w:jc w:val="center"/>
        <w:rPr>
          <w:rFonts w:ascii="宋体" w:hAnsi="宋体" w:cs="宋体"/>
          <w:b/>
          <w:sz w:val="36"/>
          <w:szCs w:val="36"/>
        </w:rPr>
      </w:pPr>
      <w:bookmarkStart w:id="302" w:name="_Toc14220"/>
      <w:bookmarkStart w:id="303" w:name="_Toc2776"/>
      <w:bookmarkStart w:id="304" w:name="_Toc7923"/>
      <w:bookmarkStart w:id="305" w:name="_Toc15858"/>
      <w:bookmarkStart w:id="306" w:name="_Toc16004"/>
      <w:r>
        <w:rPr>
          <w:rFonts w:hint="eastAsia" w:ascii="宋体" w:hAnsi="宋体" w:cs="宋体"/>
          <w:b/>
          <w:sz w:val="36"/>
          <w:szCs w:val="36"/>
        </w:rPr>
        <w:t>近3年项目单位受国家、省、市各级财政资金扶持情况</w:t>
      </w:r>
      <w:bookmarkEnd w:id="302"/>
      <w:bookmarkEnd w:id="303"/>
      <w:bookmarkEnd w:id="304"/>
      <w:bookmarkEnd w:id="305"/>
      <w:bookmarkEnd w:id="306"/>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12"/>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1</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2</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3</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4</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5</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ascii="宋体" w:hAnsi="宋体"/>
                <w:sz w:val="32"/>
                <w:szCs w:val="32"/>
              </w:rPr>
              <w:t>……</w:t>
            </w:r>
          </w:p>
        </w:tc>
        <w:tc>
          <w:tcPr>
            <w:tcW w:w="1559" w:type="dxa"/>
          </w:tcPr>
          <w:p>
            <w:pPr>
              <w:spacing w:line="560" w:lineRule="exact"/>
              <w:jc w:val="center"/>
              <w:rPr>
                <w:rFonts w:ascii="宋体" w:hAnsi="宋体"/>
                <w:b/>
                <w:sz w:val="32"/>
                <w:szCs w:val="32"/>
              </w:rPr>
            </w:pPr>
            <w:r>
              <w:rPr>
                <w:rFonts w:hint="eastAsia" w:ascii="宋体" w:hAnsi="宋体"/>
                <w:b/>
                <w:sz w:val="32"/>
                <w:szCs w:val="32"/>
              </w:rPr>
              <w:t>……</w:t>
            </w: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bl>
    <w:p>
      <w:pPr>
        <w:pStyle w:val="4"/>
        <w:keepNext w:val="0"/>
        <w:keepLines w:val="0"/>
        <w:spacing w:before="0" w:after="0" w:line="560" w:lineRule="exact"/>
        <w:rPr>
          <w:rFonts w:ascii="仿宋_GB2312"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outlineLvl w:val="1"/>
        <w:rPr>
          <w:rFonts w:ascii="黑体" w:hAnsi="黑体" w:eastAsia="黑体" w:cs="黑体"/>
          <w:sz w:val="32"/>
          <w:szCs w:val="22"/>
        </w:rPr>
      </w:pPr>
      <w:bookmarkStart w:id="307" w:name="_Toc134287891"/>
      <w:r>
        <w:rPr>
          <w:rFonts w:hint="eastAsia" w:ascii="黑体" w:hAnsi="黑体" w:eastAsia="黑体" w:cs="黑体"/>
          <w:sz w:val="32"/>
          <w:szCs w:val="22"/>
        </w:rPr>
        <w:t>附件2-6</w:t>
      </w:r>
      <w:bookmarkEnd w:id="307"/>
    </w:p>
    <w:p>
      <w:pPr>
        <w:spacing w:line="560" w:lineRule="exact"/>
        <w:jc w:val="center"/>
        <w:rPr>
          <w:rFonts w:ascii="宋体" w:hAnsi="宋体" w:cs="宋体"/>
          <w:sz w:val="44"/>
          <w:szCs w:val="44"/>
        </w:rPr>
      </w:pPr>
    </w:p>
    <w:p>
      <w:pPr>
        <w:spacing w:line="560" w:lineRule="exact"/>
        <w:jc w:val="center"/>
        <w:rPr>
          <w:rFonts w:ascii="宋体" w:hAnsi="宋体"/>
          <w:b/>
          <w:sz w:val="36"/>
          <w:szCs w:val="20"/>
        </w:rPr>
      </w:pPr>
      <w:bookmarkStart w:id="308" w:name="_Toc28667"/>
      <w:bookmarkStart w:id="309" w:name="_Toc15487"/>
      <w:bookmarkStart w:id="310" w:name="_Toc6073"/>
      <w:bookmarkStart w:id="311" w:name="_Toc11074"/>
      <w:bookmarkStart w:id="312" w:name="_Toc20035"/>
      <w:r>
        <w:rPr>
          <w:rFonts w:hint="eastAsia" w:ascii="宋体" w:hAnsi="宋体"/>
          <w:b/>
          <w:sz w:val="36"/>
          <w:szCs w:val="20"/>
        </w:rPr>
        <w:t>项目建设情况的投资说明</w:t>
      </w:r>
      <w:bookmarkEnd w:id="308"/>
      <w:bookmarkEnd w:id="309"/>
      <w:bookmarkEnd w:id="310"/>
      <w:bookmarkEnd w:id="311"/>
      <w:bookmarkEnd w:id="312"/>
    </w:p>
    <w:p>
      <w:pPr>
        <w:spacing w:line="560" w:lineRule="exact"/>
      </w:pPr>
    </w:p>
    <w:p>
      <w:pPr>
        <w:spacing w:line="560" w:lineRule="exact"/>
        <w:rPr>
          <w:rFonts w:eastAsia="仿宋_GB2312"/>
          <w:sz w:val="32"/>
          <w:szCs w:val="22"/>
        </w:rPr>
      </w:pPr>
      <w:r>
        <w:rPr>
          <w:rFonts w:hint="eastAsia" w:eastAsia="仿宋_GB2312"/>
          <w:sz w:val="32"/>
          <w:szCs w:val="22"/>
        </w:rPr>
        <w:t>深圳市发展和改革委员会：</w:t>
      </w:r>
    </w:p>
    <w:p>
      <w:pPr>
        <w:spacing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日），其中，已完成投资XXXX万元，计划新增投资XX万元（详见附件2-</w:t>
      </w:r>
      <w:r>
        <w:rPr>
          <w:rFonts w:hint="eastAsia" w:ascii="仿宋_GB2312" w:hAnsi="仿宋_GB2312" w:eastAsia="仿宋_GB2312" w:cs="仿宋_GB2312"/>
          <w:sz w:val="32"/>
          <w:szCs w:val="22"/>
          <w:lang w:val="en-US" w:eastAsia="zh-CN"/>
        </w:rPr>
        <w:t>6</w:t>
      </w:r>
      <w:r>
        <w:rPr>
          <w:rFonts w:hint="eastAsia" w:ascii="仿宋_GB2312" w:hAnsi="仿宋_GB2312" w:eastAsia="仿宋_GB2312" w:cs="仿宋_GB2312"/>
          <w:sz w:val="32"/>
          <w:szCs w:val="22"/>
        </w:rPr>
        <w:t>.1）。并提供项目新增设备清单（详见附件2）。</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XX（单位名称）</w:t>
      </w:r>
    </w:p>
    <w:p>
      <w:pPr>
        <w:spacing w:line="560" w:lineRule="exact"/>
        <w:ind w:firstLine="640" w:firstLineChars="200"/>
        <w:jc w:val="right"/>
        <w:rPr>
          <w:rFonts w:eastAsia="仿宋_GB2312"/>
          <w:sz w:val="32"/>
          <w:szCs w:val="22"/>
        </w:rPr>
      </w:pPr>
      <w:bookmarkStart w:id="313" w:name="_Toc30927"/>
      <w:bookmarkStart w:id="314" w:name="_Toc21892"/>
      <w:bookmarkStart w:id="315" w:name="_Toc7864"/>
      <w:bookmarkStart w:id="316" w:name="_Toc31350"/>
      <w:bookmarkStart w:id="317" w:name="_Toc11424"/>
      <w:r>
        <w:rPr>
          <w:rFonts w:hint="eastAsia" w:eastAsia="仿宋_GB2312"/>
          <w:sz w:val="32"/>
          <w:szCs w:val="22"/>
        </w:rPr>
        <w:t>20XX年X月X日</w:t>
      </w:r>
      <w:bookmarkEnd w:id="313"/>
      <w:bookmarkEnd w:id="314"/>
      <w:bookmarkEnd w:id="315"/>
      <w:bookmarkEnd w:id="316"/>
      <w:bookmarkEnd w:id="317"/>
    </w:p>
    <w:p>
      <w:pPr>
        <w:pStyle w:val="2"/>
        <w:spacing w:after="0" w:line="560" w:lineRule="exact"/>
        <w:rPr>
          <w:rFonts w:eastAsia="仿宋_GB2312"/>
          <w:sz w:val="32"/>
          <w:szCs w:val="22"/>
        </w:rPr>
      </w:pPr>
    </w:p>
    <w:p>
      <w:pPr>
        <w:spacing w:line="560" w:lineRule="exact"/>
      </w:pPr>
      <w:r>
        <w:br w:type="page"/>
      </w:r>
    </w:p>
    <w:tbl>
      <w:tblPr>
        <w:tblStyle w:val="12"/>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line="560" w:lineRule="exact"/>
            </w:pPr>
            <w:r>
              <w:rPr>
                <w:rFonts w:ascii="黑体" w:hAnsi="黑体" w:eastAsia="黑体"/>
                <w:sz w:val="32"/>
                <w:szCs w:val="32"/>
              </w:rPr>
              <w:t>附件</w:t>
            </w:r>
            <w:r>
              <w:rPr>
                <w:rFonts w:hint="eastAsia" w:ascii="黑体" w:hAnsi="黑体" w:eastAsia="黑体"/>
                <w:sz w:val="32"/>
                <w:szCs w:val="32"/>
              </w:rPr>
              <w:t>2-6.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spacing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仿宋_GB2312" w:eastAsia="仿宋_GB2312" w:cs="仿宋_GB2312"/>
                <w:color w:val="000000"/>
                <w:sz w:val="32"/>
                <w:szCs w:val="32"/>
              </w:rPr>
            </w:pPr>
          </w:p>
        </w:tc>
      </w:tr>
    </w:tbl>
    <w:p>
      <w:pPr>
        <w:spacing w:line="560" w:lineRule="exact"/>
        <w:outlineLvl w:val="1"/>
        <w:rPr>
          <w:rFonts w:ascii="黑体" w:hAnsi="黑体" w:eastAsia="黑体" w:cs="黑体"/>
          <w:bCs/>
          <w:sz w:val="32"/>
          <w:szCs w:val="22"/>
        </w:rPr>
      </w:pPr>
      <w:r>
        <w:br w:type="page"/>
      </w:r>
      <w:bookmarkStart w:id="318" w:name="_Toc134287892"/>
      <w:r>
        <w:rPr>
          <w:rFonts w:hint="eastAsia" w:ascii="黑体" w:hAnsi="黑体" w:eastAsia="黑体" w:cs="黑体"/>
          <w:bCs/>
          <w:sz w:val="32"/>
          <w:szCs w:val="22"/>
        </w:rPr>
        <w:t>附件2-7</w:t>
      </w:r>
      <w:bookmarkEnd w:id="318"/>
    </w:p>
    <w:p>
      <w:pPr>
        <w:spacing w:line="560" w:lineRule="exact"/>
        <w:jc w:val="left"/>
        <w:rPr>
          <w:rFonts w:ascii="黑体" w:hAnsi="黑体" w:eastAsia="黑体" w:cs="黑体"/>
          <w:sz w:val="32"/>
          <w:szCs w:val="22"/>
        </w:rPr>
      </w:pPr>
    </w:p>
    <w:p>
      <w:pPr>
        <w:spacing w:line="560" w:lineRule="exact"/>
        <w:jc w:val="center"/>
        <w:rPr>
          <w:rFonts w:ascii="宋体" w:hAnsi="宋体"/>
          <w:b/>
          <w:sz w:val="36"/>
          <w:szCs w:val="20"/>
        </w:rPr>
      </w:pPr>
      <w:bookmarkStart w:id="319" w:name="_Toc3096"/>
      <w:bookmarkStart w:id="320" w:name="_Toc13722"/>
      <w:bookmarkStart w:id="321" w:name="_Toc15280"/>
      <w:bookmarkStart w:id="322" w:name="_Toc13103"/>
      <w:bookmarkStart w:id="323" w:name="_Toc13001"/>
      <w:r>
        <w:rPr>
          <w:rFonts w:hint="eastAsia" w:ascii="宋体" w:hAnsi="宋体"/>
          <w:b/>
          <w:sz w:val="36"/>
          <w:szCs w:val="20"/>
        </w:rPr>
        <w:t>真实性声明</w:t>
      </w:r>
      <w:bookmarkEnd w:id="319"/>
      <w:bookmarkEnd w:id="320"/>
      <w:bookmarkEnd w:id="321"/>
      <w:bookmarkEnd w:id="322"/>
      <w:bookmarkEnd w:id="323"/>
    </w:p>
    <w:p>
      <w:pPr>
        <w:spacing w:line="560" w:lineRule="exact"/>
        <w:rPr>
          <w:rFonts w:eastAsia="仿宋_GB2312"/>
          <w:sz w:val="32"/>
          <w:szCs w:val="22"/>
        </w:rPr>
      </w:pPr>
    </w:p>
    <w:p>
      <w:pPr>
        <w:spacing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rPr>
          <w:rFonts w:eastAsia="仿宋_GB2312"/>
          <w:sz w:val="32"/>
          <w:szCs w:val="22"/>
        </w:rPr>
      </w:pPr>
    </w:p>
    <w:p>
      <w:pPr>
        <w:spacing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line="560" w:lineRule="exact"/>
        <w:ind w:firstLine="640" w:firstLineChars="200"/>
        <w:jc w:val="right"/>
        <w:rPr>
          <w:rFonts w:eastAsia="仿宋_GB2312"/>
          <w:sz w:val="32"/>
          <w:szCs w:val="22"/>
        </w:rPr>
      </w:pPr>
      <w:r>
        <w:rPr>
          <w:rFonts w:hint="eastAsia" w:eastAsia="仿宋_GB2312"/>
          <w:sz w:val="32"/>
          <w:szCs w:val="22"/>
        </w:rPr>
        <w:t>（盖章）</w:t>
      </w:r>
    </w:p>
    <w:p>
      <w:pPr>
        <w:spacing w:line="560" w:lineRule="exact"/>
        <w:ind w:firstLine="640" w:firstLineChars="200"/>
        <w:jc w:val="right"/>
        <w:rPr>
          <w:rFonts w:eastAsia="仿宋_GB2312"/>
          <w:sz w:val="32"/>
          <w:szCs w:val="22"/>
        </w:rPr>
      </w:pPr>
      <w:bookmarkStart w:id="324" w:name="_Toc25730"/>
      <w:bookmarkStart w:id="325" w:name="_Toc19925"/>
      <w:bookmarkStart w:id="326" w:name="_Toc20454"/>
      <w:bookmarkStart w:id="327" w:name="_Toc17927"/>
      <w:bookmarkStart w:id="328" w:name="_Toc22328"/>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324"/>
      <w:bookmarkEnd w:id="325"/>
      <w:bookmarkEnd w:id="326"/>
      <w:bookmarkEnd w:id="327"/>
      <w:bookmarkEnd w:id="328"/>
    </w:p>
    <w:p>
      <w:pPr>
        <w:spacing w:line="560" w:lineRule="exact"/>
        <w:rPr>
          <w:b/>
          <w:bCs/>
          <w:kern w:val="44"/>
          <w:sz w:val="44"/>
          <w:szCs w:val="44"/>
        </w:rPr>
      </w:pPr>
    </w:p>
    <w:p>
      <w:pPr>
        <w:pStyle w:val="3"/>
        <w:jc w:val="both"/>
        <w:outlineLvl w:val="9"/>
      </w:pPr>
    </w:p>
    <w:sectPr>
      <w:headerReference r:id="rId17" w:type="default"/>
      <w:footerReference r:id="rId18" w:type="default"/>
      <w:pgSz w:w="11906" w:h="16838"/>
      <w:pgMar w:top="2098" w:right="1474" w:bottom="1985"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32"/>
                              <w:szCs w:val="32"/>
                            </w:rPr>
                            <w:t>Ⅱ</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32"/>
                        <w:szCs w:val="32"/>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Style w:val="14"/>
                              <w:rFonts w:ascii="宋体" w:hAnsi="宋体" w:cs="宋体"/>
                              <w:sz w:val="28"/>
                              <w:szCs w:val="28"/>
                            </w:rPr>
                          </w:pPr>
                          <w:r>
                            <w:rPr>
                              <w:rStyle w:val="14"/>
                              <w:rFonts w:hint="eastAsia" w:ascii="宋体" w:hAnsi="宋体" w:cs="宋体"/>
                              <w:sz w:val="28"/>
                              <w:szCs w:val="28"/>
                            </w:rPr>
                            <w:fldChar w:fldCharType="begin"/>
                          </w:r>
                          <w:r>
                            <w:rPr>
                              <w:rStyle w:val="14"/>
                              <w:rFonts w:hint="eastAsia" w:ascii="宋体" w:hAnsi="宋体" w:cs="宋体"/>
                              <w:sz w:val="28"/>
                              <w:szCs w:val="28"/>
                            </w:rPr>
                            <w:instrText xml:space="preserve"> PAGE  \* MERGEFORMAT </w:instrText>
                          </w:r>
                          <w:r>
                            <w:rPr>
                              <w:rStyle w:val="14"/>
                              <w:rFonts w:hint="eastAsia" w:ascii="宋体" w:hAnsi="宋体" w:cs="宋体"/>
                              <w:sz w:val="28"/>
                              <w:szCs w:val="28"/>
                            </w:rPr>
                            <w:fldChar w:fldCharType="separate"/>
                          </w:r>
                          <w:r>
                            <w:rPr>
                              <w:rStyle w:val="14"/>
                              <w:rFonts w:hint="eastAsia" w:ascii="宋体" w:hAnsi="宋体" w:cs="宋体"/>
                              <w:sz w:val="28"/>
                              <w:szCs w:val="28"/>
                            </w:rPr>
                            <w:t>1</w:t>
                          </w:r>
                          <w:r>
                            <w:rPr>
                              <w:rStyle w:val="14"/>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v:fill on="f" focussize="0,0"/>
              <v:stroke on="f"/>
              <v:imagedata o:title=""/>
              <o:lock v:ext="edit" aspectratio="f"/>
              <v:textbox inset="0mm,0mm,0mm,0mm" style="mso-fit-shape-to-text:t;">
                <w:txbxContent>
                  <w:p>
                    <w:pPr>
                      <w:pStyle w:val="7"/>
                      <w:rPr>
                        <w:rStyle w:val="14"/>
                        <w:rFonts w:ascii="宋体" w:hAnsi="宋体" w:cs="宋体"/>
                        <w:sz w:val="28"/>
                        <w:szCs w:val="28"/>
                      </w:rPr>
                    </w:pPr>
                    <w:r>
                      <w:rPr>
                        <w:rStyle w:val="14"/>
                        <w:rFonts w:hint="eastAsia" w:ascii="宋体" w:hAnsi="宋体" w:cs="宋体"/>
                        <w:sz w:val="28"/>
                        <w:szCs w:val="28"/>
                      </w:rPr>
                      <w:fldChar w:fldCharType="begin"/>
                    </w:r>
                    <w:r>
                      <w:rPr>
                        <w:rStyle w:val="14"/>
                        <w:rFonts w:hint="eastAsia" w:ascii="宋体" w:hAnsi="宋体" w:cs="宋体"/>
                        <w:sz w:val="28"/>
                        <w:szCs w:val="28"/>
                      </w:rPr>
                      <w:instrText xml:space="preserve"> PAGE  \* MERGEFORMAT </w:instrText>
                    </w:r>
                    <w:r>
                      <w:rPr>
                        <w:rStyle w:val="14"/>
                        <w:rFonts w:hint="eastAsia" w:ascii="宋体" w:hAnsi="宋体" w:cs="宋体"/>
                        <w:sz w:val="28"/>
                        <w:szCs w:val="28"/>
                      </w:rPr>
                      <w:fldChar w:fldCharType="separate"/>
                    </w:r>
                    <w:r>
                      <w:rPr>
                        <w:rStyle w:val="14"/>
                        <w:rFonts w:hint="eastAsia" w:ascii="宋体" w:hAnsi="宋体" w:cs="宋体"/>
                        <w:sz w:val="28"/>
                        <w:szCs w:val="28"/>
                      </w:rPr>
                      <w:t>1</w:t>
                    </w:r>
                    <w:r>
                      <w:rPr>
                        <w:rStyle w:val="14"/>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2760980</wp:posOffset>
              </wp:positionH>
              <wp:positionV relativeFrom="paragraph">
                <wp:posOffset>0</wp:posOffset>
              </wp:positionV>
              <wp:extent cx="167005" cy="1828800"/>
              <wp:effectExtent l="0" t="0" r="5080" b="17145"/>
              <wp:wrapNone/>
              <wp:docPr id="18" name="文本框 18"/>
              <wp:cNvGraphicFramePr/>
              <a:graphic xmlns:a="http://schemas.openxmlformats.org/drawingml/2006/main">
                <a:graphicData uri="http://schemas.microsoft.com/office/word/2010/wordprocessingShape">
                  <wps:wsp>
                    <wps:cNvSpPr txBox="1"/>
                    <wps:spPr>
                      <a:xfrm>
                        <a:off x="0" y="0"/>
                        <a:ext cx="166978" cy="1828800"/>
                      </a:xfrm>
                      <a:prstGeom prst="rect">
                        <a:avLst/>
                      </a:prstGeom>
                      <a:noFill/>
                      <a:ln>
                        <a:noFill/>
                      </a:ln>
                      <a:effectLst/>
                    </wps:spPr>
                    <wps:txbx>
                      <w:txbxContent>
                        <w:p>
                          <w:pPr>
                            <w:pStyle w:val="7"/>
                            <w:rPr>
                              <w:rStyle w:val="14"/>
                              <w:rFonts w:ascii="宋体" w:hAnsi="宋体" w:cs="宋体"/>
                              <w:sz w:val="28"/>
                              <w:szCs w:val="28"/>
                            </w:rPr>
                          </w:pPr>
                          <w:r>
                            <w:rPr>
                              <w:rStyle w:val="14"/>
                              <w:rFonts w:hint="eastAsia" w:ascii="宋体" w:hAnsi="宋体" w:cs="宋体"/>
                              <w:sz w:val="28"/>
                              <w:szCs w:val="28"/>
                            </w:rPr>
                            <w:fldChar w:fldCharType="begin"/>
                          </w:r>
                          <w:r>
                            <w:rPr>
                              <w:rStyle w:val="14"/>
                              <w:rFonts w:hint="eastAsia" w:ascii="宋体" w:hAnsi="宋体" w:cs="宋体"/>
                              <w:sz w:val="28"/>
                              <w:szCs w:val="28"/>
                            </w:rPr>
                            <w:instrText xml:space="preserve"> PAGE  \* MERGEFORMAT </w:instrText>
                          </w:r>
                          <w:r>
                            <w:rPr>
                              <w:rStyle w:val="14"/>
                              <w:rFonts w:hint="eastAsia" w:ascii="宋体" w:hAnsi="宋体" w:cs="宋体"/>
                              <w:sz w:val="28"/>
                              <w:szCs w:val="28"/>
                            </w:rPr>
                            <w:fldChar w:fldCharType="separate"/>
                          </w:r>
                          <w:r>
                            <w:rPr>
                              <w:rStyle w:val="14"/>
                              <w:rFonts w:hint="eastAsia" w:ascii="宋体" w:hAnsi="宋体" w:cs="宋体"/>
                              <w:sz w:val="28"/>
                              <w:szCs w:val="28"/>
                            </w:rPr>
                            <w:t>1</w:t>
                          </w:r>
                          <w:r>
                            <w:rPr>
                              <w:rStyle w:val="14"/>
                              <w:rFonts w:hint="eastAsia" w:ascii="宋体" w:hAnsi="宋体" w:cs="宋体"/>
                              <w:sz w:val="28"/>
                              <w:szCs w:val="28"/>
                            </w:rPr>
                            <w:fldChar w:fldCharType="end"/>
                          </w:r>
                        </w:p>
                      </w:txbxContent>
                    </wps:txbx>
                    <wps:bodyPr vert="horz" wrap="square" lIns="0" tIns="0" rIns="0" bIns="0" anchor="t" anchorCtr="0" upright="1">
                      <a:spAutoFit/>
                    </wps:bodyPr>
                  </wps:wsp>
                </a:graphicData>
              </a:graphic>
            </wp:anchor>
          </w:drawing>
        </mc:Choice>
        <mc:Fallback>
          <w:pict>
            <v:shape id="_x0000_s1026" o:spid="_x0000_s1026" o:spt="202" type="#_x0000_t202" style="position:absolute;left:0pt;margin-left:217.4pt;margin-top:0pt;height:144pt;width:13.15pt;mso-position-horizontal-relative:margin;z-index:251659264;mso-width-relative:page;mso-height-relative:page;" filled="f" stroked="f" coordsize="21600,21600" o:gfxdata="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zQP89QA&#10;AAAIAQAADwAAAAAAAAABACAAAAAiAAAAZHJzL2Rvd25yZXYueG1sUEsBAhQAFAAAAAgAh07iQBc6&#10;SmnqAQAAzwMAAA4AAAAAAAAAAQAgAAAAIwEAAGRycy9lMm9Eb2MueG1sUEsFBgAAAAAGAAYAWQEA&#10;AH8FAAAAAA==&#10;">
              <v:fill on="f" focussize="0,0"/>
              <v:stroke on="f"/>
              <v:imagedata o:title=""/>
              <o:lock v:ext="edit" aspectratio="f"/>
              <v:textbox inset="0mm,0mm,0mm,0mm" style="mso-fit-shape-to-text:t;">
                <w:txbxContent>
                  <w:p>
                    <w:pPr>
                      <w:pStyle w:val="7"/>
                      <w:rPr>
                        <w:rStyle w:val="14"/>
                        <w:rFonts w:ascii="宋体" w:hAnsi="宋体" w:cs="宋体"/>
                        <w:sz w:val="28"/>
                        <w:szCs w:val="28"/>
                      </w:rPr>
                    </w:pPr>
                    <w:r>
                      <w:rPr>
                        <w:rStyle w:val="14"/>
                        <w:rFonts w:hint="eastAsia" w:ascii="宋体" w:hAnsi="宋体" w:cs="宋体"/>
                        <w:sz w:val="28"/>
                        <w:szCs w:val="28"/>
                      </w:rPr>
                      <w:fldChar w:fldCharType="begin"/>
                    </w:r>
                    <w:r>
                      <w:rPr>
                        <w:rStyle w:val="14"/>
                        <w:rFonts w:hint="eastAsia" w:ascii="宋体" w:hAnsi="宋体" w:cs="宋体"/>
                        <w:sz w:val="28"/>
                        <w:szCs w:val="28"/>
                      </w:rPr>
                      <w:instrText xml:space="preserve"> PAGE  \* MERGEFORMAT </w:instrText>
                    </w:r>
                    <w:r>
                      <w:rPr>
                        <w:rStyle w:val="14"/>
                        <w:rFonts w:hint="eastAsia" w:ascii="宋体" w:hAnsi="宋体" w:cs="宋体"/>
                        <w:sz w:val="28"/>
                        <w:szCs w:val="28"/>
                      </w:rPr>
                      <w:fldChar w:fldCharType="separate"/>
                    </w:r>
                    <w:r>
                      <w:rPr>
                        <w:rStyle w:val="14"/>
                        <w:rFonts w:hint="eastAsia" w:ascii="宋体" w:hAnsi="宋体" w:cs="宋体"/>
                        <w:sz w:val="28"/>
                        <w:szCs w:val="28"/>
                      </w:rPr>
                      <w:t>1</w:t>
                    </w:r>
                    <w:r>
                      <w:rPr>
                        <w:rStyle w:val="14"/>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2745105</wp:posOffset>
              </wp:positionH>
              <wp:positionV relativeFrom="paragraph">
                <wp:posOffset>0</wp:posOffset>
              </wp:positionV>
              <wp:extent cx="1828800" cy="1828800"/>
              <wp:effectExtent l="0" t="0" r="0" b="17145"/>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square" lIns="0" tIns="0" rIns="0" bIns="0" anchor="t" anchorCtr="0" upright="1">
                      <a:spAutoFit/>
                    </wps:bodyPr>
                  </wps:wsp>
                </a:graphicData>
              </a:graphic>
            </wp:anchor>
          </w:drawing>
        </mc:Choice>
        <mc:Fallback>
          <w:pict>
            <v:shape id="_x0000_s1026" o:spid="_x0000_s1026" o:spt="202" type="#_x0000_t202" style="position:absolute;left:0pt;margin-left:216.15pt;margin-top:0pt;height:144pt;width:144pt;mso-position-horizontal-relative:margin;z-index:251660288;mso-width-relative:page;mso-height-relative:page;" filled="f" stroked="f" coordsize="21600,21600" o:gfxdata="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iVABHVAAAACAEA&#10;AA8AAAAAAAAAAQAgAAAAIgAAAGRycy9kb3ducmV2LnhtbFBLAQIUABQAAAAIAIdO4kCgCLbx5AEA&#10;ANADAAAOAAAAAAAAAAEAIAAAACQBAABkcnMvZTJvRG9jLnhtbFBLBQYAAAAABgAGAFkBAAB6BQAA&#10;AAA=&#10;">
              <v:fill on="f" focussize="0,0"/>
              <v:stroke on="f"/>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Style w:val="14"/>
                              <w:rFonts w:ascii="宋体" w:hAnsi="宋体" w:cs="宋体"/>
                              <w:sz w:val="28"/>
                              <w:szCs w:val="28"/>
                            </w:rPr>
                          </w:pPr>
                          <w:r>
                            <w:rPr>
                              <w:rStyle w:val="14"/>
                              <w:rFonts w:hint="eastAsia" w:ascii="宋体" w:hAnsi="宋体" w:cs="宋体"/>
                              <w:sz w:val="28"/>
                              <w:szCs w:val="28"/>
                            </w:rPr>
                            <w:fldChar w:fldCharType="begin"/>
                          </w:r>
                          <w:r>
                            <w:rPr>
                              <w:rStyle w:val="14"/>
                              <w:rFonts w:hint="eastAsia" w:ascii="宋体" w:hAnsi="宋体" w:cs="宋体"/>
                              <w:sz w:val="28"/>
                              <w:szCs w:val="28"/>
                            </w:rPr>
                            <w:instrText xml:space="preserve"> PAGE  \* MERGEFORMAT </w:instrText>
                          </w:r>
                          <w:r>
                            <w:rPr>
                              <w:rStyle w:val="14"/>
                              <w:rFonts w:hint="eastAsia" w:ascii="宋体" w:hAnsi="宋体" w:cs="宋体"/>
                              <w:sz w:val="28"/>
                              <w:szCs w:val="28"/>
                            </w:rPr>
                            <w:fldChar w:fldCharType="separate"/>
                          </w:r>
                          <w:r>
                            <w:rPr>
                              <w:rStyle w:val="14"/>
                              <w:rFonts w:hint="eastAsia" w:ascii="宋体" w:hAnsi="宋体" w:cs="宋体"/>
                              <w:sz w:val="28"/>
                              <w:szCs w:val="28"/>
                            </w:rPr>
                            <w:t>1</w:t>
                          </w:r>
                          <w:r>
                            <w:rPr>
                              <w:rStyle w:val="14"/>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X03Hp4QEAAMwDAAAOAAAA&#10;AAAAAAEAIAAAAB4BAABkcnMvZTJvRG9jLnhtbFBLBQYAAAAABgAGAFkBAABxBQAAAAA=&#10;">
              <v:fill on="f" focussize="0,0"/>
              <v:stroke on="f"/>
              <v:imagedata o:title=""/>
              <o:lock v:ext="edit" aspectratio="f"/>
              <v:textbox inset="0mm,0mm,0mm,0mm" style="mso-fit-shape-to-text:t;">
                <w:txbxContent>
                  <w:p>
                    <w:pPr>
                      <w:pStyle w:val="7"/>
                      <w:rPr>
                        <w:rStyle w:val="14"/>
                        <w:rFonts w:ascii="宋体" w:hAnsi="宋体" w:cs="宋体"/>
                        <w:sz w:val="28"/>
                        <w:szCs w:val="28"/>
                      </w:rPr>
                    </w:pPr>
                    <w:r>
                      <w:rPr>
                        <w:rStyle w:val="14"/>
                        <w:rFonts w:hint="eastAsia" w:ascii="宋体" w:hAnsi="宋体" w:cs="宋体"/>
                        <w:sz w:val="28"/>
                        <w:szCs w:val="28"/>
                      </w:rPr>
                      <w:fldChar w:fldCharType="begin"/>
                    </w:r>
                    <w:r>
                      <w:rPr>
                        <w:rStyle w:val="14"/>
                        <w:rFonts w:hint="eastAsia" w:ascii="宋体" w:hAnsi="宋体" w:cs="宋体"/>
                        <w:sz w:val="28"/>
                        <w:szCs w:val="28"/>
                      </w:rPr>
                      <w:instrText xml:space="preserve"> PAGE  \* MERGEFORMAT </w:instrText>
                    </w:r>
                    <w:r>
                      <w:rPr>
                        <w:rStyle w:val="14"/>
                        <w:rFonts w:hint="eastAsia" w:ascii="宋体" w:hAnsi="宋体" w:cs="宋体"/>
                        <w:sz w:val="28"/>
                        <w:szCs w:val="28"/>
                      </w:rPr>
                      <w:fldChar w:fldCharType="separate"/>
                    </w:r>
                    <w:r>
                      <w:rPr>
                        <w:rStyle w:val="14"/>
                        <w:rFonts w:hint="eastAsia" w:ascii="宋体" w:hAnsi="宋体" w:cs="宋体"/>
                        <w:sz w:val="28"/>
                        <w:szCs w:val="28"/>
                      </w:rPr>
                      <w:t>1</w:t>
                    </w:r>
                    <w:r>
                      <w:rPr>
                        <w:rStyle w:val="14"/>
                        <w:rFonts w:hint="eastAsia" w:ascii="宋体" w:hAnsi="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kMzM2OTkwNDViMmYwY2ZiZGIyMzkzZDUzNTdlMmUifQ=="/>
    <w:docVar w:name="KSO_WPS_MARK_KEY" w:val="abe7f2ae-79ea-4ad6-ac69-8ab179bf546c"/>
  </w:docVars>
  <w:rsids>
    <w:rsidRoot w:val="72F301AC"/>
    <w:rsid w:val="00016D9D"/>
    <w:rsid w:val="00084782"/>
    <w:rsid w:val="000A1DCC"/>
    <w:rsid w:val="000B6281"/>
    <w:rsid w:val="00125861"/>
    <w:rsid w:val="002C61F7"/>
    <w:rsid w:val="002F7CA7"/>
    <w:rsid w:val="003F19E3"/>
    <w:rsid w:val="00440F6B"/>
    <w:rsid w:val="00523DB1"/>
    <w:rsid w:val="005B66EB"/>
    <w:rsid w:val="005D2854"/>
    <w:rsid w:val="005E305F"/>
    <w:rsid w:val="00682E95"/>
    <w:rsid w:val="00755DF0"/>
    <w:rsid w:val="008B08C3"/>
    <w:rsid w:val="0090124C"/>
    <w:rsid w:val="00973FB8"/>
    <w:rsid w:val="009E748B"/>
    <w:rsid w:val="00A862C3"/>
    <w:rsid w:val="00BE3CDD"/>
    <w:rsid w:val="00F24577"/>
    <w:rsid w:val="00FA00A3"/>
    <w:rsid w:val="00FA02C4"/>
    <w:rsid w:val="011106C4"/>
    <w:rsid w:val="01702902"/>
    <w:rsid w:val="01D8725F"/>
    <w:rsid w:val="01F42D45"/>
    <w:rsid w:val="020C48F0"/>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0E548CC"/>
    <w:rsid w:val="11162CD7"/>
    <w:rsid w:val="11421D1E"/>
    <w:rsid w:val="115D0906"/>
    <w:rsid w:val="11930469"/>
    <w:rsid w:val="11AC0F46"/>
    <w:rsid w:val="11DB7A32"/>
    <w:rsid w:val="123C051C"/>
    <w:rsid w:val="129C0FBA"/>
    <w:rsid w:val="12A01831"/>
    <w:rsid w:val="12B97DBE"/>
    <w:rsid w:val="13295C35"/>
    <w:rsid w:val="132A2A6A"/>
    <w:rsid w:val="13CE7899"/>
    <w:rsid w:val="13D03BB6"/>
    <w:rsid w:val="148D216E"/>
    <w:rsid w:val="14DF1632"/>
    <w:rsid w:val="15015A4D"/>
    <w:rsid w:val="1536509E"/>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11864"/>
    <w:rsid w:val="1AAB26E2"/>
    <w:rsid w:val="1B6D1746"/>
    <w:rsid w:val="1BB235FD"/>
    <w:rsid w:val="1BC51582"/>
    <w:rsid w:val="1BDA684C"/>
    <w:rsid w:val="1C8036FB"/>
    <w:rsid w:val="1D3C3AC6"/>
    <w:rsid w:val="1D55072E"/>
    <w:rsid w:val="1D772058"/>
    <w:rsid w:val="1DB37972"/>
    <w:rsid w:val="1DB96EC4"/>
    <w:rsid w:val="1DCD4FFF"/>
    <w:rsid w:val="1DF012AE"/>
    <w:rsid w:val="1E8B3953"/>
    <w:rsid w:val="1F9A2D26"/>
    <w:rsid w:val="1FC8192A"/>
    <w:rsid w:val="1FE741BD"/>
    <w:rsid w:val="1FEE4473"/>
    <w:rsid w:val="1FFDE715"/>
    <w:rsid w:val="20033076"/>
    <w:rsid w:val="20174376"/>
    <w:rsid w:val="20976DEF"/>
    <w:rsid w:val="20A21E92"/>
    <w:rsid w:val="21324ECF"/>
    <w:rsid w:val="21446749"/>
    <w:rsid w:val="21C52643"/>
    <w:rsid w:val="21F030D1"/>
    <w:rsid w:val="22A51367"/>
    <w:rsid w:val="22B8599C"/>
    <w:rsid w:val="22EB3FC4"/>
    <w:rsid w:val="23496F3C"/>
    <w:rsid w:val="236773C3"/>
    <w:rsid w:val="23B16099"/>
    <w:rsid w:val="23B32608"/>
    <w:rsid w:val="240370EB"/>
    <w:rsid w:val="243C3ACD"/>
    <w:rsid w:val="2463250D"/>
    <w:rsid w:val="24D944B4"/>
    <w:rsid w:val="24DE36B4"/>
    <w:rsid w:val="25257535"/>
    <w:rsid w:val="25525D45"/>
    <w:rsid w:val="2580651A"/>
    <w:rsid w:val="26A9089F"/>
    <w:rsid w:val="26CB1A16"/>
    <w:rsid w:val="26F7112E"/>
    <w:rsid w:val="273B337D"/>
    <w:rsid w:val="28125DD7"/>
    <w:rsid w:val="28221E20"/>
    <w:rsid w:val="28C96D43"/>
    <w:rsid w:val="293C54F6"/>
    <w:rsid w:val="29C67A84"/>
    <w:rsid w:val="29E67293"/>
    <w:rsid w:val="2A1C0F07"/>
    <w:rsid w:val="2ABC7FF4"/>
    <w:rsid w:val="2B1F52AC"/>
    <w:rsid w:val="2B4324C3"/>
    <w:rsid w:val="2B561958"/>
    <w:rsid w:val="2B724B56"/>
    <w:rsid w:val="2B7F376B"/>
    <w:rsid w:val="2B944ACD"/>
    <w:rsid w:val="2BE05F64"/>
    <w:rsid w:val="2C3A5674"/>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8C26BC"/>
    <w:rsid w:val="58C47EF0"/>
    <w:rsid w:val="59130C67"/>
    <w:rsid w:val="5996188C"/>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37A5D7B"/>
    <w:rsid w:val="64602C59"/>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AE2C22"/>
    <w:rsid w:val="69CB334F"/>
    <w:rsid w:val="69FC398E"/>
    <w:rsid w:val="6A815C41"/>
    <w:rsid w:val="6ABE5181"/>
    <w:rsid w:val="6B2128A7"/>
    <w:rsid w:val="6B3E1D84"/>
    <w:rsid w:val="6B5E1A48"/>
    <w:rsid w:val="6BA366F5"/>
    <w:rsid w:val="6BBF7BBE"/>
    <w:rsid w:val="6BC95AF1"/>
    <w:rsid w:val="6C134FBF"/>
    <w:rsid w:val="6C7B88C8"/>
    <w:rsid w:val="6C823EF2"/>
    <w:rsid w:val="6CA52D10"/>
    <w:rsid w:val="6CBA7B30"/>
    <w:rsid w:val="6CD96208"/>
    <w:rsid w:val="6D8C36B9"/>
    <w:rsid w:val="6D8D481A"/>
    <w:rsid w:val="6DB12CE1"/>
    <w:rsid w:val="6DB93944"/>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55F1275"/>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972F48"/>
    <w:rsid w:val="77CB0E43"/>
    <w:rsid w:val="77ED5B93"/>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annotation text"/>
    <w:basedOn w:val="1"/>
    <w:link w:val="30"/>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5"/>
    <w:next w:val="5"/>
    <w:link w:val="31"/>
    <w:semiHidden/>
    <w:unhideWhenUsed/>
    <w:qFormat/>
    <w:uiPriority w:val="99"/>
    <w:rPr>
      <w:b/>
      <w:bCs/>
    </w:rPr>
  </w:style>
  <w:style w:type="character" w:styleId="14">
    <w:name w:val="page number"/>
    <w:basedOn w:val="13"/>
    <w:semiHidden/>
    <w:unhideWhenUsed/>
    <w:qFormat/>
    <w:uiPriority w:val="99"/>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paragraph" w:customStyle="1" w:styleId="17">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21">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2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3">
    <w:name w:val="List Paragraph"/>
    <w:basedOn w:val="1"/>
    <w:qFormat/>
    <w:uiPriority w:val="99"/>
    <w:pPr>
      <w:ind w:firstLine="420" w:firstLineChars="200"/>
    </w:pPr>
  </w:style>
  <w:style w:type="paragraph" w:customStyle="1" w:styleId="24">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5">
    <w:name w:val="分类号"/>
    <w:basedOn w:val="1"/>
    <w:qFormat/>
    <w:uiPriority w:val="0"/>
    <w:rPr>
      <w:rFonts w:ascii="仿宋_GB2312" w:eastAsia="仿宋_GB2312"/>
      <w:sz w:val="28"/>
      <w:szCs w:val="28"/>
    </w:rPr>
  </w:style>
  <w:style w:type="paragraph" w:customStyle="1" w:styleId="26">
    <w:name w:val="封面日期"/>
    <w:basedOn w:val="1"/>
    <w:qFormat/>
    <w:uiPriority w:val="0"/>
    <w:pPr>
      <w:jc w:val="center"/>
    </w:pPr>
    <w:rPr>
      <w:rFonts w:ascii="黑体" w:eastAsia="黑体"/>
      <w:sz w:val="32"/>
      <w:szCs w:val="32"/>
    </w:rPr>
  </w:style>
  <w:style w:type="paragraph" w:customStyle="1" w:styleId="27">
    <w:name w:val="论文标题"/>
    <w:basedOn w:val="1"/>
    <w:qFormat/>
    <w:uiPriority w:val="0"/>
    <w:pPr>
      <w:jc w:val="center"/>
    </w:pPr>
    <w:rPr>
      <w:rFonts w:eastAsia="楷体_GB2312"/>
      <w:b/>
      <w:kern w:val="36"/>
      <w:sz w:val="52"/>
      <w:szCs w:val="52"/>
    </w:rPr>
  </w:style>
  <w:style w:type="paragraph" w:customStyle="1" w:styleId="28">
    <w:name w:val="硕士学位论文"/>
    <w:basedOn w:val="1"/>
    <w:qFormat/>
    <w:uiPriority w:val="0"/>
    <w:pPr>
      <w:spacing w:before="240"/>
      <w:jc w:val="center"/>
    </w:pPr>
    <w:rPr>
      <w:sz w:val="44"/>
      <w:szCs w:val="44"/>
    </w:rPr>
  </w:style>
  <w:style w:type="paragraph" w:customStyle="1" w:styleId="29">
    <w:name w:val="研究生姓名"/>
    <w:basedOn w:val="1"/>
    <w:qFormat/>
    <w:uiPriority w:val="0"/>
    <w:pPr>
      <w:ind w:firstLine="700" w:firstLineChars="700"/>
    </w:pPr>
    <w:rPr>
      <w:sz w:val="28"/>
      <w:szCs w:val="28"/>
    </w:rPr>
  </w:style>
  <w:style w:type="character" w:customStyle="1" w:styleId="30">
    <w:name w:val="批注文字 字符"/>
    <w:basedOn w:val="13"/>
    <w:link w:val="5"/>
    <w:semiHidden/>
    <w:qFormat/>
    <w:uiPriority w:val="99"/>
    <w:rPr>
      <w:kern w:val="2"/>
      <w:sz w:val="21"/>
      <w:szCs w:val="24"/>
    </w:rPr>
  </w:style>
  <w:style w:type="character" w:customStyle="1" w:styleId="31">
    <w:name w:val="批注主题 字符"/>
    <w:basedOn w:val="30"/>
    <w:link w:val="11"/>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12562</Words>
  <Characters>13140</Characters>
  <Lines>122</Lines>
  <Paragraphs>34</Paragraphs>
  <TotalTime>0</TotalTime>
  <ScaleCrop>false</ScaleCrop>
  <LinksUpToDate>false</LinksUpToDate>
  <CharactersWithSpaces>13776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2023-05-06T09:28:00Z</dcterms:created>
  <dc:creator>xiaofei li</dc:creator>
  <cp:lastModifiedBy>梁继允</cp:lastModifiedBy>
  <cp:lastPrinted>2023-05-07T00:44:00Z</cp:lastPrinted>
  <dcterms:modified xsi:type="dcterms:W3CDTF">2023-05-06T13:11:18Z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7A3F1A9013384354A1545F50AC9E9D0F_13</vt:lpwstr>
  </property>
</Properties>
</file>