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cs="Arial"/>
          <w:b/>
          <w:bCs/>
          <w:sz w:val="44"/>
          <w:szCs w:val="44"/>
          <w:highlight w:val="none"/>
        </w:rPr>
      </w:pPr>
    </w:p>
    <w:p>
      <w:pPr>
        <w:adjustRightInd w:val="0"/>
        <w:snapToGrid w:val="0"/>
        <w:rPr>
          <w:rFonts w:ascii="宋体" w:hAnsi="宋体" w:cs="Arial"/>
          <w:b/>
          <w:bCs/>
          <w:sz w:val="44"/>
          <w:szCs w:val="44"/>
          <w:highlight w:val="none"/>
        </w:rPr>
      </w:pPr>
    </w:p>
    <w:p>
      <w:pPr>
        <w:adjustRightInd w:val="0"/>
        <w:snapToGrid w:val="0"/>
        <w:jc w:val="center"/>
        <w:rPr>
          <w:rFonts w:ascii="宋体" w:hAnsi="宋体" w:cs="Arial"/>
          <w:b/>
          <w:bCs/>
          <w:sz w:val="36"/>
          <w:szCs w:val="36"/>
          <w:highlight w:val="none"/>
        </w:rPr>
      </w:pPr>
      <w:bookmarkStart w:id="0" w:name="_GoBack"/>
      <w:r>
        <w:rPr>
          <w:rFonts w:hint="eastAsia" w:ascii="宋体" w:hAnsi="宋体" w:cs="Arial"/>
          <w:b/>
          <w:bCs/>
          <w:sz w:val="36"/>
          <w:szCs w:val="36"/>
          <w:highlight w:val="none"/>
        </w:rPr>
        <w:t>深圳市“十四五”规划中期第三方评估项目</w:t>
      </w:r>
    </w:p>
    <w:bookmarkEnd w:id="0"/>
    <w:p>
      <w:pPr>
        <w:spacing w:line="360" w:lineRule="auto"/>
        <w:ind w:left="420" w:leftChars="200"/>
        <w:jc w:val="center"/>
        <w:rPr>
          <w:rFonts w:ascii="宋体" w:hAnsi="宋体" w:cs="Arial"/>
          <w:b/>
          <w:bCs/>
          <w:sz w:val="44"/>
          <w:szCs w:val="44"/>
          <w:highlight w:val="none"/>
        </w:rPr>
      </w:pPr>
    </w:p>
    <w:p>
      <w:pPr>
        <w:spacing w:line="360" w:lineRule="auto"/>
        <w:ind w:left="420" w:leftChars="200"/>
        <w:jc w:val="center"/>
        <w:rPr>
          <w:rFonts w:ascii="黑体" w:hAnsi="宋体" w:eastAsia="黑体"/>
          <w:b/>
          <w:bCs/>
          <w:sz w:val="32"/>
          <w:szCs w:val="32"/>
          <w:highlight w:val="none"/>
        </w:rPr>
      </w:pPr>
    </w:p>
    <w:p>
      <w:pPr>
        <w:spacing w:line="360" w:lineRule="auto"/>
        <w:ind w:left="420" w:leftChars="200"/>
        <w:jc w:val="center"/>
        <w:rPr>
          <w:rFonts w:ascii="黑体" w:hAnsi="宋体" w:eastAsia="黑体"/>
          <w:b/>
          <w:bCs/>
          <w:sz w:val="32"/>
          <w:szCs w:val="32"/>
          <w:highlight w:val="none"/>
        </w:rPr>
      </w:pPr>
    </w:p>
    <w:p>
      <w:pPr>
        <w:spacing w:line="360" w:lineRule="auto"/>
        <w:jc w:val="center"/>
        <w:rPr>
          <w:rFonts w:ascii="黑体" w:hAnsi="宋体" w:eastAsia="黑体"/>
          <w:b/>
          <w:bCs/>
          <w:sz w:val="72"/>
          <w:szCs w:val="72"/>
          <w:highlight w:val="none"/>
        </w:rPr>
      </w:pPr>
      <w:r>
        <w:rPr>
          <w:rFonts w:hint="eastAsia" w:ascii="黑体" w:hAnsi="黑体" w:eastAsia="黑体"/>
          <w:b/>
          <w:bCs/>
          <w:sz w:val="72"/>
          <w:szCs w:val="72"/>
          <w:highlight w:val="none"/>
        </w:rPr>
        <w:t>招</w:t>
      </w:r>
    </w:p>
    <w:p>
      <w:pPr>
        <w:spacing w:line="360" w:lineRule="auto"/>
        <w:jc w:val="center"/>
        <w:rPr>
          <w:rFonts w:ascii="黑体" w:hAnsi="宋体" w:eastAsia="黑体"/>
          <w:b/>
          <w:bCs/>
          <w:sz w:val="72"/>
          <w:szCs w:val="72"/>
          <w:highlight w:val="none"/>
        </w:rPr>
      </w:pPr>
    </w:p>
    <w:p>
      <w:pPr>
        <w:spacing w:line="360" w:lineRule="auto"/>
        <w:jc w:val="center"/>
        <w:rPr>
          <w:rFonts w:ascii="黑体" w:hAnsi="宋体" w:eastAsia="黑体"/>
          <w:b/>
          <w:bCs/>
          <w:sz w:val="72"/>
          <w:szCs w:val="72"/>
          <w:highlight w:val="none"/>
        </w:rPr>
      </w:pPr>
      <w:r>
        <w:rPr>
          <w:rFonts w:hint="eastAsia" w:ascii="黑体" w:hAnsi="黑体" w:eastAsia="黑体"/>
          <w:b/>
          <w:bCs/>
          <w:sz w:val="72"/>
          <w:szCs w:val="72"/>
          <w:highlight w:val="none"/>
        </w:rPr>
        <w:t>标</w:t>
      </w:r>
    </w:p>
    <w:p>
      <w:pPr>
        <w:spacing w:line="360" w:lineRule="auto"/>
        <w:jc w:val="center"/>
        <w:rPr>
          <w:rFonts w:ascii="黑体" w:hAnsi="宋体" w:eastAsia="黑体"/>
          <w:b/>
          <w:bCs/>
          <w:sz w:val="48"/>
          <w:szCs w:val="48"/>
          <w:highlight w:val="none"/>
        </w:rPr>
      </w:pPr>
    </w:p>
    <w:p>
      <w:pPr>
        <w:spacing w:line="360" w:lineRule="auto"/>
        <w:jc w:val="center"/>
        <w:rPr>
          <w:rFonts w:ascii="黑体" w:hAnsi="宋体" w:eastAsia="黑体"/>
          <w:b/>
          <w:bCs/>
          <w:sz w:val="72"/>
          <w:szCs w:val="72"/>
          <w:highlight w:val="none"/>
        </w:rPr>
      </w:pPr>
      <w:r>
        <w:rPr>
          <w:rFonts w:hint="eastAsia" w:ascii="黑体" w:hAnsi="黑体" w:eastAsia="黑体"/>
          <w:b/>
          <w:bCs/>
          <w:sz w:val="72"/>
          <w:szCs w:val="72"/>
          <w:highlight w:val="none"/>
        </w:rPr>
        <w:t>书</w:t>
      </w:r>
    </w:p>
    <w:p>
      <w:pPr>
        <w:spacing w:line="360" w:lineRule="auto"/>
        <w:ind w:left="420" w:leftChars="200"/>
        <w:jc w:val="center"/>
        <w:rPr>
          <w:rFonts w:ascii="宋体" w:hAnsi="宋体"/>
          <w:sz w:val="44"/>
          <w:szCs w:val="44"/>
          <w:highlight w:val="none"/>
        </w:rPr>
      </w:pPr>
    </w:p>
    <w:p>
      <w:pPr>
        <w:spacing w:line="360" w:lineRule="auto"/>
        <w:rPr>
          <w:rFonts w:ascii="方正小标宋简体" w:hAnsi="宋体" w:cs="Arial"/>
          <w:sz w:val="48"/>
          <w:szCs w:val="48"/>
          <w:highlight w:val="none"/>
        </w:rPr>
      </w:pPr>
    </w:p>
    <w:p>
      <w:pPr>
        <w:spacing w:line="360" w:lineRule="auto"/>
        <w:rPr>
          <w:rFonts w:ascii="方正小标宋简体" w:hAnsi="宋体" w:cs="Arial"/>
          <w:sz w:val="48"/>
          <w:szCs w:val="48"/>
          <w:highlight w:val="none"/>
        </w:rPr>
      </w:pPr>
    </w:p>
    <w:p>
      <w:pPr>
        <w:spacing w:line="600" w:lineRule="exact"/>
        <w:jc w:val="center"/>
        <w:rPr>
          <w:rFonts w:ascii="宋体" w:hAnsi="宋体"/>
          <w:b/>
          <w:bCs/>
          <w:sz w:val="32"/>
          <w:szCs w:val="32"/>
          <w:highlight w:val="none"/>
        </w:rPr>
      </w:pPr>
      <w:r>
        <w:rPr>
          <w:rFonts w:hint="eastAsia" w:ascii="宋体" w:hAnsi="宋体"/>
          <w:b/>
          <w:bCs/>
          <w:sz w:val="32"/>
          <w:szCs w:val="32"/>
          <w:highlight w:val="none"/>
        </w:rPr>
        <w:t>深圳市发展和改革委员会</w:t>
      </w:r>
    </w:p>
    <w:p>
      <w:pPr>
        <w:spacing w:line="600" w:lineRule="exact"/>
        <w:jc w:val="center"/>
        <w:rPr>
          <w:highlight w:val="none"/>
        </w:rPr>
      </w:pPr>
      <w:r>
        <w:rPr>
          <w:rFonts w:hint="eastAsia" w:ascii="宋体" w:hAnsi="宋体"/>
          <w:b/>
          <w:bCs/>
          <w:sz w:val="32"/>
          <w:szCs w:val="32"/>
          <w:highlight w:val="none"/>
        </w:rPr>
        <w:t>20</w:t>
      </w:r>
      <w:r>
        <w:rPr>
          <w:rFonts w:ascii="宋体" w:hAnsi="宋体"/>
          <w:b/>
          <w:bCs/>
          <w:sz w:val="32"/>
          <w:szCs w:val="32"/>
          <w:highlight w:val="none"/>
        </w:rPr>
        <w:t>23</w:t>
      </w:r>
      <w:r>
        <w:rPr>
          <w:rFonts w:hint="eastAsia" w:ascii="宋体" w:hAnsi="宋体"/>
          <w:b/>
          <w:bCs/>
          <w:sz w:val="32"/>
          <w:szCs w:val="32"/>
          <w:highlight w:val="none"/>
        </w:rPr>
        <w:t>年</w:t>
      </w:r>
      <w:r>
        <w:rPr>
          <w:rFonts w:ascii="宋体" w:hAnsi="宋体"/>
          <w:b/>
          <w:bCs/>
          <w:sz w:val="32"/>
          <w:szCs w:val="32"/>
          <w:highlight w:val="none"/>
        </w:rPr>
        <w:t>4</w:t>
      </w:r>
      <w:r>
        <w:rPr>
          <w:rFonts w:hint="eastAsia" w:ascii="宋体" w:hAnsi="宋体"/>
          <w:b/>
          <w:bCs/>
          <w:sz w:val="32"/>
          <w:szCs w:val="32"/>
          <w:highlight w:val="none"/>
        </w:rPr>
        <w:t>月</w:t>
      </w:r>
    </w:p>
    <w:p>
      <w:pPr>
        <w:jc w:val="left"/>
        <w:rPr>
          <w:rFonts w:ascii="宋体" w:hAnsi="宋体" w:cs="宋体"/>
          <w:b/>
          <w:bCs/>
          <w:sz w:val="44"/>
          <w:szCs w:val="44"/>
          <w:highlight w:val="none"/>
        </w:rPr>
        <w:sectPr>
          <w:pgSz w:w="11906" w:h="16838"/>
          <w:pgMar w:top="1400" w:right="1797" w:bottom="1089" w:left="1797" w:header="720" w:footer="720" w:gutter="0"/>
          <w:cols w:space="720" w:num="1"/>
          <w:docGrid w:type="lines" w:linePitch="312" w:charSpace="0"/>
        </w:sectPr>
      </w:pPr>
    </w:p>
    <w:p>
      <w:pPr>
        <w:adjustRightInd w:val="0"/>
        <w:snapToGrid w:val="0"/>
        <w:jc w:val="center"/>
        <w:rPr>
          <w:rFonts w:ascii="宋体" w:hAnsi="宋体" w:cs="Arial"/>
          <w:b/>
          <w:bCs/>
          <w:sz w:val="44"/>
          <w:szCs w:val="44"/>
          <w:highlight w:val="none"/>
        </w:rPr>
      </w:pPr>
    </w:p>
    <w:p>
      <w:pPr>
        <w:adjustRightInd w:val="0"/>
        <w:snapToGrid w:val="0"/>
        <w:jc w:val="center"/>
        <w:rPr>
          <w:rFonts w:ascii="宋体" w:hAnsi="宋体" w:cs="Arial"/>
          <w:b/>
          <w:bCs/>
          <w:sz w:val="44"/>
          <w:szCs w:val="44"/>
          <w:highlight w:val="none"/>
        </w:rPr>
      </w:pPr>
      <w:r>
        <w:rPr>
          <w:rFonts w:hint="eastAsia" w:ascii="宋体" w:hAnsi="宋体" w:cs="Arial"/>
          <w:b/>
          <w:bCs/>
          <w:sz w:val="44"/>
          <w:szCs w:val="44"/>
          <w:highlight w:val="none"/>
        </w:rPr>
        <w:t>深圳市“十四五”规划中期第三方评估</w:t>
      </w:r>
    </w:p>
    <w:p>
      <w:pPr>
        <w:adjustRightInd w:val="0"/>
        <w:snapToGrid w:val="0"/>
        <w:jc w:val="center"/>
        <w:rPr>
          <w:rFonts w:ascii="宋体" w:hAnsi="宋体" w:cs="Arial"/>
          <w:b/>
          <w:bCs/>
          <w:sz w:val="44"/>
          <w:szCs w:val="44"/>
          <w:highlight w:val="none"/>
        </w:rPr>
      </w:pPr>
      <w:r>
        <w:rPr>
          <w:rFonts w:hint="eastAsia" w:ascii="宋体" w:hAnsi="宋体" w:cs="Arial"/>
          <w:b/>
          <w:bCs/>
          <w:sz w:val="44"/>
          <w:szCs w:val="44"/>
          <w:highlight w:val="none"/>
        </w:rPr>
        <w:t>项目招标书</w:t>
      </w:r>
    </w:p>
    <w:p>
      <w:pPr>
        <w:spacing w:line="560" w:lineRule="exact"/>
        <w:ind w:firstLine="643" w:firstLineChars="200"/>
        <w:rPr>
          <w:rFonts w:ascii="黑体" w:hAnsi="黑体" w:eastAsia="黑体"/>
          <w:b/>
          <w:bCs/>
          <w:sz w:val="32"/>
          <w:szCs w:val="32"/>
          <w:highlight w:val="none"/>
        </w:rPr>
      </w:pPr>
    </w:p>
    <w:p>
      <w:pPr>
        <w:adjustRightInd w:val="0"/>
        <w:snapToGrid w:val="0"/>
        <w:spacing w:line="560" w:lineRule="exact"/>
        <w:ind w:firstLine="640" w:firstLineChars="200"/>
        <w:outlineLvl w:val="0"/>
        <w:rPr>
          <w:rFonts w:ascii="黑体" w:hAnsi="黑体" w:eastAsia="黑体"/>
          <w:b w:val="0"/>
          <w:bCs w:val="0"/>
          <w:sz w:val="32"/>
          <w:szCs w:val="32"/>
          <w:highlight w:val="none"/>
        </w:rPr>
      </w:pPr>
      <w:r>
        <w:rPr>
          <w:rFonts w:hint="eastAsia" w:ascii="黑体" w:hAnsi="黑体" w:eastAsia="黑体"/>
          <w:b w:val="0"/>
          <w:bCs w:val="0"/>
          <w:sz w:val="32"/>
          <w:szCs w:val="32"/>
          <w:highlight w:val="none"/>
        </w:rPr>
        <w:t>一、项目概况</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（一）项目名称：</w:t>
      </w:r>
      <w:r>
        <w:rPr>
          <w:rFonts w:ascii="仿宋" w:hAnsi="仿宋" w:eastAsia="仿宋" w:cs="仿宋"/>
          <w:sz w:val="32"/>
          <w:szCs w:val="32"/>
          <w:highlight w:val="none"/>
        </w:rPr>
        <w:t>深圳市“十四五”</w:t>
      </w:r>
      <w:r>
        <w:rPr>
          <w:rFonts w:hint="eastAsia" w:ascii="仿宋" w:hAnsi="仿宋" w:eastAsia="仿宋" w:cs="仿宋"/>
          <w:sz w:val="32"/>
          <w:szCs w:val="32"/>
          <w:highlight w:val="none"/>
        </w:rPr>
        <w:t>规划</w:t>
      </w:r>
      <w:r>
        <w:rPr>
          <w:rFonts w:ascii="仿宋" w:hAnsi="仿宋" w:eastAsia="仿宋" w:cs="仿宋"/>
          <w:sz w:val="32"/>
          <w:szCs w:val="32"/>
          <w:highlight w:val="none"/>
        </w:rPr>
        <w:t>中期第三方评估</w:t>
      </w:r>
      <w:r>
        <w:rPr>
          <w:rFonts w:hint="eastAsia" w:ascii="仿宋" w:hAnsi="仿宋" w:eastAsia="仿宋" w:cs="仿宋"/>
          <w:sz w:val="32"/>
          <w:szCs w:val="32"/>
          <w:highlight w:val="none"/>
        </w:rPr>
        <w:t>项目。</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（二）服务期限：自合同签订之日起</w:t>
      </w:r>
      <w:r>
        <w:rPr>
          <w:rFonts w:ascii="仿宋" w:hAnsi="仿宋" w:eastAsia="仿宋" w:cs="仿宋"/>
          <w:sz w:val="32"/>
          <w:szCs w:val="32"/>
          <w:highlight w:val="none"/>
        </w:rPr>
        <w:t>6</w:t>
      </w:r>
      <w:r>
        <w:rPr>
          <w:rFonts w:hint="eastAsia" w:ascii="仿宋" w:hAnsi="仿宋" w:eastAsia="仿宋" w:cs="仿宋"/>
          <w:sz w:val="32"/>
          <w:szCs w:val="32"/>
          <w:highlight w:val="none"/>
        </w:rPr>
        <w:t>个月。</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（三）项目预算：预算金额不超过50万元。</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二、项目内容</w:t>
      </w:r>
    </w:p>
    <w:p>
      <w:pPr>
        <w:adjustRightInd w:val="0"/>
        <w:snapToGrid w:val="0"/>
        <w:spacing w:line="560" w:lineRule="exact"/>
        <w:ind w:firstLine="640" w:firstLineChars="200"/>
        <w:outlineLvl w:val="0"/>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十四五”规划实施中期评估，要在全面贯彻落实党的二十大精神的基础上，坚持问题导向和系统观念，立足更好发挥发展规划的战略导向作用，从宏观、中观、微观三个层面，总结成绩、查找短板、分析原因、提出对策，注重挖掘深层次矛盾和风险隐患，及时发现新情况新问题，形成深圳市</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十四五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规划实施中期评估报告</w:t>
      </w:r>
      <w:r>
        <w:rPr>
          <w:rFonts w:hint="eastAsia" w:ascii="仿宋" w:hAnsi="仿宋" w:eastAsia="仿宋" w:cs="仿宋"/>
          <w:color w:val="0000FF"/>
          <w:sz w:val="32"/>
          <w:szCs w:val="32"/>
          <w:highlight w:val="none"/>
        </w:rPr>
        <w:t>。</w:t>
      </w:r>
      <w:r>
        <w:rPr>
          <w:rFonts w:hint="eastAsia" w:ascii="仿宋" w:hAnsi="仿宋" w:eastAsia="仿宋" w:cs="仿宋"/>
          <w:color w:val="auto"/>
          <w:sz w:val="32"/>
          <w:szCs w:val="32"/>
          <w:highlight w:val="none"/>
          <w:lang w:val="en-US" w:eastAsia="zh-CN"/>
        </w:rPr>
        <w:t>报告应包括：</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（一）主要指标实现情况。</w:t>
      </w:r>
      <w:r>
        <w:rPr>
          <w:rFonts w:ascii="仿宋" w:hAnsi="仿宋" w:eastAsia="仿宋" w:cs="仿宋"/>
          <w:sz w:val="32"/>
          <w:szCs w:val="32"/>
          <w:highlight w:val="none"/>
        </w:rPr>
        <w:t>以高质量发展为导向，</w:t>
      </w:r>
      <w:r>
        <w:rPr>
          <w:rFonts w:hint="eastAsia" w:ascii="仿宋" w:hAnsi="仿宋" w:eastAsia="仿宋" w:cs="仿宋"/>
          <w:sz w:val="32"/>
          <w:szCs w:val="32"/>
          <w:highlight w:val="none"/>
        </w:rPr>
        <w:t>以约束性指标为重点，</w:t>
      </w:r>
      <w:r>
        <w:rPr>
          <w:rFonts w:ascii="仿宋" w:hAnsi="仿宋" w:eastAsia="仿宋" w:cs="仿宋"/>
          <w:sz w:val="32"/>
          <w:szCs w:val="32"/>
          <w:highlight w:val="none"/>
        </w:rPr>
        <w:t>评估</w:t>
      </w:r>
      <w:r>
        <w:rPr>
          <w:rFonts w:hint="eastAsia" w:ascii="仿宋" w:hAnsi="仿宋" w:eastAsia="仿宋" w:cs="仿宋"/>
          <w:sz w:val="32"/>
          <w:szCs w:val="32"/>
          <w:highlight w:val="none"/>
        </w:rPr>
        <w:t>“十四五”规划主要指标进展情况</w:t>
      </w:r>
      <w:r>
        <w:rPr>
          <w:rFonts w:ascii="仿宋" w:hAnsi="仿宋" w:eastAsia="仿宋" w:cs="仿宋"/>
          <w:sz w:val="32"/>
          <w:szCs w:val="32"/>
          <w:highlight w:val="none"/>
        </w:rPr>
        <w:t>，包括指标</w:t>
      </w:r>
      <w:r>
        <w:rPr>
          <w:rFonts w:hint="eastAsia" w:ascii="仿宋" w:hAnsi="仿宋" w:eastAsia="仿宋" w:cs="仿宋"/>
          <w:sz w:val="32"/>
          <w:szCs w:val="32"/>
          <w:highlight w:val="none"/>
        </w:rPr>
        <w:t>实际值</w:t>
      </w:r>
      <w:r>
        <w:rPr>
          <w:rFonts w:ascii="仿宋" w:hAnsi="仿宋" w:eastAsia="仿宋" w:cs="仿宋"/>
          <w:sz w:val="32"/>
          <w:szCs w:val="32"/>
          <w:highlight w:val="none"/>
        </w:rPr>
        <w:t>、完成进度、存在问题及原因，提出规划期末（2025年）完成趋势判断及</w:t>
      </w:r>
      <w:r>
        <w:rPr>
          <w:rFonts w:hint="eastAsia" w:ascii="仿宋" w:hAnsi="仿宋" w:eastAsia="仿宋" w:cs="仿宋"/>
          <w:sz w:val="32"/>
          <w:szCs w:val="32"/>
          <w:highlight w:val="none"/>
        </w:rPr>
        <w:t>测算</w:t>
      </w:r>
      <w:r>
        <w:rPr>
          <w:rFonts w:ascii="仿宋" w:hAnsi="仿宋" w:eastAsia="仿宋" w:cs="仿宋"/>
          <w:sz w:val="32"/>
          <w:szCs w:val="32"/>
          <w:highlight w:val="none"/>
        </w:rPr>
        <w:t>依据</w:t>
      </w:r>
      <w:r>
        <w:rPr>
          <w:rFonts w:hint="eastAsia" w:ascii="仿宋" w:hAnsi="仿宋" w:eastAsia="仿宋" w:cs="仿宋"/>
          <w:sz w:val="32"/>
          <w:szCs w:val="32"/>
          <w:highlight w:val="none"/>
        </w:rPr>
        <w:t>、推进实现指标目标的政策举措等内容</w:t>
      </w:r>
      <w:r>
        <w:rPr>
          <w:rFonts w:ascii="仿宋" w:hAnsi="仿宋" w:eastAsia="仿宋" w:cs="仿宋"/>
          <w:sz w:val="32"/>
          <w:szCs w:val="32"/>
          <w:highlight w:val="none"/>
        </w:rPr>
        <w:t>。</w:t>
      </w:r>
    </w:p>
    <w:p>
      <w:pPr>
        <w:adjustRightInd w:val="0"/>
        <w:snapToGrid w:val="0"/>
        <w:spacing w:line="560" w:lineRule="exact"/>
        <w:ind w:firstLine="640" w:firstLineChars="200"/>
        <w:outlineLvl w:val="0"/>
        <w:rPr>
          <w:rFonts w:hint="default" w:ascii="仿宋" w:hAnsi="仿宋" w:eastAsia="仿宋" w:cs="仿宋"/>
          <w:sz w:val="32"/>
          <w:szCs w:val="32"/>
          <w:highlight w:val="none"/>
        </w:rPr>
      </w:pPr>
      <w:r>
        <w:rPr>
          <w:rFonts w:ascii="仿宋" w:hAnsi="仿宋" w:eastAsia="仿宋" w:cs="仿宋"/>
          <w:sz w:val="32"/>
          <w:szCs w:val="32"/>
          <w:highlight w:val="none"/>
        </w:rPr>
        <w:t>（二）重点任务推进情况。</w:t>
      </w:r>
      <w:r>
        <w:rPr>
          <w:rFonts w:hint="default" w:ascii="仿宋" w:hAnsi="仿宋" w:eastAsia="仿宋" w:cs="仿宋"/>
          <w:sz w:val="32"/>
          <w:szCs w:val="32"/>
          <w:highlight w:val="none"/>
          <w:lang w:val="en-US" w:eastAsia="zh-CN"/>
        </w:rPr>
        <w:t>聚焦</w:t>
      </w:r>
      <w:r>
        <w:rPr>
          <w:rFonts w:hint="eastAsia" w:ascii="仿宋" w:hAnsi="仿宋" w:eastAsia="仿宋" w:cs="仿宋"/>
          <w:sz w:val="32"/>
          <w:szCs w:val="32"/>
          <w:highlight w:val="none"/>
          <w:lang w:val="en-US" w:eastAsia="zh-CN"/>
        </w:rPr>
        <w:t>贯彻落实新发展理念、实施</w:t>
      </w:r>
      <w:r>
        <w:rPr>
          <w:rFonts w:hint="eastAsia" w:ascii="仿宋" w:hAnsi="仿宋" w:eastAsia="仿宋" w:cs="仿宋"/>
          <w:sz w:val="32"/>
          <w:szCs w:val="32"/>
          <w:highlight w:val="none"/>
        </w:rPr>
        <w:t>扩大内需战略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深化</w:t>
      </w:r>
      <w:r>
        <w:rPr>
          <w:rFonts w:hint="eastAsia" w:ascii="仿宋" w:hAnsi="仿宋" w:eastAsia="仿宋" w:cs="仿宋"/>
          <w:sz w:val="32"/>
          <w:szCs w:val="32"/>
          <w:highlight w:val="none"/>
        </w:rPr>
        <w:t>供给侧结构性改革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全面深化改革开放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建设现代化产业体系等重大战略任务推进情况</w:t>
      </w:r>
      <w:r>
        <w:rPr>
          <w:rFonts w:hint="eastAsia" w:ascii="仿宋" w:hAnsi="仿宋" w:eastAsia="仿宋" w:cs="仿宋"/>
          <w:sz w:val="32"/>
          <w:szCs w:val="32"/>
          <w:highlight w:val="none"/>
          <w:lang w:eastAsia="zh-CN"/>
        </w:rPr>
        <w:t>，</w:t>
      </w:r>
      <w:r>
        <w:rPr>
          <w:rFonts w:hint="default" w:ascii="仿宋" w:hAnsi="仿宋" w:eastAsia="仿宋" w:cs="仿宋"/>
          <w:sz w:val="32"/>
          <w:szCs w:val="32"/>
          <w:highlight w:val="none"/>
        </w:rPr>
        <w:t>重点对“十四五”规划中提出的</w:t>
      </w:r>
      <w:r>
        <w:rPr>
          <w:rFonts w:hint="eastAsia" w:ascii="仿宋" w:hAnsi="仿宋" w:eastAsia="仿宋" w:cs="仿宋"/>
          <w:sz w:val="32"/>
          <w:szCs w:val="32"/>
          <w:highlight w:val="none"/>
          <w:lang w:val="en-US" w:eastAsia="zh-CN"/>
        </w:rPr>
        <w:t>重点</w:t>
      </w:r>
      <w:r>
        <w:rPr>
          <w:rFonts w:hint="default" w:ascii="仿宋" w:hAnsi="仿宋" w:eastAsia="仿宋" w:cs="仿宋"/>
          <w:sz w:val="32"/>
          <w:szCs w:val="32"/>
          <w:highlight w:val="none"/>
        </w:rPr>
        <w:t>任务进展情况进行分析评价，包括</w:t>
      </w:r>
      <w:r>
        <w:rPr>
          <w:rFonts w:hint="eastAsia" w:ascii="仿宋" w:hAnsi="仿宋" w:eastAsia="仿宋" w:cs="仿宋"/>
          <w:sz w:val="32"/>
          <w:szCs w:val="32"/>
          <w:highlight w:val="none"/>
          <w:lang w:eastAsia="zh-CN"/>
        </w:rPr>
        <w:t>为完成任务采取的政策措施</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取得成效、</w:t>
      </w:r>
      <w:r>
        <w:rPr>
          <w:rFonts w:hint="default" w:ascii="仿宋" w:hAnsi="仿宋" w:eastAsia="仿宋" w:cs="仿宋"/>
          <w:sz w:val="32"/>
          <w:szCs w:val="32"/>
          <w:highlight w:val="none"/>
        </w:rPr>
        <w:t>存在问题及原因、</w:t>
      </w:r>
      <w:r>
        <w:rPr>
          <w:rFonts w:hint="eastAsia" w:ascii="仿宋" w:hAnsi="仿宋" w:eastAsia="仿宋" w:cs="仿宋"/>
          <w:sz w:val="32"/>
          <w:szCs w:val="32"/>
          <w:highlight w:val="none"/>
          <w:lang w:eastAsia="zh-CN"/>
        </w:rPr>
        <w:t>解决问题对策、</w:t>
      </w:r>
      <w:r>
        <w:rPr>
          <w:rFonts w:hint="eastAsia" w:ascii="仿宋" w:hAnsi="仿宋" w:eastAsia="仿宋" w:cs="仿宋"/>
          <w:sz w:val="32"/>
          <w:szCs w:val="32"/>
          <w:highlight w:val="none"/>
          <w:lang w:val="en-US" w:eastAsia="zh-CN"/>
        </w:rPr>
        <w:t>下一步推进任务的政策举措</w:t>
      </w:r>
      <w:r>
        <w:rPr>
          <w:rFonts w:hint="default" w:ascii="仿宋" w:hAnsi="仿宋" w:eastAsia="仿宋" w:cs="仿宋"/>
          <w:sz w:val="32"/>
          <w:szCs w:val="32"/>
          <w:highlight w:val="none"/>
        </w:rPr>
        <w:t>等内容。</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ascii="仿宋" w:hAnsi="仿宋" w:eastAsia="仿宋" w:cs="仿宋"/>
          <w:sz w:val="32"/>
          <w:szCs w:val="32"/>
          <w:highlight w:val="none"/>
        </w:rPr>
        <w:t>（三）重大项目建设情况。对“十四五”规划中的重</w:t>
      </w:r>
      <w:r>
        <w:rPr>
          <w:rFonts w:hint="eastAsia" w:ascii="仿宋" w:hAnsi="仿宋" w:eastAsia="仿宋" w:cs="仿宋"/>
          <w:sz w:val="32"/>
          <w:szCs w:val="32"/>
          <w:highlight w:val="none"/>
        </w:rPr>
        <w:t>大</w:t>
      </w:r>
      <w:r>
        <w:rPr>
          <w:rFonts w:ascii="仿宋" w:hAnsi="仿宋" w:eastAsia="仿宋" w:cs="仿宋"/>
          <w:sz w:val="32"/>
          <w:szCs w:val="32"/>
          <w:highlight w:val="none"/>
        </w:rPr>
        <w:t>项目推进情况进行监测评价，包括项目</w:t>
      </w:r>
      <w:r>
        <w:rPr>
          <w:rFonts w:hint="eastAsia" w:ascii="仿宋" w:hAnsi="仿宋" w:eastAsia="仿宋" w:cs="仿宋"/>
          <w:sz w:val="32"/>
          <w:szCs w:val="32"/>
          <w:highlight w:val="none"/>
        </w:rPr>
        <w:t>开工</w:t>
      </w:r>
      <w:r>
        <w:rPr>
          <w:rFonts w:ascii="仿宋" w:hAnsi="仿宋" w:eastAsia="仿宋" w:cs="仿宋"/>
          <w:sz w:val="32"/>
          <w:szCs w:val="32"/>
          <w:highlight w:val="none"/>
        </w:rPr>
        <w:t>情况、</w:t>
      </w:r>
      <w:r>
        <w:rPr>
          <w:rFonts w:hint="eastAsia" w:ascii="仿宋" w:hAnsi="仿宋" w:eastAsia="仿宋" w:cs="仿宋"/>
          <w:sz w:val="32"/>
          <w:szCs w:val="32"/>
          <w:highlight w:val="none"/>
        </w:rPr>
        <w:t>实际</w:t>
      </w:r>
      <w:r>
        <w:rPr>
          <w:rFonts w:ascii="仿宋" w:hAnsi="仿宋" w:eastAsia="仿宋" w:cs="仿宋"/>
          <w:sz w:val="32"/>
          <w:szCs w:val="32"/>
          <w:highlight w:val="none"/>
        </w:rPr>
        <w:t>投资完成</w:t>
      </w:r>
      <w:r>
        <w:rPr>
          <w:rFonts w:hint="eastAsia" w:ascii="仿宋" w:hAnsi="仿宋" w:eastAsia="仿宋" w:cs="仿宋"/>
          <w:sz w:val="32"/>
          <w:szCs w:val="32"/>
          <w:highlight w:val="none"/>
        </w:rPr>
        <w:t>额</w:t>
      </w:r>
      <w:r>
        <w:rPr>
          <w:rFonts w:ascii="仿宋" w:hAnsi="仿宋" w:eastAsia="仿宋" w:cs="仿宋"/>
          <w:sz w:val="32"/>
          <w:szCs w:val="32"/>
          <w:highlight w:val="none"/>
        </w:rPr>
        <w:t>、</w:t>
      </w:r>
      <w:r>
        <w:rPr>
          <w:rFonts w:hint="eastAsia" w:ascii="仿宋" w:hAnsi="仿宋" w:eastAsia="仿宋" w:cs="仿宋"/>
          <w:sz w:val="32"/>
          <w:szCs w:val="32"/>
          <w:highlight w:val="none"/>
        </w:rPr>
        <w:t>完成进度、</w:t>
      </w:r>
      <w:r>
        <w:rPr>
          <w:rFonts w:ascii="仿宋" w:hAnsi="仿宋" w:eastAsia="仿宋" w:cs="仿宋"/>
          <w:sz w:val="32"/>
          <w:szCs w:val="32"/>
          <w:highlight w:val="none"/>
        </w:rPr>
        <w:t>存在问题及原因、</w:t>
      </w:r>
      <w:r>
        <w:rPr>
          <w:rFonts w:hint="eastAsia" w:ascii="仿宋" w:hAnsi="仿宋" w:eastAsia="仿宋" w:cs="仿宋"/>
          <w:sz w:val="32"/>
          <w:szCs w:val="32"/>
          <w:highlight w:val="none"/>
        </w:rPr>
        <w:t>预计竣工时间</w:t>
      </w:r>
      <w:r>
        <w:rPr>
          <w:rFonts w:ascii="仿宋" w:hAnsi="仿宋" w:eastAsia="仿宋" w:cs="仿宋"/>
          <w:sz w:val="32"/>
          <w:szCs w:val="32"/>
          <w:highlight w:val="none"/>
        </w:rPr>
        <w:t>等内容</w:t>
      </w:r>
      <w:r>
        <w:rPr>
          <w:rFonts w:hint="eastAsia" w:ascii="仿宋" w:hAnsi="仿宋" w:eastAsia="仿宋" w:cs="仿宋"/>
          <w:sz w:val="32"/>
          <w:szCs w:val="32"/>
          <w:highlight w:val="none"/>
        </w:rPr>
        <w:t>，提出重大项目在“十四五”后半程主要工作安排</w:t>
      </w:r>
      <w:r>
        <w:rPr>
          <w:rFonts w:ascii="仿宋" w:hAnsi="仿宋" w:eastAsia="仿宋" w:cs="仿宋"/>
          <w:sz w:val="32"/>
          <w:szCs w:val="32"/>
          <w:highlight w:val="none"/>
        </w:rPr>
        <w:t>。</w:t>
      </w:r>
    </w:p>
    <w:p>
      <w:pPr>
        <w:adjustRightInd w:val="0"/>
        <w:snapToGrid w:val="0"/>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（四）国家、省“十四五”规划涉深事项完成情况评估。对国家、广东省“十四五”规划涉及深圳事项中期进展情况进行评估，包括为完成任务采取的政策措施、取得成效、存在问题等。</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五</w:t>
      </w:r>
      <w:r>
        <w:rPr>
          <w:rFonts w:ascii="仿宋" w:hAnsi="仿宋" w:eastAsia="仿宋" w:cs="仿宋"/>
          <w:sz w:val="32"/>
          <w:szCs w:val="32"/>
          <w:highlight w:val="none"/>
        </w:rPr>
        <w:t>）</w:t>
      </w:r>
      <w:r>
        <w:rPr>
          <w:rFonts w:hint="eastAsia" w:ascii="仿宋" w:hAnsi="仿宋" w:eastAsia="仿宋" w:cs="仿宋"/>
          <w:sz w:val="32"/>
          <w:szCs w:val="32"/>
          <w:highlight w:val="none"/>
        </w:rPr>
        <w:t>发展形势环境变化和推动规划实施的对策建议</w:t>
      </w:r>
      <w:r>
        <w:rPr>
          <w:rFonts w:ascii="仿宋" w:hAnsi="仿宋" w:eastAsia="仿宋" w:cs="仿宋"/>
          <w:sz w:val="32"/>
          <w:szCs w:val="32"/>
          <w:highlight w:val="none"/>
        </w:rPr>
        <w:t>。</w:t>
      </w:r>
      <w:r>
        <w:rPr>
          <w:rFonts w:hint="eastAsia" w:ascii="仿宋" w:hAnsi="仿宋" w:eastAsia="仿宋" w:cs="仿宋"/>
          <w:sz w:val="32"/>
          <w:szCs w:val="32"/>
          <w:highlight w:val="none"/>
        </w:rPr>
        <w:t>对标对表</w:t>
      </w:r>
      <w:r>
        <w:rPr>
          <w:rFonts w:ascii="仿宋" w:hAnsi="仿宋" w:eastAsia="仿宋" w:cs="仿宋"/>
          <w:sz w:val="32"/>
          <w:szCs w:val="32"/>
          <w:highlight w:val="none"/>
        </w:rPr>
        <w:t>党的二十大</w:t>
      </w:r>
      <w:r>
        <w:rPr>
          <w:rFonts w:hint="eastAsia" w:ascii="仿宋" w:hAnsi="仿宋" w:eastAsia="仿宋" w:cs="仿宋"/>
          <w:sz w:val="32"/>
          <w:szCs w:val="32"/>
          <w:highlight w:val="none"/>
        </w:rPr>
        <w:t>提出的新目标新部署新要求</w:t>
      </w:r>
      <w:r>
        <w:rPr>
          <w:rFonts w:ascii="仿宋" w:hAnsi="仿宋" w:eastAsia="仿宋" w:cs="仿宋"/>
          <w:sz w:val="32"/>
          <w:szCs w:val="32"/>
          <w:highlight w:val="none"/>
        </w:rPr>
        <w:t>，</w:t>
      </w:r>
      <w:r>
        <w:rPr>
          <w:rFonts w:hint="eastAsia" w:ascii="仿宋" w:hAnsi="仿宋" w:eastAsia="仿宋" w:cs="仿宋"/>
          <w:sz w:val="32"/>
          <w:szCs w:val="32"/>
          <w:highlight w:val="none"/>
        </w:rPr>
        <w:t>深入分析研判国内外形势对“十四五”中后期我市经济社会发展的影响，</w:t>
      </w:r>
      <w:r>
        <w:rPr>
          <w:rFonts w:ascii="仿宋" w:hAnsi="仿宋" w:eastAsia="仿宋" w:cs="仿宋"/>
          <w:sz w:val="32"/>
          <w:szCs w:val="32"/>
          <w:highlight w:val="none"/>
        </w:rPr>
        <w:t>结合</w:t>
      </w:r>
      <w:r>
        <w:rPr>
          <w:rFonts w:hint="eastAsia" w:ascii="仿宋" w:hAnsi="仿宋" w:eastAsia="仿宋" w:cs="仿宋"/>
          <w:sz w:val="32"/>
          <w:szCs w:val="32"/>
          <w:highlight w:val="none"/>
        </w:rPr>
        <w:t>规划实施进展情况、国内外发展环境新变化及新出台的有关战略、规划和部署，研究提出进一步推动规划实施的对策建议。</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三、项目技术要求</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（一）项目成果应遵循国家颁布的有关法律、法规及政策要求，符合相关的技术规范和标准。</w:t>
      </w:r>
    </w:p>
    <w:p>
      <w:pPr>
        <w:adjustRightInd w:val="0"/>
        <w:snapToGrid w:val="0"/>
        <w:spacing w:line="56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（二）研究过程中应当进行深入调查研究，把握“十四五”前半程深圳发展情况等相关基础资料。</w:t>
      </w:r>
    </w:p>
    <w:p>
      <w:pPr>
        <w:pStyle w:val="3"/>
        <w:keepNext w:val="0"/>
        <w:keepLines w:val="0"/>
        <w:spacing w:before="0" w:after="0" w:line="560" w:lineRule="exact"/>
        <w:ind w:firstLine="640" w:firstLineChars="200"/>
        <w:rPr>
          <w:rFonts w:ascii="仿宋" w:hAnsi="仿宋" w:eastAsia="仿宋" w:cs="仿宋"/>
          <w:b w:val="0"/>
          <w:bCs w:val="0"/>
          <w:highlight w:val="none"/>
        </w:rPr>
      </w:pPr>
      <w:r>
        <w:rPr>
          <w:rFonts w:hint="eastAsia" w:ascii="仿宋" w:hAnsi="仿宋" w:eastAsia="仿宋" w:cs="仿宋"/>
          <w:b w:val="0"/>
          <w:bCs w:val="0"/>
          <w:highlight w:val="none"/>
        </w:rPr>
        <w:t>（三）研究成果要具有前瞻性，面向未来、视野开阔，科学研判未来发展趋势；具有系统性，研究成果要体系完整、内容全面、材料丰富；具有实用性，研究成果符合深圳实际，针对性和可操作性强。</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四、项目成果交付要求</w:t>
      </w:r>
    </w:p>
    <w:p>
      <w:pPr>
        <w:spacing w:line="560" w:lineRule="exact"/>
        <w:ind w:firstLine="640" w:firstLineChars="200"/>
        <w:rPr>
          <w:rFonts w:ascii="仿宋" w:hAnsi="仿宋" w:eastAsia="仿宋" w:cs="仿宋"/>
          <w:sz w:val="32"/>
          <w:szCs w:val="24"/>
          <w:highlight w:val="none"/>
        </w:rPr>
      </w:pPr>
      <w:r>
        <w:rPr>
          <w:rFonts w:hint="eastAsia" w:ascii="仿宋" w:hAnsi="仿宋" w:eastAsia="仿宋" w:cs="仿宋"/>
          <w:sz w:val="32"/>
          <w:szCs w:val="24"/>
          <w:highlight w:val="none"/>
        </w:rPr>
        <w:t>提交研究成果纸质版5份和电子版，文件能够简明扼要介绍成果核心内容与主要结论。</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五、投标资格要求</w:t>
      </w:r>
    </w:p>
    <w:p>
      <w:pPr>
        <w:pStyle w:val="3"/>
        <w:keepNext w:val="0"/>
        <w:keepLines w:val="0"/>
        <w:spacing w:before="0" w:after="0" w:line="560" w:lineRule="exact"/>
        <w:ind w:firstLine="640" w:firstLineChars="200"/>
        <w:rPr>
          <w:rFonts w:ascii="仿宋" w:hAnsi="仿宋" w:eastAsia="仿宋" w:cs="仿宋"/>
          <w:highlight w:val="none"/>
        </w:rPr>
      </w:pPr>
      <w:r>
        <w:rPr>
          <w:rFonts w:hint="eastAsia" w:ascii="仿宋" w:hAnsi="仿宋" w:eastAsia="仿宋" w:cs="仿宋"/>
          <w:b w:val="0"/>
          <w:highlight w:val="none"/>
        </w:rPr>
        <w:t>（一）具有独立承担民事责任能力的在中华人民共和国境内注册的法人。</w:t>
      </w:r>
    </w:p>
    <w:p>
      <w:pPr>
        <w:pStyle w:val="3"/>
        <w:keepNext w:val="0"/>
        <w:keepLines w:val="0"/>
        <w:spacing w:before="0" w:after="0" w:line="560" w:lineRule="exact"/>
        <w:ind w:firstLine="640" w:firstLineChars="200"/>
        <w:rPr>
          <w:rFonts w:ascii="仿宋" w:hAnsi="仿宋" w:eastAsia="仿宋" w:cs="仿宋"/>
          <w:highlight w:val="none"/>
        </w:rPr>
      </w:pPr>
      <w:r>
        <w:rPr>
          <w:rFonts w:hint="eastAsia" w:ascii="仿宋" w:hAnsi="仿宋" w:eastAsia="仿宋" w:cs="仿宋"/>
          <w:b w:val="0"/>
          <w:highlight w:val="none"/>
        </w:rPr>
        <w:t>（二）投标人必须具备相关经营范围（咨询服务等），具备开展本项目研究的基本条件和研究能力。</w:t>
      </w:r>
    </w:p>
    <w:p>
      <w:pPr>
        <w:pStyle w:val="3"/>
        <w:keepNext w:val="0"/>
        <w:keepLines w:val="0"/>
        <w:spacing w:before="0" w:after="0" w:line="560" w:lineRule="exact"/>
        <w:ind w:firstLine="640" w:firstLineChars="200"/>
        <w:rPr>
          <w:rFonts w:ascii="仿宋" w:hAnsi="仿宋" w:eastAsia="仿宋" w:cs="仿宋"/>
          <w:highlight w:val="none"/>
        </w:rPr>
      </w:pPr>
      <w:r>
        <w:rPr>
          <w:rFonts w:hint="eastAsia" w:ascii="仿宋" w:hAnsi="仿宋" w:eastAsia="仿宋" w:cs="仿宋"/>
          <w:b w:val="0"/>
          <w:highlight w:val="none"/>
        </w:rPr>
        <w:t>（三）参加本次政府采购活动前3年内在经营活动中没有重大违法记录（提供声明函，格式自拟）。</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六、投标时间、方式及联系人</w:t>
      </w:r>
    </w:p>
    <w:p>
      <w:pPr>
        <w:spacing w:line="560" w:lineRule="exact"/>
        <w:ind w:firstLine="640" w:firstLineChars="200"/>
        <w:rPr>
          <w:rFonts w:ascii="仿宋" w:hAnsi="仿宋" w:eastAsia="仿宋" w:cs="仿宋"/>
          <w:sz w:val="32"/>
          <w:szCs w:val="24"/>
          <w:highlight w:val="none"/>
        </w:rPr>
      </w:pPr>
      <w:r>
        <w:rPr>
          <w:rFonts w:hint="eastAsia" w:ascii="仿宋" w:hAnsi="仿宋" w:eastAsia="仿宋" w:cs="仿宋"/>
          <w:sz w:val="32"/>
          <w:szCs w:val="24"/>
          <w:highlight w:val="none"/>
        </w:rPr>
        <w:t>（一）投标时间：202</w:t>
      </w:r>
      <w:r>
        <w:rPr>
          <w:rFonts w:ascii="仿宋" w:hAnsi="仿宋" w:eastAsia="仿宋" w:cs="仿宋"/>
          <w:sz w:val="32"/>
          <w:szCs w:val="24"/>
          <w:highlight w:val="none"/>
        </w:rPr>
        <w:t>3</w:t>
      </w:r>
      <w:r>
        <w:rPr>
          <w:rFonts w:hint="eastAsia" w:ascii="仿宋" w:hAnsi="仿宋" w:eastAsia="仿宋" w:cs="仿宋"/>
          <w:sz w:val="32"/>
          <w:szCs w:val="24"/>
          <w:highlight w:val="none"/>
        </w:rPr>
        <w:t>年</w:t>
      </w:r>
      <w:r>
        <w:rPr>
          <w:rFonts w:ascii="仿宋" w:hAnsi="仿宋" w:eastAsia="仿宋" w:cs="仿宋"/>
          <w:sz w:val="32"/>
          <w:szCs w:val="24"/>
          <w:highlight w:val="none"/>
        </w:rPr>
        <w:t>4</w:t>
      </w:r>
      <w:r>
        <w:rPr>
          <w:rFonts w:hint="eastAsia" w:ascii="仿宋" w:hAnsi="仿宋" w:eastAsia="仿宋" w:cs="仿宋"/>
          <w:sz w:val="32"/>
          <w:szCs w:val="24"/>
          <w:highlight w:val="none"/>
        </w:rPr>
        <w:t>月</w:t>
      </w:r>
      <w:r>
        <w:rPr>
          <w:rFonts w:hint="eastAsia" w:ascii="仿宋" w:hAnsi="仿宋" w:eastAsia="仿宋" w:cs="仿宋"/>
          <w:sz w:val="32"/>
          <w:szCs w:val="24"/>
          <w:highlight w:val="none"/>
          <w:lang w:val="en-US" w:eastAsia="zh-CN"/>
        </w:rPr>
        <w:t>21</w:t>
      </w:r>
      <w:r>
        <w:rPr>
          <w:rFonts w:hint="eastAsia" w:ascii="仿宋" w:hAnsi="仿宋" w:eastAsia="仿宋" w:cs="仿宋"/>
          <w:sz w:val="32"/>
          <w:szCs w:val="24"/>
          <w:highlight w:val="none"/>
        </w:rPr>
        <w:t>日至202</w:t>
      </w:r>
      <w:r>
        <w:rPr>
          <w:rFonts w:ascii="仿宋" w:hAnsi="仿宋" w:eastAsia="仿宋" w:cs="仿宋"/>
          <w:sz w:val="32"/>
          <w:szCs w:val="24"/>
          <w:highlight w:val="none"/>
        </w:rPr>
        <w:t>3</w:t>
      </w:r>
      <w:r>
        <w:rPr>
          <w:rFonts w:hint="eastAsia" w:ascii="仿宋" w:hAnsi="仿宋" w:eastAsia="仿宋" w:cs="仿宋"/>
          <w:sz w:val="32"/>
          <w:szCs w:val="24"/>
          <w:highlight w:val="none"/>
        </w:rPr>
        <w:t>年</w:t>
      </w:r>
      <w:r>
        <w:rPr>
          <w:rFonts w:hint="eastAsia" w:ascii="仿宋" w:hAnsi="仿宋" w:eastAsia="仿宋" w:cs="仿宋"/>
          <w:sz w:val="32"/>
          <w:szCs w:val="24"/>
          <w:highlight w:val="none"/>
          <w:lang w:val="en-US" w:eastAsia="zh-CN"/>
        </w:rPr>
        <w:t>5</w:t>
      </w:r>
      <w:r>
        <w:rPr>
          <w:rFonts w:hint="eastAsia" w:ascii="仿宋" w:hAnsi="仿宋" w:eastAsia="仿宋" w:cs="仿宋"/>
          <w:sz w:val="32"/>
          <w:szCs w:val="24"/>
          <w:highlight w:val="none"/>
        </w:rPr>
        <w:t>月</w:t>
      </w:r>
      <w:r>
        <w:rPr>
          <w:rFonts w:hint="eastAsia" w:ascii="仿宋" w:hAnsi="仿宋" w:eastAsia="仿宋" w:cs="仿宋"/>
          <w:sz w:val="32"/>
          <w:szCs w:val="24"/>
          <w:highlight w:val="none"/>
          <w:lang w:val="en-US" w:eastAsia="zh-CN"/>
        </w:rPr>
        <w:t>12</w:t>
      </w:r>
      <w:r>
        <w:rPr>
          <w:rFonts w:hint="eastAsia" w:ascii="仿宋" w:hAnsi="仿宋" w:eastAsia="仿宋" w:cs="仿宋"/>
          <w:sz w:val="32"/>
          <w:szCs w:val="24"/>
          <w:highlight w:val="none"/>
        </w:rPr>
        <w:t>日，每日上午9:00-12:00，下午2:00-5:45（节假日除外）。逾期未投标将不再受理。</w:t>
      </w:r>
    </w:p>
    <w:p>
      <w:pPr>
        <w:spacing w:line="560" w:lineRule="exact"/>
        <w:ind w:firstLine="640" w:firstLineChars="200"/>
        <w:rPr>
          <w:rFonts w:ascii="仿宋" w:hAnsi="仿宋" w:eastAsia="仿宋" w:cs="仿宋"/>
          <w:sz w:val="32"/>
          <w:szCs w:val="24"/>
          <w:highlight w:val="none"/>
        </w:rPr>
      </w:pPr>
      <w:r>
        <w:rPr>
          <w:rFonts w:hint="eastAsia" w:ascii="仿宋" w:hAnsi="仿宋" w:eastAsia="仿宋" w:cs="仿宋"/>
          <w:sz w:val="32"/>
          <w:szCs w:val="24"/>
          <w:highlight w:val="none"/>
        </w:rPr>
        <w:t>（二）投标地点：深圳市福田区福中三路市民中心B区行政服务大厅2号市发展和改革委卡座（可邮寄，以送达日期为投标日期）。</w:t>
      </w:r>
    </w:p>
    <w:p>
      <w:pPr>
        <w:spacing w:line="560" w:lineRule="exact"/>
        <w:ind w:firstLine="640" w:firstLineChars="200"/>
        <w:rPr>
          <w:rFonts w:ascii="仿宋" w:hAnsi="仿宋" w:eastAsia="仿宋" w:cs="仿宋"/>
          <w:sz w:val="32"/>
          <w:szCs w:val="24"/>
          <w:highlight w:val="none"/>
        </w:rPr>
      </w:pPr>
      <w:r>
        <w:rPr>
          <w:rFonts w:hint="eastAsia" w:ascii="仿宋" w:hAnsi="仿宋" w:eastAsia="仿宋" w:cs="仿宋"/>
          <w:sz w:val="32"/>
          <w:szCs w:val="24"/>
          <w:highlight w:val="none"/>
        </w:rPr>
        <w:t>（三）联系人：</w:t>
      </w:r>
      <w:r>
        <w:rPr>
          <w:rFonts w:hint="eastAsia" w:ascii="仿宋" w:hAnsi="仿宋" w:eastAsia="仿宋" w:cs="仿宋"/>
          <w:sz w:val="32"/>
          <w:szCs w:val="24"/>
          <w:highlight w:val="none"/>
          <w:lang w:eastAsia="zh-CN"/>
        </w:rPr>
        <w:t>高婉婷，</w:t>
      </w:r>
      <w:r>
        <w:rPr>
          <w:rFonts w:hint="eastAsia" w:ascii="仿宋" w:hAnsi="仿宋" w:eastAsia="仿宋" w:cs="仿宋"/>
          <w:sz w:val="32"/>
          <w:szCs w:val="24"/>
          <w:highlight w:val="none"/>
          <w:lang w:val="en-US" w:eastAsia="zh-CN"/>
        </w:rPr>
        <w:t>0755-88121840</w:t>
      </w:r>
      <w:r>
        <w:rPr>
          <w:rFonts w:hint="eastAsia" w:ascii="仿宋" w:hAnsi="仿宋" w:eastAsia="仿宋" w:cs="仿宋"/>
          <w:sz w:val="32"/>
          <w:szCs w:val="24"/>
          <w:highlight w:val="none"/>
        </w:rPr>
        <w:t>。</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七、投标文件递交内容</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（一）投标单位简介、投标人营业执照及相关证照（提供加盖公章的复印件，原件备查）。</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（二）法定代表人证明书及授权委托书（原件加盖公章）。</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（三）法定代表人及受委托人身份证复印件（复印件加盖公章）。</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（四）项目方案及报价单（原件加盖公章）。</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（五）投标人相关领域/项目经验证明材料（复印件加盖公章）。</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（六）投标人无重大违法记录声明函（原件加盖公章，格式自拟）。</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（七）投标及履约承诺函原件（格式见附件）。</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（八）住所地不在深圳的投标人应提供营业场所证明原件。</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（九）投标人认为有必要提供的其它材料。</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投标文件一式三份，整套材料密封并加盖骑缝章，封面注明投标人的名称、地址、联系人及手机号码。</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八、重要提示</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投标单位有下列情况之一的，其投标将被拒绝或作无效投标处理：</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（一）未在规定时间内将投标文件送达规定地点的。</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（二）投标人不具备投标资格要求，或未提交相应资格证明材料。</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（三）投标文件未按规定密封、签字、盖章。</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（四）投标文件无法定代表人签字或无法定代表人有效授权委托的。</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（五）分项报价或投标总价高于预算金额（最高投标限价）的。</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（六）同一项目出现两个及以上报价，且按规定无法确定哪个是有效报价。</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（八）所投服务在质量、技术、方案等方面没有实质性满足招标文件要求。</w:t>
      </w:r>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（九）法律、法规规定的其他情形。</w:t>
      </w:r>
    </w:p>
    <w:p>
      <w:pPr>
        <w:adjustRightInd w:val="0"/>
        <w:snapToGrid w:val="0"/>
        <w:spacing w:line="560" w:lineRule="exact"/>
        <w:ind w:firstLine="640" w:firstLineChars="200"/>
        <w:outlineLvl w:val="0"/>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rPr>
        <w:t>九、评标方法</w:t>
      </w:r>
    </w:p>
    <w:p>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（二）综合评分表</w:t>
      </w:r>
    </w:p>
    <w:tbl>
      <w:tblPr>
        <w:tblStyle w:val="43"/>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评审部分</w:t>
            </w:r>
          </w:p>
        </w:tc>
        <w:tc>
          <w:tcPr>
            <w:tcW w:w="1202" w:type="dxa"/>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评审因素</w:t>
            </w:r>
          </w:p>
        </w:tc>
        <w:tc>
          <w:tcPr>
            <w:tcW w:w="4678" w:type="dxa"/>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评分细则</w:t>
            </w:r>
          </w:p>
        </w:tc>
        <w:tc>
          <w:tcPr>
            <w:tcW w:w="850" w:type="dxa"/>
            <w:tcBorders>
              <w:right w:val="single" w:color="auto" w:sz="4" w:space="0"/>
            </w:tcBorders>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权重（%）</w:t>
            </w:r>
          </w:p>
        </w:tc>
        <w:tc>
          <w:tcPr>
            <w:tcW w:w="851" w:type="dxa"/>
            <w:tcBorders>
              <w:left w:val="single" w:color="auto" w:sz="4" w:space="0"/>
            </w:tcBorders>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一</w:t>
            </w:r>
          </w:p>
        </w:tc>
        <w:tc>
          <w:tcPr>
            <w:tcW w:w="7581" w:type="dxa"/>
            <w:gridSpan w:val="4"/>
            <w:vAlign w:val="center"/>
          </w:tcPr>
          <w:p>
            <w:pPr>
              <w:ind w:left="-78" w:leftChars="-37" w:right="-73" w:rightChars="-35"/>
              <w:jc w:val="center"/>
              <w:rPr>
                <w:rFonts w:ascii="宋体" w:hAnsi="宋体" w:cs="宋体"/>
                <w:b/>
                <w:sz w:val="22"/>
                <w:szCs w:val="24"/>
                <w:highlight w:val="none"/>
              </w:rPr>
            </w:pPr>
            <w:r>
              <w:rPr>
                <w:rFonts w:hint="eastAsia" w:ascii="宋体" w:hAnsi="宋体"/>
                <w:b/>
                <w:sz w:val="22"/>
                <w:szCs w:val="24"/>
                <w:highlight w:val="none"/>
              </w:rPr>
              <w:t>技术部分（合计</w:t>
            </w:r>
            <w:r>
              <w:rPr>
                <w:rFonts w:ascii="宋体" w:hAnsi="宋体"/>
                <w:b/>
                <w:sz w:val="22"/>
                <w:szCs w:val="24"/>
                <w:highlight w:val="none"/>
              </w:rPr>
              <w:t>40</w:t>
            </w:r>
            <w:r>
              <w:rPr>
                <w:rFonts w:hint="eastAsia" w:ascii="宋体" w:hAnsi="宋体"/>
                <w:b/>
                <w:sz w:val="22"/>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5"/>
              </w:numPr>
              <w:jc w:val="right"/>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实施方案</w:t>
            </w:r>
          </w:p>
        </w:tc>
        <w:tc>
          <w:tcPr>
            <w:tcW w:w="4678" w:type="dxa"/>
          </w:tcPr>
          <w:p>
            <w:pPr>
              <w:spacing w:line="300" w:lineRule="exact"/>
              <w:ind w:left="-78" w:leftChars="-37" w:right="-73" w:rightChars="-35"/>
              <w:jc w:val="both"/>
              <w:rPr>
                <w:rFonts w:ascii="宋体" w:hAnsi="宋体" w:cs="宋体"/>
                <w:kern w:val="0"/>
                <w:sz w:val="22"/>
                <w:szCs w:val="24"/>
                <w:highlight w:val="none"/>
              </w:rPr>
            </w:pPr>
            <w:r>
              <w:rPr>
                <w:rFonts w:hint="eastAsia" w:ascii="宋体" w:hAnsi="宋体" w:cs="宋体"/>
                <w:kern w:val="0"/>
                <w:sz w:val="22"/>
                <w:szCs w:val="24"/>
                <w:highlight w:val="none"/>
              </w:rPr>
              <w:t>根据投标人提供的项目实施方案的全面性、针对性、可操作性等进行分档评审：</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1.评价为优，得100%；</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2</w:t>
            </w:r>
            <w:r>
              <w:rPr>
                <w:rFonts w:ascii="宋体" w:hAnsi="宋体" w:cs="宋体"/>
                <w:kern w:val="0"/>
                <w:sz w:val="22"/>
                <w:szCs w:val="24"/>
                <w:highlight w:val="none"/>
              </w:rPr>
              <w:t>.</w:t>
            </w:r>
            <w:r>
              <w:rPr>
                <w:rFonts w:hint="eastAsia" w:ascii="宋体" w:hAnsi="宋体" w:cs="宋体"/>
                <w:kern w:val="0"/>
                <w:sz w:val="22"/>
                <w:szCs w:val="24"/>
                <w:highlight w:val="none"/>
              </w:rPr>
              <w:t>评价为良，得</w:t>
            </w:r>
            <w:r>
              <w:rPr>
                <w:rFonts w:ascii="宋体" w:hAnsi="宋体" w:cs="宋体"/>
                <w:kern w:val="0"/>
                <w:sz w:val="22"/>
                <w:szCs w:val="24"/>
                <w:highlight w:val="none"/>
              </w:rPr>
              <w:t>7</w:t>
            </w:r>
            <w:r>
              <w:rPr>
                <w:rFonts w:hint="eastAsia" w:ascii="宋体" w:hAnsi="宋体" w:cs="宋体"/>
                <w:kern w:val="0"/>
                <w:sz w:val="22"/>
                <w:szCs w:val="24"/>
                <w:highlight w:val="none"/>
              </w:rPr>
              <w:t>0%；</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3</w:t>
            </w:r>
            <w:r>
              <w:rPr>
                <w:rFonts w:ascii="宋体" w:hAnsi="宋体" w:cs="宋体"/>
                <w:kern w:val="0"/>
                <w:sz w:val="22"/>
                <w:szCs w:val="24"/>
                <w:highlight w:val="none"/>
              </w:rPr>
              <w:t>.</w:t>
            </w:r>
            <w:r>
              <w:rPr>
                <w:rFonts w:hint="eastAsia" w:ascii="宋体" w:hAnsi="宋体" w:cs="宋体"/>
                <w:kern w:val="0"/>
                <w:sz w:val="22"/>
                <w:szCs w:val="24"/>
                <w:highlight w:val="none"/>
              </w:rPr>
              <w:t>评价为中，得</w:t>
            </w:r>
            <w:r>
              <w:rPr>
                <w:rFonts w:ascii="宋体" w:hAnsi="宋体" w:cs="宋体"/>
                <w:kern w:val="0"/>
                <w:sz w:val="22"/>
                <w:szCs w:val="24"/>
                <w:highlight w:val="none"/>
              </w:rPr>
              <w:t>4</w:t>
            </w:r>
            <w:r>
              <w:rPr>
                <w:rFonts w:hint="eastAsia" w:ascii="宋体" w:hAnsi="宋体" w:cs="宋体"/>
                <w:kern w:val="0"/>
                <w:sz w:val="22"/>
                <w:szCs w:val="24"/>
                <w:highlight w:val="none"/>
              </w:rPr>
              <w:t>0%；</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4</w:t>
            </w:r>
            <w:r>
              <w:rPr>
                <w:rFonts w:ascii="宋体" w:hAnsi="宋体" w:cs="宋体"/>
                <w:kern w:val="0"/>
                <w:sz w:val="22"/>
                <w:szCs w:val="24"/>
                <w:highlight w:val="none"/>
              </w:rPr>
              <w:t>.</w:t>
            </w:r>
            <w:r>
              <w:rPr>
                <w:rFonts w:hint="eastAsia" w:ascii="宋体" w:hAnsi="宋体" w:cs="宋体"/>
                <w:kern w:val="0"/>
                <w:sz w:val="22"/>
                <w:szCs w:val="24"/>
                <w:highlight w:val="none"/>
              </w:rPr>
              <w:t>评价为差，得10%。</w:t>
            </w:r>
          </w:p>
        </w:tc>
        <w:tc>
          <w:tcPr>
            <w:tcW w:w="850" w:type="dxa"/>
            <w:tcBorders>
              <w:righ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25</w:t>
            </w:r>
          </w:p>
        </w:tc>
        <w:tc>
          <w:tcPr>
            <w:tcW w:w="851" w:type="dxa"/>
            <w:tcBorders>
              <w:lef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5"/>
              </w:numPr>
              <w:jc w:val="right"/>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质量保障措施及方案</w:t>
            </w:r>
          </w:p>
        </w:tc>
        <w:tc>
          <w:tcPr>
            <w:tcW w:w="4678" w:type="dxa"/>
          </w:tcPr>
          <w:p>
            <w:pPr>
              <w:spacing w:line="300" w:lineRule="exact"/>
              <w:ind w:left="-78" w:leftChars="-37" w:right="-73" w:rightChars="-35"/>
              <w:jc w:val="both"/>
              <w:rPr>
                <w:rFonts w:ascii="宋体" w:hAnsi="宋体" w:cs="宋体"/>
                <w:kern w:val="0"/>
                <w:sz w:val="22"/>
                <w:szCs w:val="24"/>
                <w:highlight w:val="none"/>
              </w:rPr>
            </w:pPr>
            <w:r>
              <w:rPr>
                <w:rFonts w:hint="eastAsia" w:ascii="宋体" w:hAnsi="宋体" w:cs="宋体"/>
                <w:kern w:val="0"/>
                <w:sz w:val="22"/>
                <w:szCs w:val="24"/>
                <w:highlight w:val="none"/>
              </w:rPr>
              <w:t>根据投标人对项目进度计划和人员安排、质量和进度保障措施是否合理、可行等进行分档评审：</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1</w:t>
            </w:r>
            <w:r>
              <w:rPr>
                <w:rFonts w:ascii="宋体" w:hAnsi="宋体" w:cs="宋体"/>
                <w:kern w:val="0"/>
                <w:sz w:val="22"/>
                <w:szCs w:val="24"/>
                <w:highlight w:val="none"/>
              </w:rPr>
              <w:t>.</w:t>
            </w:r>
            <w:r>
              <w:rPr>
                <w:rFonts w:hint="eastAsia" w:ascii="宋体" w:hAnsi="宋体" w:cs="宋体"/>
                <w:kern w:val="0"/>
                <w:sz w:val="22"/>
                <w:szCs w:val="24"/>
                <w:highlight w:val="none"/>
              </w:rPr>
              <w:t>评价为优，得100%；</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2</w:t>
            </w:r>
            <w:r>
              <w:rPr>
                <w:rFonts w:ascii="宋体" w:hAnsi="宋体" w:cs="宋体"/>
                <w:kern w:val="0"/>
                <w:sz w:val="22"/>
                <w:szCs w:val="24"/>
                <w:highlight w:val="none"/>
              </w:rPr>
              <w:t>.</w:t>
            </w:r>
            <w:r>
              <w:rPr>
                <w:rFonts w:hint="eastAsia" w:ascii="宋体" w:hAnsi="宋体" w:cs="宋体"/>
                <w:kern w:val="0"/>
                <w:sz w:val="22"/>
                <w:szCs w:val="24"/>
                <w:highlight w:val="none"/>
              </w:rPr>
              <w:t>评价为良，得70%；</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3</w:t>
            </w:r>
            <w:r>
              <w:rPr>
                <w:rFonts w:ascii="宋体" w:hAnsi="宋体" w:cs="宋体"/>
                <w:kern w:val="0"/>
                <w:sz w:val="22"/>
                <w:szCs w:val="24"/>
                <w:highlight w:val="none"/>
              </w:rPr>
              <w:t>.</w:t>
            </w:r>
            <w:r>
              <w:rPr>
                <w:rFonts w:hint="eastAsia" w:ascii="宋体" w:hAnsi="宋体" w:cs="宋体"/>
                <w:kern w:val="0"/>
                <w:sz w:val="22"/>
                <w:szCs w:val="24"/>
                <w:highlight w:val="none"/>
              </w:rPr>
              <w:t>评价为中，得40%；</w:t>
            </w:r>
          </w:p>
          <w:p>
            <w:pPr>
              <w:spacing w:line="300" w:lineRule="exact"/>
              <w:ind w:left="-78" w:leftChars="-37" w:right="-73" w:rightChars="-35"/>
              <w:jc w:val="left"/>
              <w:rPr>
                <w:rFonts w:ascii="宋体" w:hAnsi="宋体" w:cs="宋体"/>
                <w:kern w:val="0"/>
                <w:sz w:val="22"/>
                <w:szCs w:val="24"/>
                <w:highlight w:val="none"/>
              </w:rPr>
            </w:pPr>
            <w:r>
              <w:rPr>
                <w:rFonts w:hint="eastAsia" w:ascii="宋体" w:hAnsi="宋体" w:cs="宋体"/>
                <w:kern w:val="0"/>
                <w:sz w:val="22"/>
                <w:szCs w:val="24"/>
                <w:highlight w:val="none"/>
              </w:rPr>
              <w:t>4</w:t>
            </w:r>
            <w:r>
              <w:rPr>
                <w:rFonts w:ascii="宋体" w:hAnsi="宋体" w:cs="宋体"/>
                <w:kern w:val="0"/>
                <w:sz w:val="22"/>
                <w:szCs w:val="24"/>
                <w:highlight w:val="none"/>
              </w:rPr>
              <w:t>.</w:t>
            </w:r>
            <w:r>
              <w:rPr>
                <w:rFonts w:hint="eastAsia" w:ascii="宋体" w:hAnsi="宋体" w:cs="宋体"/>
                <w:kern w:val="0"/>
                <w:sz w:val="22"/>
                <w:szCs w:val="24"/>
                <w:highlight w:val="none"/>
              </w:rPr>
              <w:t>评价为差，得10%。</w:t>
            </w:r>
          </w:p>
        </w:tc>
        <w:tc>
          <w:tcPr>
            <w:tcW w:w="850" w:type="dxa"/>
            <w:tcBorders>
              <w:righ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10</w:t>
            </w:r>
          </w:p>
        </w:tc>
        <w:tc>
          <w:tcPr>
            <w:tcW w:w="851" w:type="dxa"/>
            <w:tcBorders>
              <w:lef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5"/>
              </w:numPr>
              <w:jc w:val="right"/>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违约承诺</w:t>
            </w:r>
          </w:p>
        </w:tc>
        <w:tc>
          <w:tcPr>
            <w:tcW w:w="4678" w:type="dxa"/>
          </w:tcPr>
          <w:p>
            <w:pPr>
              <w:spacing w:line="300" w:lineRule="exact"/>
              <w:jc w:val="both"/>
              <w:rPr>
                <w:rFonts w:ascii="宋体" w:hAnsi="宋体" w:cs="宋体"/>
                <w:kern w:val="0"/>
                <w:sz w:val="22"/>
                <w:szCs w:val="24"/>
                <w:highlight w:val="none"/>
              </w:rPr>
            </w:pPr>
            <w:r>
              <w:rPr>
                <w:rFonts w:hint="eastAsia" w:ascii="宋体" w:hAnsi="宋体" w:cs="宋体"/>
                <w:kern w:val="0"/>
                <w:sz w:val="22"/>
                <w:szCs w:val="24"/>
                <w:highlight w:val="none"/>
              </w:rPr>
              <w:t>提供违约承诺，承诺满足招标文件要求，保证措施合理且有针对性，有具体的违约责任承诺。</w:t>
            </w:r>
          </w:p>
          <w:p>
            <w:pPr>
              <w:spacing w:line="300" w:lineRule="exact"/>
              <w:jc w:val="both"/>
              <w:rPr>
                <w:rFonts w:ascii="宋体" w:hAnsi="宋体" w:cs="宋体"/>
                <w:kern w:val="0"/>
                <w:sz w:val="22"/>
                <w:szCs w:val="24"/>
                <w:highlight w:val="none"/>
              </w:rPr>
            </w:pPr>
            <w:r>
              <w:rPr>
                <w:rFonts w:hint="eastAsia" w:ascii="宋体" w:hAnsi="宋体" w:cs="宋体"/>
                <w:kern w:val="0"/>
                <w:sz w:val="22"/>
                <w:szCs w:val="24"/>
                <w:highlight w:val="none"/>
              </w:rPr>
              <w:t>投标人提供违约承诺得100%。要求提供承诺（格式自定）作为得分依据，未提供承诺或承诺内容不满足要求不得分。</w:t>
            </w:r>
          </w:p>
        </w:tc>
        <w:tc>
          <w:tcPr>
            <w:tcW w:w="850" w:type="dxa"/>
            <w:tcBorders>
              <w:righ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5</w:t>
            </w:r>
          </w:p>
        </w:tc>
        <w:tc>
          <w:tcPr>
            <w:tcW w:w="851" w:type="dxa"/>
            <w:tcBorders>
              <w:lef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二</w:t>
            </w:r>
          </w:p>
        </w:tc>
        <w:tc>
          <w:tcPr>
            <w:tcW w:w="7581" w:type="dxa"/>
            <w:gridSpan w:val="4"/>
            <w:vAlign w:val="center"/>
          </w:tcPr>
          <w:p>
            <w:pPr>
              <w:spacing w:line="300" w:lineRule="exact"/>
              <w:ind w:left="-78" w:leftChars="-37" w:right="-73" w:rightChars="-35"/>
              <w:jc w:val="center"/>
              <w:rPr>
                <w:rFonts w:ascii="宋体" w:hAnsi="宋体" w:cs="宋体"/>
                <w:b/>
                <w:sz w:val="22"/>
                <w:szCs w:val="24"/>
                <w:highlight w:val="none"/>
              </w:rPr>
            </w:pPr>
            <w:r>
              <w:rPr>
                <w:rFonts w:hint="eastAsia" w:ascii="宋体" w:hAnsi="宋体" w:cs="宋体"/>
                <w:b/>
                <w:sz w:val="22"/>
                <w:szCs w:val="24"/>
                <w:highlight w:val="none"/>
              </w:rPr>
              <w:t>商务部分</w:t>
            </w:r>
            <w:r>
              <w:rPr>
                <w:rFonts w:hint="eastAsia" w:ascii="宋体" w:hAnsi="宋体"/>
                <w:b/>
                <w:sz w:val="22"/>
                <w:szCs w:val="24"/>
                <w:highlight w:val="none"/>
              </w:rPr>
              <w:t>（合计</w:t>
            </w:r>
            <w:r>
              <w:rPr>
                <w:rFonts w:hint="eastAsia" w:ascii="宋体" w:hAnsi="宋体"/>
                <w:b/>
                <w:sz w:val="22"/>
                <w:szCs w:val="24"/>
                <w:highlight w:val="none"/>
                <w:lang w:val="en-US" w:eastAsia="zh-CN"/>
              </w:rPr>
              <w:t>4</w:t>
            </w:r>
            <w:r>
              <w:rPr>
                <w:rFonts w:hint="eastAsia" w:ascii="宋体" w:hAnsi="宋体"/>
                <w:b/>
                <w:sz w:val="22"/>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6"/>
              </w:numPr>
              <w:jc w:val="center"/>
              <w:rPr>
                <w:rFonts w:ascii="宋体" w:hAnsi="宋体"/>
                <w:sz w:val="22"/>
                <w:szCs w:val="24"/>
                <w:highlight w:val="none"/>
              </w:rPr>
            </w:pPr>
          </w:p>
        </w:tc>
        <w:tc>
          <w:tcPr>
            <w:tcW w:w="1202" w:type="dxa"/>
            <w:vAlign w:val="center"/>
          </w:tcPr>
          <w:p>
            <w:pPr>
              <w:spacing w:line="300" w:lineRule="exact"/>
              <w:jc w:val="center"/>
              <w:rPr>
                <w:rFonts w:ascii="Arial" w:hAnsi="Arial" w:eastAsia="黑体"/>
                <w:b/>
                <w:bCs/>
                <w:sz w:val="22"/>
                <w:szCs w:val="32"/>
                <w:highlight w:val="none"/>
              </w:rPr>
            </w:pPr>
            <w:r>
              <w:rPr>
                <w:rFonts w:hint="eastAsia" w:ascii="宋体" w:hAnsi="宋体"/>
                <w:sz w:val="22"/>
                <w:szCs w:val="24"/>
                <w:highlight w:val="none"/>
              </w:rPr>
              <w:t>投标人经验</w:t>
            </w:r>
          </w:p>
        </w:tc>
        <w:tc>
          <w:tcPr>
            <w:tcW w:w="4678" w:type="dxa"/>
            <w:vAlign w:val="center"/>
          </w:tcPr>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1</w:t>
            </w:r>
            <w:r>
              <w:rPr>
                <w:rFonts w:ascii="宋体" w:hAnsi="宋体" w:cs="宋体"/>
                <w:b/>
                <w:kern w:val="0"/>
                <w:sz w:val="22"/>
                <w:szCs w:val="24"/>
                <w:highlight w:val="none"/>
              </w:rPr>
              <w:t>.</w:t>
            </w:r>
            <w:r>
              <w:rPr>
                <w:rFonts w:hint="eastAsia" w:ascii="宋体" w:hAnsi="宋体" w:cs="宋体"/>
                <w:b/>
                <w:kern w:val="0"/>
                <w:sz w:val="22"/>
                <w:szCs w:val="24"/>
                <w:highlight w:val="none"/>
              </w:rPr>
              <w:t>评分内容：</w:t>
            </w:r>
          </w:p>
          <w:p>
            <w:pPr>
              <w:spacing w:line="300" w:lineRule="exact"/>
              <w:jc w:val="both"/>
              <w:rPr>
                <w:rFonts w:ascii="宋体" w:hAnsi="宋体" w:cs="宋体"/>
                <w:kern w:val="0"/>
                <w:sz w:val="22"/>
                <w:szCs w:val="24"/>
                <w:highlight w:val="none"/>
              </w:rPr>
            </w:pPr>
            <w:r>
              <w:rPr>
                <w:rFonts w:hint="eastAsia" w:ascii="宋体" w:hAnsi="宋体" w:cs="宋体"/>
                <w:kern w:val="0"/>
                <w:sz w:val="22"/>
                <w:szCs w:val="24"/>
                <w:highlight w:val="none"/>
              </w:rPr>
              <w:t>牵头承担过国家、省或市级规划评估、产业研究、政策研究等相关领域政府课题的，按国家级每项20%、省级每项15%、市级每项10%进行计分，最高得分不超过100%。</w:t>
            </w:r>
          </w:p>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2</w:t>
            </w:r>
            <w:r>
              <w:rPr>
                <w:rFonts w:ascii="宋体" w:hAnsi="宋体" w:cs="宋体"/>
                <w:b/>
                <w:kern w:val="0"/>
                <w:sz w:val="22"/>
                <w:szCs w:val="24"/>
                <w:highlight w:val="none"/>
              </w:rPr>
              <w:t>.</w:t>
            </w:r>
            <w:r>
              <w:rPr>
                <w:rFonts w:hint="eastAsia" w:ascii="宋体" w:hAnsi="宋体" w:cs="宋体"/>
                <w:b/>
                <w:kern w:val="0"/>
                <w:sz w:val="22"/>
                <w:szCs w:val="24"/>
                <w:highlight w:val="none"/>
              </w:rPr>
              <w:t>评分依据：</w:t>
            </w:r>
          </w:p>
          <w:p>
            <w:pPr>
              <w:spacing w:line="300" w:lineRule="exact"/>
              <w:ind w:left="-63" w:leftChars="-30" w:right="-88" w:rightChars="-42"/>
              <w:jc w:val="left"/>
              <w:rPr>
                <w:rFonts w:ascii="宋体" w:hAnsi="宋体" w:cs="宋体"/>
                <w:kern w:val="0"/>
                <w:sz w:val="22"/>
                <w:szCs w:val="24"/>
                <w:highlight w:val="none"/>
              </w:rPr>
            </w:pPr>
            <w:r>
              <w:rPr>
                <w:rFonts w:hint="eastAsia" w:ascii="宋体" w:hAnsi="宋体" w:cs="宋体"/>
                <w:kern w:val="0"/>
                <w:sz w:val="22"/>
                <w:szCs w:val="24"/>
                <w:highlight w:val="none"/>
              </w:rPr>
              <w:t>（1）要求提供合同关键页或其他证明文件。</w:t>
            </w:r>
          </w:p>
          <w:p>
            <w:pPr>
              <w:spacing w:line="300" w:lineRule="exact"/>
              <w:ind w:left="-63" w:leftChars="-30" w:right="-88" w:rightChars="-42"/>
              <w:jc w:val="left"/>
              <w:rPr>
                <w:rFonts w:ascii="宋体" w:hAnsi="宋体" w:cs="宋体"/>
                <w:kern w:val="0"/>
                <w:sz w:val="22"/>
                <w:szCs w:val="24"/>
                <w:highlight w:val="none"/>
              </w:rPr>
            </w:pPr>
            <w:r>
              <w:rPr>
                <w:rFonts w:hint="eastAsia" w:ascii="宋体" w:hAnsi="宋体" w:cs="宋体"/>
                <w:kern w:val="0"/>
                <w:sz w:val="22"/>
                <w:szCs w:val="24"/>
                <w:highlight w:val="none"/>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宋体" w:hAnsi="宋体" w:eastAsia="宋体"/>
                <w:sz w:val="22"/>
                <w:szCs w:val="24"/>
                <w:highlight w:val="none"/>
                <w:lang w:eastAsia="zh-CN"/>
              </w:rPr>
            </w:pPr>
            <w:r>
              <w:rPr>
                <w:rFonts w:ascii="宋体" w:hAnsi="宋体"/>
                <w:sz w:val="22"/>
                <w:szCs w:val="24"/>
                <w:highlight w:val="none"/>
              </w:rPr>
              <w:t>1</w:t>
            </w:r>
            <w:r>
              <w:rPr>
                <w:rFonts w:hint="eastAsia" w:ascii="宋体" w:hAnsi="宋体"/>
                <w:sz w:val="22"/>
                <w:szCs w:val="24"/>
                <w:highlight w:val="none"/>
                <w:lang w:val="en-US" w:eastAsia="zh-CN"/>
              </w:rPr>
              <w:t>0</w:t>
            </w:r>
          </w:p>
        </w:tc>
        <w:tc>
          <w:tcPr>
            <w:tcW w:w="851" w:type="dxa"/>
            <w:tcBorders>
              <w:left w:val="single" w:color="auto" w:sz="4" w:space="0"/>
            </w:tcBorders>
            <w:vAlign w:val="center"/>
          </w:tcPr>
          <w:p>
            <w:pPr>
              <w:jc w:val="center"/>
              <w:rPr>
                <w:rFonts w:hint="eastAsia" w:ascii="宋体" w:hAnsi="宋体" w:eastAsia="宋体"/>
                <w:sz w:val="22"/>
                <w:szCs w:val="24"/>
                <w:highlight w:val="none"/>
                <w:lang w:eastAsia="zh-CN"/>
              </w:rPr>
            </w:pPr>
            <w:r>
              <w:rPr>
                <w:rFonts w:ascii="宋体" w:hAnsi="宋体"/>
                <w:sz w:val="22"/>
                <w:szCs w:val="24"/>
                <w:highlight w:val="none"/>
              </w:rPr>
              <w:t>1</w:t>
            </w:r>
            <w:r>
              <w:rPr>
                <w:rFonts w:hint="eastAsia" w:ascii="宋体" w:hAnsi="宋体"/>
                <w:sz w:val="22"/>
                <w:szCs w:val="24"/>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投标人获奖情况</w:t>
            </w:r>
          </w:p>
        </w:tc>
        <w:tc>
          <w:tcPr>
            <w:tcW w:w="4678" w:type="dxa"/>
          </w:tcPr>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1</w:t>
            </w:r>
            <w:r>
              <w:rPr>
                <w:rFonts w:ascii="宋体" w:hAnsi="宋体" w:cs="宋体"/>
                <w:b/>
                <w:kern w:val="0"/>
                <w:sz w:val="22"/>
                <w:szCs w:val="24"/>
                <w:highlight w:val="none"/>
              </w:rPr>
              <w:t>.</w:t>
            </w:r>
            <w:r>
              <w:rPr>
                <w:rFonts w:hint="eastAsia" w:ascii="宋体" w:hAnsi="宋体" w:cs="宋体"/>
                <w:b/>
                <w:kern w:val="0"/>
                <w:sz w:val="22"/>
                <w:szCs w:val="24"/>
                <w:highlight w:val="none"/>
              </w:rPr>
              <w:t>评分内容：</w:t>
            </w:r>
          </w:p>
          <w:p>
            <w:pPr>
              <w:spacing w:line="300" w:lineRule="exact"/>
              <w:jc w:val="left"/>
              <w:rPr>
                <w:rFonts w:ascii="宋体" w:hAnsi="宋体" w:cs="宋体"/>
                <w:kern w:val="0"/>
                <w:sz w:val="22"/>
                <w:szCs w:val="24"/>
                <w:highlight w:val="none"/>
              </w:rPr>
            </w:pPr>
            <w:r>
              <w:rPr>
                <w:rFonts w:hint="eastAsia" w:ascii="宋体" w:hAnsi="宋体" w:cs="宋体"/>
                <w:kern w:val="0"/>
                <w:sz w:val="22"/>
                <w:szCs w:val="24"/>
                <w:highlight w:val="none"/>
              </w:rPr>
              <w:t>投标人承担的研究课题，获得市级及以上级别的奖励，或作为市级及以上级别政策文件进行公开发布的，每提供1个得</w:t>
            </w:r>
            <w:r>
              <w:rPr>
                <w:rFonts w:ascii="宋体" w:hAnsi="宋体" w:cs="宋体"/>
                <w:kern w:val="0"/>
                <w:sz w:val="22"/>
                <w:szCs w:val="24"/>
                <w:highlight w:val="none"/>
              </w:rPr>
              <w:t>20</w:t>
            </w:r>
            <w:r>
              <w:rPr>
                <w:rFonts w:hint="eastAsia" w:ascii="宋体" w:hAnsi="宋体" w:cs="宋体"/>
                <w:kern w:val="0"/>
                <w:sz w:val="22"/>
                <w:szCs w:val="24"/>
                <w:highlight w:val="none"/>
              </w:rPr>
              <w:t>%，最高得分不超过100%。</w:t>
            </w:r>
          </w:p>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2</w:t>
            </w:r>
            <w:r>
              <w:rPr>
                <w:rFonts w:ascii="宋体" w:hAnsi="宋体" w:cs="宋体"/>
                <w:b/>
                <w:kern w:val="0"/>
                <w:sz w:val="22"/>
                <w:szCs w:val="24"/>
                <w:highlight w:val="none"/>
              </w:rPr>
              <w:t>.</w:t>
            </w:r>
            <w:r>
              <w:rPr>
                <w:rFonts w:hint="eastAsia" w:ascii="宋体" w:hAnsi="宋体" w:cs="宋体"/>
                <w:b/>
                <w:kern w:val="0"/>
                <w:sz w:val="22"/>
                <w:szCs w:val="24"/>
                <w:highlight w:val="none"/>
              </w:rPr>
              <w:t>评分依据：</w:t>
            </w:r>
          </w:p>
          <w:p>
            <w:pPr>
              <w:spacing w:line="300" w:lineRule="exact"/>
              <w:ind w:left="-63" w:leftChars="-30" w:right="-88" w:rightChars="-42"/>
              <w:jc w:val="left"/>
              <w:rPr>
                <w:rFonts w:ascii="宋体" w:hAnsi="宋体" w:cs="宋体"/>
                <w:kern w:val="0"/>
                <w:sz w:val="22"/>
                <w:szCs w:val="24"/>
                <w:highlight w:val="none"/>
              </w:rPr>
            </w:pPr>
            <w:r>
              <w:rPr>
                <w:rFonts w:hint="eastAsia" w:ascii="宋体" w:hAnsi="宋体" w:cs="宋体"/>
                <w:kern w:val="0"/>
                <w:sz w:val="22"/>
                <w:szCs w:val="24"/>
                <w:highlight w:val="none"/>
              </w:rPr>
              <w:t>（1）要求提供相关证明文件。</w:t>
            </w:r>
          </w:p>
          <w:p>
            <w:pPr>
              <w:spacing w:line="300" w:lineRule="exact"/>
              <w:ind w:left="-63" w:leftChars="-30" w:right="-88" w:rightChars="-42"/>
              <w:jc w:val="both"/>
              <w:rPr>
                <w:rFonts w:ascii="宋体" w:hAnsi="宋体" w:cs="宋体"/>
                <w:kern w:val="0"/>
                <w:sz w:val="22"/>
                <w:szCs w:val="24"/>
                <w:highlight w:val="none"/>
              </w:rPr>
            </w:pPr>
            <w:r>
              <w:rPr>
                <w:rFonts w:hint="eastAsia" w:ascii="宋体" w:hAnsi="宋体" w:cs="宋体"/>
                <w:kern w:val="0"/>
                <w:sz w:val="22"/>
                <w:szCs w:val="24"/>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宋体" w:hAnsi="宋体" w:eastAsia="宋体"/>
                <w:sz w:val="22"/>
                <w:szCs w:val="24"/>
                <w:highlight w:val="none"/>
                <w:lang w:eastAsia="zh-CN"/>
              </w:rPr>
            </w:pPr>
            <w:r>
              <w:rPr>
                <w:rFonts w:ascii="宋体" w:hAnsi="宋体"/>
                <w:sz w:val="22"/>
                <w:szCs w:val="24"/>
                <w:highlight w:val="none"/>
              </w:rPr>
              <w:t>1</w:t>
            </w:r>
            <w:r>
              <w:rPr>
                <w:rFonts w:hint="eastAsia" w:ascii="宋体" w:hAnsi="宋体"/>
                <w:sz w:val="22"/>
                <w:szCs w:val="24"/>
                <w:highlight w:val="none"/>
                <w:lang w:val="en-US" w:eastAsia="zh-CN"/>
              </w:rPr>
              <w:t>0</w:t>
            </w:r>
          </w:p>
        </w:tc>
        <w:tc>
          <w:tcPr>
            <w:tcW w:w="851" w:type="dxa"/>
            <w:tcBorders>
              <w:left w:val="single" w:color="auto" w:sz="4" w:space="0"/>
            </w:tcBorders>
            <w:vAlign w:val="center"/>
          </w:tcPr>
          <w:p>
            <w:pPr>
              <w:jc w:val="center"/>
              <w:rPr>
                <w:rFonts w:hint="eastAsia" w:ascii="宋体" w:hAnsi="宋体" w:eastAsia="宋体"/>
                <w:sz w:val="22"/>
                <w:szCs w:val="24"/>
                <w:highlight w:val="none"/>
                <w:lang w:eastAsia="zh-CN"/>
              </w:rPr>
            </w:pPr>
            <w:r>
              <w:rPr>
                <w:rFonts w:ascii="宋体" w:hAnsi="宋体"/>
                <w:sz w:val="22"/>
                <w:szCs w:val="24"/>
                <w:highlight w:val="none"/>
              </w:rPr>
              <w:t>1</w:t>
            </w:r>
            <w:r>
              <w:rPr>
                <w:rFonts w:hint="eastAsia" w:ascii="宋体" w:hAnsi="宋体"/>
                <w:sz w:val="22"/>
                <w:szCs w:val="24"/>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pPr>
              <w:numPr>
                <w:ilvl w:val="0"/>
                <w:numId w:val="6"/>
              </w:numPr>
              <w:jc w:val="center"/>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拟安排的项目负责人情况（仅限一人）</w:t>
            </w:r>
          </w:p>
        </w:tc>
        <w:tc>
          <w:tcPr>
            <w:tcW w:w="4678" w:type="dxa"/>
          </w:tcPr>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1</w:t>
            </w:r>
            <w:r>
              <w:rPr>
                <w:rFonts w:ascii="宋体" w:hAnsi="宋体" w:cs="宋体"/>
                <w:b/>
                <w:kern w:val="0"/>
                <w:sz w:val="22"/>
                <w:szCs w:val="24"/>
                <w:highlight w:val="none"/>
              </w:rPr>
              <w:t>.</w:t>
            </w:r>
            <w:r>
              <w:rPr>
                <w:rFonts w:hint="eastAsia" w:ascii="宋体" w:hAnsi="宋体" w:cs="宋体"/>
                <w:b/>
                <w:kern w:val="0"/>
                <w:sz w:val="22"/>
                <w:szCs w:val="24"/>
                <w:highlight w:val="none"/>
              </w:rPr>
              <w:t>评分内容：</w:t>
            </w:r>
          </w:p>
          <w:p>
            <w:pPr>
              <w:spacing w:line="300" w:lineRule="exact"/>
              <w:ind w:left="-63" w:leftChars="-30" w:right="-88" w:rightChars="-42"/>
              <w:jc w:val="both"/>
              <w:rPr>
                <w:rFonts w:ascii="宋体" w:hAnsi="宋体" w:cs="宋体"/>
                <w:kern w:val="0"/>
                <w:sz w:val="22"/>
                <w:szCs w:val="24"/>
                <w:highlight w:val="none"/>
              </w:rPr>
            </w:pPr>
            <w:r>
              <w:rPr>
                <w:rFonts w:hint="eastAsia" w:ascii="宋体" w:hAnsi="宋体" w:cs="宋体"/>
                <w:kern w:val="0"/>
                <w:sz w:val="22"/>
                <w:szCs w:val="24"/>
                <w:highlight w:val="none"/>
              </w:rPr>
              <w:t>（1）项目负责人具有中高级职称或博士学位，得</w:t>
            </w:r>
            <w:r>
              <w:rPr>
                <w:rFonts w:ascii="宋体" w:hAnsi="宋体" w:cs="宋体"/>
                <w:kern w:val="0"/>
                <w:sz w:val="22"/>
                <w:szCs w:val="24"/>
                <w:highlight w:val="none"/>
              </w:rPr>
              <w:t>25</w:t>
            </w:r>
            <w:r>
              <w:rPr>
                <w:rFonts w:hint="eastAsia" w:ascii="宋体" w:hAnsi="宋体" w:cs="宋体"/>
                <w:kern w:val="0"/>
                <w:sz w:val="22"/>
                <w:szCs w:val="24"/>
                <w:highlight w:val="none"/>
              </w:rPr>
              <w:t>%，否则不得分。</w:t>
            </w:r>
          </w:p>
          <w:p>
            <w:pPr>
              <w:spacing w:line="300" w:lineRule="exact"/>
              <w:jc w:val="left"/>
              <w:rPr>
                <w:rFonts w:ascii="宋体" w:hAnsi="宋体" w:cs="宋体"/>
                <w:b/>
                <w:kern w:val="0"/>
                <w:sz w:val="22"/>
                <w:szCs w:val="24"/>
                <w:highlight w:val="none"/>
              </w:rPr>
            </w:pPr>
            <w:r>
              <w:rPr>
                <w:rFonts w:hint="eastAsia" w:ascii="宋体" w:hAnsi="宋体" w:cs="宋体"/>
                <w:kern w:val="0"/>
                <w:sz w:val="22"/>
                <w:szCs w:val="24"/>
                <w:highlight w:val="none"/>
              </w:rPr>
              <w:t>（2）项目负责人主持或参与过相关领域市级以上政府课题的，每提供1个得25%，最高得分不超过75%。</w:t>
            </w:r>
          </w:p>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2</w:t>
            </w:r>
            <w:r>
              <w:rPr>
                <w:rFonts w:ascii="宋体" w:hAnsi="宋体" w:cs="宋体"/>
                <w:b/>
                <w:kern w:val="0"/>
                <w:sz w:val="22"/>
                <w:szCs w:val="24"/>
                <w:highlight w:val="none"/>
              </w:rPr>
              <w:t>.</w:t>
            </w:r>
            <w:r>
              <w:rPr>
                <w:rFonts w:hint="eastAsia" w:ascii="宋体" w:hAnsi="宋体" w:cs="宋体"/>
                <w:b/>
                <w:kern w:val="0"/>
                <w:sz w:val="22"/>
                <w:szCs w:val="24"/>
                <w:highlight w:val="none"/>
              </w:rPr>
              <w:t>评分依据：</w:t>
            </w:r>
          </w:p>
          <w:p>
            <w:pPr>
              <w:spacing w:line="300" w:lineRule="exact"/>
              <w:ind w:left="-63" w:leftChars="-30" w:right="-88" w:rightChars="-42"/>
              <w:jc w:val="both"/>
              <w:rPr>
                <w:rFonts w:ascii="宋体" w:hAnsi="宋体" w:cs="宋体"/>
                <w:kern w:val="0"/>
                <w:sz w:val="22"/>
                <w:szCs w:val="24"/>
                <w:highlight w:val="none"/>
              </w:rPr>
            </w:pPr>
            <w:r>
              <w:rPr>
                <w:rFonts w:hint="eastAsia" w:ascii="宋体" w:hAnsi="宋体" w:cs="宋体"/>
                <w:kern w:val="0"/>
                <w:sz w:val="22"/>
                <w:szCs w:val="24"/>
                <w:highlight w:val="none"/>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both"/>
              <w:rPr>
                <w:rFonts w:ascii="宋体" w:hAnsi="宋体" w:cs="宋体"/>
                <w:kern w:val="0"/>
                <w:sz w:val="22"/>
                <w:szCs w:val="24"/>
                <w:highlight w:val="none"/>
              </w:rPr>
            </w:pPr>
            <w:r>
              <w:rPr>
                <w:rFonts w:hint="eastAsia" w:ascii="宋体" w:hAnsi="宋体" w:cs="宋体"/>
                <w:kern w:val="0"/>
                <w:sz w:val="22"/>
                <w:szCs w:val="24"/>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10</w:t>
            </w:r>
          </w:p>
        </w:tc>
        <w:tc>
          <w:tcPr>
            <w:tcW w:w="851" w:type="dxa"/>
            <w:tcBorders>
              <w:lef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拟安排的项目主要团队成员（主要技术人员）情况（项目负责人除外）</w:t>
            </w:r>
          </w:p>
        </w:tc>
        <w:tc>
          <w:tcPr>
            <w:tcW w:w="4678" w:type="dxa"/>
          </w:tcPr>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1</w:t>
            </w:r>
            <w:r>
              <w:rPr>
                <w:rFonts w:ascii="宋体" w:hAnsi="宋体" w:cs="宋体"/>
                <w:b/>
                <w:kern w:val="0"/>
                <w:sz w:val="22"/>
                <w:szCs w:val="24"/>
                <w:highlight w:val="none"/>
              </w:rPr>
              <w:t>.</w:t>
            </w:r>
            <w:r>
              <w:rPr>
                <w:rFonts w:hint="eastAsia" w:ascii="宋体" w:hAnsi="宋体" w:cs="宋体"/>
                <w:b/>
                <w:kern w:val="0"/>
                <w:sz w:val="22"/>
                <w:szCs w:val="24"/>
                <w:highlight w:val="none"/>
              </w:rPr>
              <w:t>评分内容：</w:t>
            </w:r>
          </w:p>
          <w:p>
            <w:pPr>
              <w:spacing w:line="300" w:lineRule="exact"/>
              <w:jc w:val="both"/>
              <w:rPr>
                <w:rFonts w:ascii="宋体" w:hAnsi="宋体" w:cs="宋体"/>
                <w:kern w:val="0"/>
                <w:sz w:val="22"/>
                <w:szCs w:val="24"/>
                <w:highlight w:val="none"/>
              </w:rPr>
            </w:pPr>
            <w:r>
              <w:rPr>
                <w:rFonts w:hint="eastAsia" w:ascii="宋体" w:hAnsi="宋体" w:cs="宋体"/>
                <w:kern w:val="0"/>
                <w:sz w:val="22"/>
                <w:szCs w:val="24"/>
                <w:highlight w:val="none"/>
              </w:rPr>
              <w:t>项目团队中每提供1位有中高级职称或博士学位人员得</w:t>
            </w:r>
            <w:r>
              <w:rPr>
                <w:rFonts w:ascii="宋体" w:hAnsi="宋体" w:cs="宋体"/>
                <w:kern w:val="0"/>
                <w:sz w:val="22"/>
                <w:szCs w:val="24"/>
                <w:highlight w:val="none"/>
              </w:rPr>
              <w:t>5</w:t>
            </w:r>
            <w:r>
              <w:rPr>
                <w:rFonts w:hint="eastAsia" w:ascii="宋体" w:hAnsi="宋体" w:cs="宋体"/>
                <w:kern w:val="0"/>
                <w:sz w:val="22"/>
                <w:szCs w:val="24"/>
                <w:highlight w:val="none"/>
              </w:rPr>
              <w:t>0%，每提供1位有硕士学位人员得2</w:t>
            </w:r>
            <w:r>
              <w:rPr>
                <w:rFonts w:ascii="宋体" w:hAnsi="宋体" w:cs="宋体"/>
                <w:kern w:val="0"/>
                <w:sz w:val="22"/>
                <w:szCs w:val="24"/>
                <w:highlight w:val="none"/>
              </w:rPr>
              <w:t>5</w:t>
            </w:r>
            <w:r>
              <w:rPr>
                <w:rFonts w:hint="eastAsia" w:ascii="宋体" w:hAnsi="宋体" w:cs="宋体"/>
                <w:kern w:val="0"/>
                <w:sz w:val="22"/>
                <w:szCs w:val="24"/>
                <w:highlight w:val="none"/>
              </w:rPr>
              <w:t>%，最高得分不超过100%。</w:t>
            </w:r>
          </w:p>
          <w:p>
            <w:pPr>
              <w:spacing w:line="300" w:lineRule="exact"/>
              <w:jc w:val="left"/>
              <w:rPr>
                <w:rFonts w:ascii="宋体" w:hAnsi="宋体" w:cs="宋体"/>
                <w:b/>
                <w:kern w:val="0"/>
                <w:sz w:val="22"/>
                <w:szCs w:val="24"/>
                <w:highlight w:val="none"/>
              </w:rPr>
            </w:pPr>
            <w:r>
              <w:rPr>
                <w:rFonts w:hint="eastAsia" w:ascii="宋体" w:hAnsi="宋体" w:cs="宋体"/>
                <w:b/>
                <w:kern w:val="0"/>
                <w:sz w:val="22"/>
                <w:szCs w:val="24"/>
                <w:highlight w:val="none"/>
              </w:rPr>
              <w:t>2</w:t>
            </w:r>
            <w:r>
              <w:rPr>
                <w:rFonts w:ascii="宋体" w:hAnsi="宋体" w:cs="宋体"/>
                <w:b/>
                <w:kern w:val="0"/>
                <w:sz w:val="22"/>
                <w:szCs w:val="24"/>
                <w:highlight w:val="none"/>
              </w:rPr>
              <w:t>.</w:t>
            </w:r>
            <w:r>
              <w:rPr>
                <w:rFonts w:hint="eastAsia" w:ascii="宋体" w:hAnsi="宋体" w:cs="宋体"/>
                <w:b/>
                <w:kern w:val="0"/>
                <w:sz w:val="22"/>
                <w:szCs w:val="24"/>
                <w:highlight w:val="none"/>
              </w:rPr>
              <w:t>评分依据：</w:t>
            </w:r>
          </w:p>
          <w:p>
            <w:pPr>
              <w:spacing w:line="300" w:lineRule="exact"/>
              <w:ind w:left="-63" w:leftChars="-30" w:right="-88" w:rightChars="-42"/>
              <w:jc w:val="left"/>
              <w:rPr>
                <w:rFonts w:ascii="宋体" w:hAnsi="宋体" w:cs="宋体"/>
                <w:kern w:val="0"/>
                <w:sz w:val="22"/>
                <w:szCs w:val="24"/>
                <w:highlight w:val="none"/>
              </w:rPr>
            </w:pPr>
            <w:r>
              <w:rPr>
                <w:rFonts w:hint="eastAsia" w:ascii="宋体" w:hAnsi="宋体" w:cs="宋体"/>
                <w:kern w:val="0"/>
                <w:sz w:val="22"/>
                <w:szCs w:val="24"/>
                <w:highlight w:val="none"/>
              </w:rPr>
              <w:t>（1）要求提供通过投标人购买的团队成员近三个月社保，学位或职称文件等。</w:t>
            </w:r>
          </w:p>
          <w:p>
            <w:pPr>
              <w:spacing w:line="300" w:lineRule="exact"/>
              <w:ind w:left="-63" w:leftChars="-30" w:right="-88" w:rightChars="-42"/>
              <w:jc w:val="left"/>
              <w:rPr>
                <w:rFonts w:ascii="宋体" w:hAnsi="宋体" w:cs="宋体"/>
                <w:kern w:val="0"/>
                <w:sz w:val="22"/>
                <w:szCs w:val="24"/>
                <w:highlight w:val="none"/>
              </w:rPr>
            </w:pPr>
            <w:r>
              <w:rPr>
                <w:rFonts w:hint="eastAsia" w:ascii="宋体" w:hAnsi="宋体" w:cs="宋体"/>
                <w:kern w:val="0"/>
                <w:sz w:val="22"/>
                <w:szCs w:val="24"/>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10</w:t>
            </w:r>
          </w:p>
        </w:tc>
        <w:tc>
          <w:tcPr>
            <w:tcW w:w="851" w:type="dxa"/>
            <w:tcBorders>
              <w:left w:val="single" w:color="auto" w:sz="4" w:space="0"/>
            </w:tcBorders>
            <w:vAlign w:val="center"/>
          </w:tcPr>
          <w:p>
            <w:pPr>
              <w:jc w:val="center"/>
              <w:rPr>
                <w:rFonts w:ascii="宋体" w:hAnsi="宋体"/>
                <w:sz w:val="22"/>
                <w:szCs w:val="24"/>
                <w:highlight w:val="none"/>
              </w:rPr>
            </w:pPr>
            <w:r>
              <w:rPr>
                <w:rFonts w:ascii="宋体" w:hAnsi="宋体"/>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jc w:val="center"/>
              <w:rPr>
                <w:rFonts w:ascii="宋体" w:hAnsi="宋体"/>
                <w:b/>
                <w:sz w:val="22"/>
                <w:szCs w:val="24"/>
                <w:highlight w:val="none"/>
              </w:rPr>
            </w:pPr>
            <w:r>
              <w:rPr>
                <w:rFonts w:hint="eastAsia" w:ascii="宋体" w:hAnsi="宋体"/>
                <w:b/>
                <w:sz w:val="22"/>
                <w:szCs w:val="24"/>
                <w:highlight w:val="none"/>
              </w:rPr>
              <w:t>三</w:t>
            </w:r>
          </w:p>
        </w:tc>
        <w:tc>
          <w:tcPr>
            <w:tcW w:w="7581" w:type="dxa"/>
            <w:gridSpan w:val="4"/>
            <w:vAlign w:val="center"/>
          </w:tcPr>
          <w:p>
            <w:pPr>
              <w:spacing w:line="300" w:lineRule="exact"/>
              <w:ind w:left="-78" w:leftChars="-37" w:right="-73" w:rightChars="-35"/>
              <w:jc w:val="center"/>
              <w:rPr>
                <w:rFonts w:ascii="宋体" w:hAnsi="宋体" w:cs="宋体"/>
                <w:b/>
                <w:sz w:val="22"/>
                <w:szCs w:val="24"/>
                <w:highlight w:val="none"/>
              </w:rPr>
            </w:pPr>
            <w:r>
              <w:rPr>
                <w:rFonts w:hint="eastAsia" w:ascii="宋体" w:hAnsi="宋体"/>
                <w:b/>
                <w:sz w:val="22"/>
                <w:szCs w:val="24"/>
                <w:highlight w:val="none"/>
              </w:rPr>
              <w:t>价格部分（合计</w:t>
            </w:r>
            <w:r>
              <w:rPr>
                <w:rFonts w:hint="eastAsia" w:ascii="宋体" w:hAnsi="宋体"/>
                <w:b/>
                <w:sz w:val="22"/>
                <w:szCs w:val="24"/>
                <w:highlight w:val="none"/>
                <w:lang w:val="en-US" w:eastAsia="zh-CN"/>
              </w:rPr>
              <w:t>2</w:t>
            </w:r>
            <w:r>
              <w:rPr>
                <w:rFonts w:ascii="宋体" w:hAnsi="宋体"/>
                <w:b/>
                <w:sz w:val="22"/>
                <w:szCs w:val="24"/>
                <w:highlight w:val="none"/>
              </w:rPr>
              <w:t>0</w:t>
            </w:r>
            <w:r>
              <w:rPr>
                <w:rFonts w:hint="eastAsia" w:ascii="宋体" w:hAnsi="宋体"/>
                <w:b/>
                <w:sz w:val="22"/>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7"/>
              </w:numPr>
              <w:jc w:val="center"/>
              <w:rPr>
                <w:rFonts w:ascii="宋体" w:hAnsi="宋体"/>
                <w:sz w:val="22"/>
                <w:szCs w:val="24"/>
                <w:highlight w:val="none"/>
              </w:rPr>
            </w:pPr>
          </w:p>
        </w:tc>
        <w:tc>
          <w:tcPr>
            <w:tcW w:w="1202" w:type="dxa"/>
            <w:vAlign w:val="center"/>
          </w:tcPr>
          <w:p>
            <w:pPr>
              <w:spacing w:line="300" w:lineRule="exact"/>
              <w:jc w:val="center"/>
              <w:rPr>
                <w:rFonts w:ascii="宋体" w:hAnsi="宋体"/>
                <w:sz w:val="22"/>
                <w:szCs w:val="24"/>
                <w:highlight w:val="none"/>
              </w:rPr>
            </w:pPr>
            <w:r>
              <w:rPr>
                <w:rFonts w:hint="eastAsia" w:ascii="宋体" w:hAnsi="宋体"/>
                <w:sz w:val="22"/>
                <w:szCs w:val="24"/>
                <w:highlight w:val="none"/>
              </w:rPr>
              <w:t>投标报价</w:t>
            </w:r>
          </w:p>
        </w:tc>
        <w:tc>
          <w:tcPr>
            <w:tcW w:w="4678" w:type="dxa"/>
            <w:vAlign w:val="center"/>
          </w:tcPr>
          <w:p>
            <w:pPr>
              <w:autoSpaceDE w:val="0"/>
              <w:autoSpaceDN w:val="0"/>
              <w:adjustRightInd w:val="0"/>
              <w:snapToGrid w:val="0"/>
              <w:spacing w:line="300" w:lineRule="exact"/>
              <w:rPr>
                <w:rFonts w:ascii="宋体" w:hAnsi="宋体" w:cs="宋体"/>
                <w:kern w:val="0"/>
                <w:sz w:val="22"/>
                <w:szCs w:val="24"/>
                <w:highlight w:val="none"/>
              </w:rPr>
            </w:pPr>
            <w:r>
              <w:rPr>
                <w:rFonts w:ascii="宋体" w:hAnsi="宋体" w:cs="宋体"/>
                <w:kern w:val="0"/>
                <w:sz w:val="22"/>
                <w:szCs w:val="24"/>
                <w:highlight w:val="none"/>
              </w:rPr>
              <w:t>价格分</w:t>
            </w:r>
            <w:r>
              <w:rPr>
                <w:rFonts w:hint="eastAsia" w:ascii="宋体" w:hAnsi="宋体" w:cs="宋体"/>
                <w:kern w:val="0"/>
                <w:sz w:val="22"/>
                <w:szCs w:val="24"/>
                <w:highlight w:val="none"/>
              </w:rPr>
              <w:t>应当采用低价优先法计算，即满足招标文件要求且投标价格最低的投标报价为评标基准价，其价格分为满分。其他投标人的价格分统一按照下列公式计算：</w:t>
            </w:r>
          </w:p>
          <w:p>
            <w:pPr>
              <w:spacing w:line="300" w:lineRule="exact"/>
              <w:jc w:val="left"/>
              <w:rPr>
                <w:rFonts w:ascii="宋体" w:hAnsi="宋体" w:cs="宋体"/>
                <w:kern w:val="0"/>
                <w:sz w:val="22"/>
                <w:szCs w:val="24"/>
                <w:highlight w:val="none"/>
              </w:rPr>
            </w:pPr>
            <w:r>
              <w:rPr>
                <w:rFonts w:hint="eastAsia" w:ascii="宋体" w:hAnsi="宋体" w:cs="宋体"/>
                <w:kern w:val="0"/>
                <w:sz w:val="22"/>
                <w:szCs w:val="24"/>
                <w:highlight w:val="none"/>
              </w:rPr>
              <w:t>投标报价得分=(评标基准价／投标报价)×100×权重</w:t>
            </w:r>
          </w:p>
          <w:p>
            <w:pPr>
              <w:spacing w:line="300" w:lineRule="exact"/>
              <w:jc w:val="left"/>
              <w:rPr>
                <w:rFonts w:ascii="宋体" w:hAnsi="宋体"/>
                <w:bCs/>
                <w:sz w:val="22"/>
                <w:szCs w:val="24"/>
                <w:highlight w:val="none"/>
              </w:rPr>
            </w:pPr>
            <w:r>
              <w:rPr>
                <w:rFonts w:hint="eastAsia" w:ascii="宋体" w:hAnsi="宋体"/>
                <w:bCs/>
                <w:sz w:val="22"/>
                <w:szCs w:val="24"/>
                <w:highlight w:val="none"/>
              </w:rPr>
              <w:t>备注：</w:t>
            </w:r>
          </w:p>
          <w:p>
            <w:pPr>
              <w:spacing w:line="300" w:lineRule="exact"/>
              <w:jc w:val="left"/>
              <w:rPr>
                <w:rFonts w:ascii="宋体" w:hAnsi="宋体" w:cs="宋体"/>
                <w:sz w:val="22"/>
                <w:szCs w:val="24"/>
                <w:highlight w:val="none"/>
              </w:rPr>
            </w:pPr>
            <w:r>
              <w:rPr>
                <w:rFonts w:hint="eastAsia" w:ascii="宋体" w:hAnsi="宋体"/>
                <w:bCs/>
                <w:sz w:val="22"/>
                <w:szCs w:val="24"/>
                <w:highlight w:val="none"/>
              </w:rPr>
              <w:t>1.因落实政府采购政策进行价格调整的，以调整后的价格计算评标基准价和投标报价</w:t>
            </w:r>
            <w:r>
              <w:rPr>
                <w:rFonts w:hint="eastAsia" w:ascii="宋体" w:hAnsi="宋体" w:cs="宋体"/>
                <w:sz w:val="22"/>
                <w:szCs w:val="24"/>
                <w:highlight w:val="none"/>
              </w:rPr>
              <w:t>,详见“价格扣除”。</w:t>
            </w:r>
          </w:p>
          <w:p>
            <w:pPr>
              <w:spacing w:line="300" w:lineRule="exact"/>
              <w:rPr>
                <w:rFonts w:ascii="宋体" w:hAnsi="宋体"/>
                <w:b/>
                <w:bCs/>
                <w:sz w:val="22"/>
                <w:szCs w:val="24"/>
                <w:highlight w:val="none"/>
                <w:u w:val="double"/>
              </w:rPr>
            </w:pPr>
            <w:r>
              <w:rPr>
                <w:rFonts w:hint="eastAsia" w:ascii="宋体" w:hAnsi="宋体"/>
                <w:bCs/>
                <w:sz w:val="22"/>
                <w:szCs w:val="24"/>
                <w:highlight w:val="none"/>
              </w:rPr>
              <w:t>2.投标报价得分四舍五入后，</w:t>
            </w:r>
            <w:r>
              <w:rPr>
                <w:rFonts w:hint="eastAsia" w:ascii="宋体" w:hAnsi="宋体" w:cs="Arial"/>
                <w:sz w:val="22"/>
                <w:szCs w:val="24"/>
                <w:highlight w:val="none"/>
              </w:rPr>
              <w:t>小数点后保留两位有效数</w:t>
            </w:r>
            <w:r>
              <w:rPr>
                <w:rFonts w:hint="eastAsia" w:ascii="宋体" w:hAnsi="宋体"/>
                <w:bCs/>
                <w:sz w:val="22"/>
                <w:szCs w:val="24"/>
                <w:highlight w:val="none"/>
              </w:rPr>
              <w:t>。</w:t>
            </w:r>
          </w:p>
        </w:tc>
        <w:tc>
          <w:tcPr>
            <w:tcW w:w="850" w:type="dxa"/>
            <w:tcBorders>
              <w:right w:val="single" w:color="auto" w:sz="4" w:space="0"/>
            </w:tcBorders>
            <w:vAlign w:val="center"/>
          </w:tcPr>
          <w:p>
            <w:pPr>
              <w:ind w:left="-78" w:leftChars="-37" w:right="-73" w:rightChars="-35"/>
              <w:jc w:val="center"/>
              <w:rPr>
                <w:rFonts w:ascii="宋体" w:hAnsi="宋体" w:cs="宋体"/>
                <w:sz w:val="22"/>
                <w:szCs w:val="24"/>
                <w:highlight w:val="none"/>
              </w:rPr>
            </w:pPr>
            <w:r>
              <w:rPr>
                <w:rFonts w:hint="eastAsia" w:ascii="宋体" w:hAnsi="宋体" w:cs="宋体"/>
                <w:sz w:val="22"/>
                <w:szCs w:val="24"/>
                <w:highlight w:val="none"/>
                <w:lang w:val="en-US" w:eastAsia="zh-CN"/>
              </w:rPr>
              <w:t>2</w:t>
            </w:r>
            <w:r>
              <w:rPr>
                <w:rFonts w:ascii="宋体" w:hAnsi="宋体" w:cs="宋体"/>
                <w:sz w:val="22"/>
                <w:szCs w:val="24"/>
                <w:highlight w:val="none"/>
              </w:rPr>
              <w:t>0</w:t>
            </w:r>
          </w:p>
        </w:tc>
        <w:tc>
          <w:tcPr>
            <w:tcW w:w="851" w:type="dxa"/>
            <w:tcBorders>
              <w:left w:val="single" w:color="auto" w:sz="4" w:space="0"/>
            </w:tcBorders>
            <w:vAlign w:val="center"/>
          </w:tcPr>
          <w:p>
            <w:pPr>
              <w:ind w:left="-78" w:leftChars="-37" w:right="-73" w:rightChars="-35"/>
              <w:jc w:val="center"/>
              <w:rPr>
                <w:rFonts w:ascii="宋体" w:hAnsi="宋体" w:cs="宋体"/>
                <w:sz w:val="22"/>
                <w:szCs w:val="24"/>
                <w:highlight w:val="none"/>
              </w:rPr>
            </w:pPr>
            <w:r>
              <w:rPr>
                <w:rFonts w:hint="eastAsia" w:ascii="宋体" w:hAnsi="宋体"/>
                <w:sz w:val="22"/>
                <w:szCs w:val="24"/>
                <w:highlight w:val="none"/>
                <w:lang w:val="en-US" w:eastAsia="zh-CN"/>
              </w:rPr>
              <w:t>2</w:t>
            </w:r>
            <w:r>
              <w:rPr>
                <w:rFonts w:ascii="宋体" w:hAnsi="宋体"/>
                <w:sz w:val="22"/>
                <w:szCs w:val="24"/>
                <w:highlight w:val="none"/>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ind w:left="-78" w:leftChars="-37" w:right="-73" w:rightChars="-35"/>
              <w:jc w:val="center"/>
              <w:rPr>
                <w:rFonts w:ascii="宋体" w:hAnsi="宋体" w:cs="宋体"/>
                <w:sz w:val="22"/>
                <w:szCs w:val="24"/>
                <w:highlight w:val="none"/>
              </w:rPr>
            </w:pPr>
            <w:r>
              <w:rPr>
                <w:rFonts w:hint="eastAsia" w:ascii="宋体" w:hAnsi="宋体"/>
                <w:sz w:val="22"/>
                <w:szCs w:val="24"/>
                <w:highlight w:val="none"/>
              </w:rPr>
              <w:t>合计</w:t>
            </w:r>
          </w:p>
        </w:tc>
        <w:tc>
          <w:tcPr>
            <w:tcW w:w="850" w:type="dxa"/>
            <w:tcBorders>
              <w:right w:val="single" w:color="auto" w:sz="4" w:space="0"/>
            </w:tcBorders>
            <w:vAlign w:val="center"/>
          </w:tcPr>
          <w:p>
            <w:pPr>
              <w:ind w:left="-78" w:leftChars="-37" w:right="-73" w:rightChars="-35"/>
              <w:jc w:val="center"/>
              <w:rPr>
                <w:rFonts w:ascii="宋体" w:hAnsi="宋体" w:cs="宋体"/>
                <w:sz w:val="22"/>
                <w:szCs w:val="24"/>
                <w:highlight w:val="none"/>
              </w:rPr>
            </w:pPr>
            <w:r>
              <w:rPr>
                <w:rFonts w:hint="eastAsia" w:ascii="宋体" w:hAnsi="宋体" w:cs="宋体"/>
                <w:sz w:val="22"/>
                <w:szCs w:val="24"/>
                <w:highlight w:val="none"/>
              </w:rPr>
              <w:t>100</w:t>
            </w:r>
          </w:p>
        </w:tc>
        <w:tc>
          <w:tcPr>
            <w:tcW w:w="851" w:type="dxa"/>
            <w:tcBorders>
              <w:left w:val="single" w:color="auto" w:sz="4" w:space="0"/>
            </w:tcBorders>
            <w:vAlign w:val="center"/>
          </w:tcPr>
          <w:p>
            <w:pPr>
              <w:ind w:left="-78" w:leftChars="-37" w:right="-73" w:rightChars="-35"/>
              <w:jc w:val="center"/>
              <w:rPr>
                <w:rFonts w:ascii="宋体" w:hAnsi="宋体" w:cs="宋体"/>
                <w:sz w:val="22"/>
                <w:szCs w:val="24"/>
                <w:highlight w:val="none"/>
              </w:rPr>
            </w:pPr>
            <w:r>
              <w:rPr>
                <w:rFonts w:hint="eastAsia" w:ascii="宋体" w:hAnsi="宋体" w:cs="宋体"/>
                <w:sz w:val="22"/>
                <w:szCs w:val="24"/>
                <w:highlight w:val="none"/>
              </w:rPr>
              <w:t>100</w:t>
            </w:r>
          </w:p>
        </w:tc>
      </w:tr>
    </w:tbl>
    <w:p>
      <w:pPr>
        <w:spacing w:line="300" w:lineRule="exact"/>
        <w:rPr>
          <w:rFonts w:ascii="宋体" w:hAnsi="宋体" w:cs="宋体"/>
          <w:kern w:val="0"/>
          <w:sz w:val="24"/>
          <w:szCs w:val="24"/>
          <w:highlight w:val="none"/>
        </w:rPr>
      </w:pPr>
      <w:r>
        <w:rPr>
          <w:rFonts w:hint="eastAsia" w:ascii="宋体" w:hAnsi="宋体"/>
          <w:b/>
          <w:sz w:val="24"/>
          <w:szCs w:val="24"/>
          <w:highlight w:val="none"/>
        </w:rPr>
        <w:t>备注：</w:t>
      </w:r>
      <w:r>
        <w:rPr>
          <w:rFonts w:hint="eastAsia" w:ascii="宋体" w:hAnsi="宋体" w:cs="宋体"/>
          <w:kern w:val="0"/>
          <w:sz w:val="24"/>
          <w:szCs w:val="24"/>
          <w:highlight w:val="none"/>
        </w:rPr>
        <w:t>1.评标信息内评分方法的说明：</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（1）权重：按百分比进行设置。</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（2）评分准则：按照评标系统设置要求，每项“评分准则”皆按百分制打分。</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（3）每项“评分因素”的得分=对应“评分准则”的分值×对应权重%。</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价格扣除</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（1）根据财政部、工业和信息化部印发的《政府采购促进中小企业发展管理办法》（财库〔2020〕46号）的规定，对小型和微型企业产品的价格给予</w:t>
      </w:r>
      <w:r>
        <w:rPr>
          <w:rFonts w:ascii="宋体" w:hAnsi="宋体" w:cs="宋体"/>
          <w:kern w:val="0"/>
          <w:sz w:val="24"/>
          <w:szCs w:val="24"/>
          <w:highlight w:val="none"/>
        </w:rPr>
        <w:t>6%</w:t>
      </w:r>
      <w:r>
        <w:rPr>
          <w:rFonts w:hint="eastAsia" w:ascii="宋体" w:hAnsi="宋体" w:cs="宋体"/>
          <w:kern w:val="0"/>
          <w:sz w:val="24"/>
          <w:szCs w:val="24"/>
          <w:highlight w:val="none"/>
        </w:rPr>
        <w:t>的扣除，用扣除后的价格参与评审。</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（2）组成联合体（如允许）或者接受分包的小微企业与联合体内其他企业、分包企业之间存在直接控股、管理关系的，不享受价格扣除优惠政策。</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（3）监狱企业产品价格扣除：监狱企业视同小微企业，按上述第（1）、（2）条款享受评审中价格扣除。</w:t>
      </w:r>
    </w:p>
    <w:p>
      <w:pPr>
        <w:spacing w:line="300" w:lineRule="exact"/>
        <w:ind w:firstLine="600" w:firstLineChars="250"/>
        <w:rPr>
          <w:rFonts w:ascii="宋体" w:hAnsi="宋体" w:cs="宋体"/>
          <w:kern w:val="0"/>
          <w:sz w:val="24"/>
          <w:szCs w:val="24"/>
          <w:highlight w:val="none"/>
        </w:rPr>
      </w:pPr>
      <w:r>
        <w:rPr>
          <w:rFonts w:hint="eastAsia" w:ascii="宋体" w:hAnsi="宋体" w:cs="宋体"/>
          <w:kern w:val="0"/>
          <w:sz w:val="24"/>
          <w:szCs w:val="24"/>
          <w:highlight w:val="none"/>
        </w:rPr>
        <w:t>（4）残疾人福利性单位产品价格扣除：残疾人福利性单位视同小微企业，按上述第（1）、（2）条款享受评审中价格扣除。</w:t>
      </w:r>
    </w:p>
    <w:p>
      <w:pPr>
        <w:spacing w:line="540" w:lineRule="exact"/>
        <w:ind w:firstLine="600" w:firstLineChars="250"/>
        <w:rPr>
          <w:rFonts w:ascii="宋体" w:hAnsi="宋体" w:cs="宋体"/>
          <w:kern w:val="0"/>
          <w:sz w:val="24"/>
          <w:szCs w:val="24"/>
          <w:highlight w:val="none"/>
        </w:rPr>
      </w:pPr>
    </w:p>
    <w:p>
      <w:pPr>
        <w:adjustRightInd w:val="0"/>
        <w:snapToGrid w:val="0"/>
        <w:spacing w:line="480" w:lineRule="exact"/>
        <w:ind w:firstLine="640" w:firstLineChars="200"/>
        <w:rPr>
          <w:rFonts w:ascii="仿宋" w:hAnsi="仿宋" w:eastAsia="仿宋" w:cs="仿宋"/>
          <w:sz w:val="32"/>
          <w:szCs w:val="22"/>
          <w:highlight w:val="none"/>
        </w:rPr>
      </w:pPr>
      <w:r>
        <w:rPr>
          <w:rFonts w:hint="eastAsia" w:ascii="仿宋" w:hAnsi="仿宋" w:eastAsia="仿宋" w:cs="仿宋"/>
          <w:sz w:val="32"/>
          <w:szCs w:val="22"/>
          <w:highlight w:val="none"/>
        </w:rPr>
        <w:t>附件：投标及履约承诺函</w:t>
      </w:r>
    </w:p>
    <w:p>
      <w:pPr>
        <w:jc w:val="left"/>
        <w:rPr>
          <w:rFonts w:ascii="仿宋_GB2312" w:hAnsi="宋体" w:eastAsia="仿宋_GB2312" w:cs="仿宋_GB2312"/>
          <w:sz w:val="32"/>
          <w:szCs w:val="22"/>
          <w:highlight w:val="none"/>
        </w:rPr>
      </w:pPr>
      <w:r>
        <w:rPr>
          <w:rFonts w:ascii="仿宋" w:hAnsi="仿宋" w:eastAsia="仿宋" w:cs="仿宋_GB2312"/>
          <w:sz w:val="32"/>
          <w:szCs w:val="32"/>
          <w:highlight w:val="none"/>
        </w:rPr>
        <w:br w:type="page"/>
      </w:r>
      <w:r>
        <w:rPr>
          <w:rFonts w:hint="eastAsia" w:ascii="黑体" w:hAnsi="黑体" w:eastAsia="黑体" w:cs="黑体"/>
          <w:sz w:val="32"/>
          <w:szCs w:val="22"/>
          <w:highlight w:val="none"/>
        </w:rPr>
        <w:t>附件</w:t>
      </w:r>
    </w:p>
    <w:p>
      <w:pPr>
        <w:adjustRightInd w:val="0"/>
        <w:snapToGrid w:val="0"/>
        <w:spacing w:line="600" w:lineRule="exact"/>
        <w:jc w:val="center"/>
        <w:rPr>
          <w:rFonts w:ascii="宋体" w:hAnsi="宋体" w:cs="宋体"/>
          <w:b/>
          <w:bCs/>
          <w:sz w:val="44"/>
          <w:szCs w:val="44"/>
          <w:highlight w:val="none"/>
        </w:rPr>
      </w:pPr>
    </w:p>
    <w:p>
      <w:pPr>
        <w:adjustRightInd w:val="0"/>
        <w:snapToGrid w:val="0"/>
        <w:spacing w:line="600" w:lineRule="exact"/>
        <w:jc w:val="center"/>
        <w:rPr>
          <w:rFonts w:ascii="宋体" w:hAnsi="宋体" w:cs="宋体"/>
          <w:b/>
          <w:bCs/>
          <w:sz w:val="44"/>
          <w:szCs w:val="44"/>
          <w:highlight w:val="none"/>
        </w:rPr>
      </w:pPr>
      <w:r>
        <w:rPr>
          <w:rFonts w:hint="eastAsia" w:ascii="宋体" w:hAnsi="宋体" w:cs="宋体"/>
          <w:b/>
          <w:bCs/>
          <w:sz w:val="44"/>
          <w:szCs w:val="44"/>
          <w:highlight w:val="none"/>
        </w:rPr>
        <w:t>投标及履约承诺函</w:t>
      </w:r>
    </w:p>
    <w:p>
      <w:pPr>
        <w:adjustRightInd w:val="0"/>
        <w:snapToGrid w:val="0"/>
        <w:spacing w:line="600" w:lineRule="exact"/>
        <w:jc w:val="center"/>
        <w:rPr>
          <w:rFonts w:ascii="宋体" w:hAnsi="宋体" w:cs="宋体"/>
          <w:b/>
          <w:bCs/>
          <w:sz w:val="32"/>
          <w:szCs w:val="32"/>
          <w:highlight w:val="none"/>
        </w:rPr>
      </w:pPr>
    </w:p>
    <w:p>
      <w:pPr>
        <w:adjustRightInd w:val="0"/>
        <w:snapToGrid w:val="0"/>
        <w:spacing w:line="480" w:lineRule="exact"/>
        <w:ind w:firstLine="640" w:firstLineChars="200"/>
        <w:rPr>
          <w:rFonts w:ascii="仿宋_GB2312" w:hAnsi="宋体" w:eastAsia="仿宋_GB2312"/>
          <w:sz w:val="32"/>
          <w:szCs w:val="22"/>
          <w:highlight w:val="none"/>
        </w:rPr>
      </w:pPr>
      <w:r>
        <w:rPr>
          <w:rFonts w:hint="eastAsia" w:ascii="仿宋_GB2312" w:hAnsi="宋体" w:eastAsia="仿宋_GB2312" w:cs="仿宋_GB2312"/>
          <w:sz w:val="32"/>
          <w:szCs w:val="22"/>
          <w:highlight w:val="none"/>
        </w:rPr>
        <w:t>我单位承诺：</w:t>
      </w:r>
    </w:p>
    <w:p>
      <w:pPr>
        <w:adjustRightInd w:val="0"/>
        <w:snapToGrid w:val="0"/>
        <w:spacing w:line="480" w:lineRule="exact"/>
        <w:ind w:firstLine="640" w:firstLineChars="200"/>
        <w:rPr>
          <w:rFonts w:ascii="仿宋_GB2312" w:hAnsi="宋体" w:eastAsia="仿宋_GB2312"/>
          <w:sz w:val="32"/>
          <w:szCs w:val="22"/>
          <w:highlight w:val="none"/>
        </w:rPr>
      </w:pPr>
      <w:r>
        <w:rPr>
          <w:rFonts w:hint="eastAsia" w:ascii="仿宋_GB2312" w:hAnsi="宋体" w:eastAsia="仿宋_GB2312" w:cs="仿宋_GB2312"/>
          <w:sz w:val="32"/>
          <w:szCs w:val="22"/>
          <w:highlight w:val="none"/>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sz w:val="32"/>
          <w:szCs w:val="22"/>
          <w:highlight w:val="none"/>
        </w:rPr>
      </w:pPr>
      <w:r>
        <w:rPr>
          <w:rFonts w:hint="eastAsia" w:ascii="仿宋_GB2312" w:hAnsi="宋体" w:eastAsia="仿宋_GB2312" w:cs="仿宋_GB2312"/>
          <w:sz w:val="32"/>
          <w:szCs w:val="22"/>
          <w:highlight w:val="none"/>
        </w:rPr>
        <w:t>2.对本招标项目所提供的服务未侵犯知识产权。</w:t>
      </w:r>
    </w:p>
    <w:p>
      <w:pPr>
        <w:adjustRightInd w:val="0"/>
        <w:snapToGrid w:val="0"/>
        <w:spacing w:line="480" w:lineRule="exact"/>
        <w:ind w:firstLine="640" w:firstLineChars="200"/>
        <w:rPr>
          <w:rFonts w:ascii="仿宋_GB2312" w:hAnsi="宋体" w:eastAsia="仿宋_GB2312"/>
          <w:sz w:val="32"/>
          <w:szCs w:val="22"/>
          <w:highlight w:val="none"/>
        </w:rPr>
      </w:pPr>
      <w:r>
        <w:rPr>
          <w:rFonts w:hint="eastAsia" w:ascii="仿宋_GB2312" w:hAnsi="宋体" w:eastAsia="仿宋_GB2312" w:cs="仿宋_GB2312"/>
          <w:sz w:val="32"/>
          <w:szCs w:val="2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sz w:val="32"/>
          <w:szCs w:val="22"/>
          <w:highlight w:val="none"/>
        </w:rPr>
      </w:pPr>
      <w:r>
        <w:rPr>
          <w:rFonts w:ascii="仿宋_GB2312" w:hAnsi="宋体" w:eastAsia="仿宋_GB2312" w:cs="仿宋_GB2312"/>
          <w:sz w:val="32"/>
          <w:szCs w:val="22"/>
          <w:highlight w:val="none"/>
        </w:rPr>
        <w:t>4</w:t>
      </w:r>
      <w:r>
        <w:rPr>
          <w:rFonts w:hint="eastAsia" w:ascii="仿宋_GB2312" w:hAnsi="宋体" w:eastAsia="仿宋_GB2312" w:cs="仿宋_GB2312"/>
          <w:sz w:val="32"/>
          <w:szCs w:val="22"/>
          <w:highlight w:val="none"/>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sz w:val="32"/>
          <w:szCs w:val="22"/>
          <w:highlight w:val="none"/>
        </w:rPr>
      </w:pPr>
      <w:r>
        <w:rPr>
          <w:rFonts w:ascii="仿宋_GB2312" w:hAnsi="宋体" w:eastAsia="仿宋_GB2312" w:cs="仿宋_GB2312"/>
          <w:sz w:val="32"/>
          <w:szCs w:val="22"/>
          <w:highlight w:val="none"/>
        </w:rPr>
        <w:t>5</w:t>
      </w:r>
      <w:r>
        <w:rPr>
          <w:rFonts w:hint="eastAsia" w:ascii="仿宋_GB2312" w:hAnsi="宋体" w:eastAsia="仿宋_GB2312" w:cs="仿宋_GB2312"/>
          <w:sz w:val="32"/>
          <w:szCs w:val="22"/>
          <w:highlight w:val="none"/>
        </w:rPr>
        <w:t>.我单位已认真阅读本项目需求，我单位承诺按时递交标书。</w:t>
      </w:r>
    </w:p>
    <w:p>
      <w:pPr>
        <w:adjustRightInd w:val="0"/>
        <w:snapToGrid w:val="0"/>
        <w:spacing w:line="480" w:lineRule="exact"/>
        <w:ind w:firstLine="640" w:firstLineChars="200"/>
        <w:rPr>
          <w:rFonts w:ascii="仿宋_GB2312" w:hAnsi="宋体" w:eastAsia="仿宋_GB2312"/>
          <w:sz w:val="32"/>
          <w:szCs w:val="22"/>
          <w:highlight w:val="none"/>
        </w:rPr>
      </w:pPr>
      <w:r>
        <w:rPr>
          <w:rFonts w:ascii="仿宋_GB2312" w:hAnsi="宋体" w:eastAsia="仿宋_GB2312" w:cs="仿宋_GB2312"/>
          <w:sz w:val="32"/>
          <w:szCs w:val="22"/>
          <w:highlight w:val="none"/>
        </w:rPr>
        <w:t>6</w:t>
      </w:r>
      <w:r>
        <w:rPr>
          <w:rFonts w:hint="eastAsia" w:ascii="仿宋_GB2312" w:hAnsi="宋体" w:eastAsia="仿宋_GB2312" w:cs="仿宋_GB2312"/>
          <w:sz w:val="32"/>
          <w:szCs w:val="22"/>
          <w:highlight w:val="none"/>
        </w:rPr>
        <w:t>.我单位承诺不非法转包或分包。</w:t>
      </w:r>
    </w:p>
    <w:p>
      <w:pPr>
        <w:adjustRightInd w:val="0"/>
        <w:snapToGrid w:val="0"/>
        <w:spacing w:line="480" w:lineRule="exact"/>
        <w:ind w:firstLine="640" w:firstLineChars="200"/>
        <w:rPr>
          <w:rFonts w:ascii="仿宋_GB2312" w:hAnsi="宋体" w:eastAsia="仿宋_GB2312"/>
          <w:sz w:val="32"/>
          <w:szCs w:val="22"/>
          <w:highlight w:val="none"/>
        </w:rPr>
      </w:pPr>
      <w:r>
        <w:rPr>
          <w:rFonts w:hint="eastAsia" w:ascii="仿宋_GB2312" w:hAnsi="宋体" w:eastAsia="仿宋_GB2312" w:cs="仿宋_GB2312"/>
          <w:sz w:val="32"/>
          <w:szCs w:val="22"/>
          <w:highlight w:val="none"/>
        </w:rPr>
        <w:t>以上承诺，如有违反，愿依照国家相关法律处理，并承担由此给采购人带来的损失。</w:t>
      </w:r>
    </w:p>
    <w:p>
      <w:pPr>
        <w:adjustRightInd w:val="0"/>
        <w:snapToGrid w:val="0"/>
        <w:spacing w:line="480" w:lineRule="exact"/>
        <w:ind w:firstLine="640" w:firstLineChars="200"/>
        <w:rPr>
          <w:rFonts w:ascii="仿宋_GB2312" w:hAnsi="宋体" w:eastAsia="仿宋_GB2312"/>
          <w:sz w:val="32"/>
          <w:szCs w:val="22"/>
          <w:highlight w:val="none"/>
        </w:rPr>
      </w:pPr>
    </w:p>
    <w:p>
      <w:pPr>
        <w:adjustRightInd w:val="0"/>
        <w:snapToGrid w:val="0"/>
        <w:spacing w:line="480" w:lineRule="exact"/>
        <w:ind w:firstLine="640" w:firstLineChars="200"/>
        <w:rPr>
          <w:rFonts w:ascii="仿宋_GB2312" w:hAnsi="宋体" w:eastAsia="仿宋_GB2312"/>
          <w:sz w:val="32"/>
          <w:szCs w:val="22"/>
          <w:highlight w:val="none"/>
          <w:u w:val="single"/>
        </w:rPr>
      </w:pPr>
      <w:r>
        <w:rPr>
          <w:rFonts w:hint="eastAsia" w:ascii="仿宋_GB2312" w:hAnsi="宋体" w:eastAsia="仿宋_GB2312" w:cs="仿宋_GB2312"/>
          <w:sz w:val="32"/>
          <w:szCs w:val="22"/>
          <w:highlight w:val="none"/>
        </w:rPr>
        <w:t xml:space="preserve">承诺投标人： </w:t>
      </w:r>
    </w:p>
    <w:p>
      <w:pPr>
        <w:adjustRightInd w:val="0"/>
        <w:snapToGrid w:val="0"/>
        <w:spacing w:line="480" w:lineRule="exact"/>
        <w:ind w:firstLine="640" w:firstLineChars="200"/>
        <w:rPr>
          <w:rFonts w:ascii="仿宋_GB2312" w:hAnsi="宋体" w:eastAsia="仿宋_GB2312"/>
          <w:sz w:val="32"/>
          <w:szCs w:val="22"/>
          <w:highlight w:val="none"/>
        </w:rPr>
      </w:pPr>
      <w:r>
        <w:rPr>
          <w:rFonts w:hint="eastAsia" w:ascii="仿宋_GB2312" w:hAnsi="宋体" w:eastAsia="仿宋_GB2312" w:cs="仿宋_GB2312"/>
          <w:sz w:val="32"/>
          <w:szCs w:val="22"/>
          <w:highlight w:val="none"/>
        </w:rPr>
        <w:t>单位地址：</w:t>
      </w:r>
    </w:p>
    <w:p>
      <w:pPr>
        <w:adjustRightInd w:val="0"/>
        <w:snapToGrid w:val="0"/>
        <w:spacing w:line="480" w:lineRule="exact"/>
        <w:ind w:firstLine="640" w:firstLineChars="200"/>
        <w:rPr>
          <w:rFonts w:ascii="仿宋_GB2312" w:hAnsi="宋体" w:eastAsia="仿宋_GB2312"/>
          <w:sz w:val="32"/>
          <w:szCs w:val="22"/>
          <w:highlight w:val="none"/>
          <w:u w:val="single"/>
        </w:rPr>
      </w:pPr>
      <w:r>
        <w:rPr>
          <w:rFonts w:hint="eastAsia" w:ascii="仿宋_GB2312" w:hAnsi="宋体" w:eastAsia="仿宋_GB2312" w:cs="仿宋_GB2312"/>
          <w:sz w:val="32"/>
          <w:szCs w:val="22"/>
          <w:highlight w:val="none"/>
        </w:rPr>
        <w:t>法定代表人或其委托代理人：</w:t>
      </w:r>
    </w:p>
    <w:p>
      <w:pPr>
        <w:adjustRightInd w:val="0"/>
        <w:snapToGrid w:val="0"/>
        <w:spacing w:line="480" w:lineRule="exact"/>
        <w:ind w:firstLine="640" w:firstLineChars="200"/>
        <w:rPr>
          <w:rFonts w:ascii="仿宋_GB2312" w:hAnsi="宋体" w:eastAsia="仿宋_GB2312"/>
          <w:sz w:val="32"/>
          <w:szCs w:val="22"/>
          <w:highlight w:val="none"/>
          <w:u w:val="single"/>
        </w:rPr>
      </w:pPr>
      <w:r>
        <w:rPr>
          <w:rFonts w:hint="eastAsia" w:ascii="仿宋_GB2312" w:hAnsi="宋体" w:eastAsia="仿宋_GB2312" w:cs="仿宋_GB2312"/>
          <w:sz w:val="32"/>
          <w:szCs w:val="22"/>
          <w:highlight w:val="none"/>
        </w:rPr>
        <w:t>联系电话：</w:t>
      </w:r>
    </w:p>
    <w:p>
      <w:pPr>
        <w:adjustRightInd w:val="0"/>
        <w:snapToGrid w:val="0"/>
        <w:spacing w:line="480" w:lineRule="exact"/>
        <w:ind w:firstLine="640" w:firstLineChars="200"/>
        <w:rPr>
          <w:rFonts w:ascii="仿宋" w:hAnsi="仿宋" w:eastAsia="仿宋" w:cs="仿宋_GB2312"/>
          <w:sz w:val="32"/>
          <w:szCs w:val="32"/>
          <w:highlight w:val="none"/>
        </w:rPr>
      </w:pPr>
      <w:r>
        <w:rPr>
          <w:rFonts w:hint="eastAsia" w:ascii="仿宋_GB2312" w:hAnsi="Times New Roman" w:eastAsia="仿宋_GB2312" w:cs="仿宋_GB2312"/>
          <w:sz w:val="32"/>
          <w:szCs w:val="22"/>
          <w:highlight w:val="none"/>
        </w:rPr>
        <w:t xml:space="preserve">日期：   年   月   日  </w:t>
      </w:r>
      <w:r>
        <w:rPr>
          <w:rFonts w:ascii="Times New Roman" w:hAnsi="Times New Roman" w:eastAsia="仿宋_GB2312"/>
          <w:sz w:val="32"/>
          <w:szCs w:val="22"/>
          <w:highlight w:val="none"/>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ˎ̥">
    <w:altName w:val="微软雅黑"/>
    <w:panose1 w:val="00000000000000000000"/>
    <w:charset w:val="00"/>
    <w:family w:val="auto"/>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ksdb"/>
    <w:panose1 w:val="00000000000000000000"/>
    <w:charset w:val="00"/>
    <w:family w:val="auto"/>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D21C51"/>
    <w:rsid w:val="237542F0"/>
    <w:rsid w:val="599272AB"/>
    <w:rsid w:val="750A4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4"/>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customStyle="1" w:styleId="56">
    <w:name w:val="List Paragraph"/>
    <w:basedOn w:val="1"/>
    <w:link w:val="203"/>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3"/>
    <w:qFormat/>
    <w:uiPriority w:val="0"/>
    <w:rPr>
      <w:rFonts w:ascii="Calibri" w:hAnsi="Calibri" w:eastAsia="宋体" w:cs="Times New Roman"/>
      <w:b/>
      <w:bCs/>
      <w:sz w:val="32"/>
      <w:szCs w:val="32"/>
    </w:rPr>
  </w:style>
  <w:style w:type="character" w:customStyle="1" w:styleId="60">
    <w:name w:val="标题 1 字符"/>
    <w:basedOn w:val="45"/>
    <w:link w:val="2"/>
    <w:qFormat/>
    <w:uiPriority w:val="0"/>
    <w:rPr>
      <w:rFonts w:ascii="宋体" w:hAnsi="宋体" w:eastAsia="黑体" w:cs="Times New Roman"/>
      <w:b/>
      <w:bCs/>
      <w:kern w:val="44"/>
      <w:sz w:val="28"/>
      <w:szCs w:val="44"/>
    </w:rPr>
  </w:style>
  <w:style w:type="character" w:customStyle="1" w:styleId="61">
    <w:name w:val="标题 4 字符"/>
    <w:basedOn w:val="45"/>
    <w:link w:val="5"/>
    <w:qFormat/>
    <w:uiPriority w:val="0"/>
    <w:rPr>
      <w:rFonts w:ascii="Arial" w:hAnsi="Arial" w:eastAsia="黑体" w:cs="Times New Roman"/>
      <w:b/>
      <w:bCs/>
      <w:sz w:val="28"/>
      <w:szCs w:val="28"/>
    </w:rPr>
  </w:style>
  <w:style w:type="character" w:customStyle="1" w:styleId="62">
    <w:name w:val="标题 5 字符"/>
    <w:basedOn w:val="45"/>
    <w:link w:val="6"/>
    <w:qFormat/>
    <w:uiPriority w:val="0"/>
    <w:rPr>
      <w:rFonts w:ascii="Times New Roman" w:hAnsi="Times New Roman" w:eastAsia="宋体" w:cs="Times New Roman"/>
      <w:b/>
      <w:sz w:val="28"/>
      <w:szCs w:val="20"/>
    </w:rPr>
  </w:style>
  <w:style w:type="character" w:customStyle="1" w:styleId="63">
    <w:name w:val="标题 6 字符"/>
    <w:basedOn w:val="45"/>
    <w:link w:val="8"/>
    <w:qFormat/>
    <w:uiPriority w:val="0"/>
    <w:rPr>
      <w:rFonts w:ascii="Arial" w:hAnsi="Arial" w:eastAsia="黑体" w:cs="Times New Roman"/>
      <w:b/>
      <w:sz w:val="24"/>
      <w:szCs w:val="20"/>
    </w:rPr>
  </w:style>
  <w:style w:type="character" w:customStyle="1" w:styleId="64">
    <w:name w:val="标题 7 字符"/>
    <w:basedOn w:val="45"/>
    <w:link w:val="9"/>
    <w:qFormat/>
    <w:uiPriority w:val="0"/>
    <w:rPr>
      <w:rFonts w:ascii="Times New Roman" w:hAnsi="Times New Roman" w:eastAsia="宋体" w:cs="Times New Roman"/>
      <w:b/>
      <w:sz w:val="24"/>
      <w:szCs w:val="20"/>
    </w:rPr>
  </w:style>
  <w:style w:type="character" w:customStyle="1" w:styleId="65">
    <w:name w:val="标题 8 字符"/>
    <w:basedOn w:val="45"/>
    <w:link w:val="10"/>
    <w:qFormat/>
    <w:uiPriority w:val="0"/>
    <w:rPr>
      <w:rFonts w:ascii="Arial" w:hAnsi="Arial" w:eastAsia="黑体" w:cs="Times New Roman"/>
      <w:sz w:val="24"/>
      <w:szCs w:val="20"/>
    </w:rPr>
  </w:style>
  <w:style w:type="character" w:customStyle="1" w:styleId="66">
    <w:name w:val="标题 9 字符"/>
    <w:basedOn w:val="45"/>
    <w:link w:val="11"/>
    <w:qFormat/>
    <w:uiPriority w:val="0"/>
    <w:rPr>
      <w:rFonts w:ascii="Arial" w:hAnsi="Arial" w:eastAsia="黑体" w:cs="Times New Roman"/>
      <w:szCs w:val="20"/>
    </w:rPr>
  </w:style>
  <w:style w:type="character" w:customStyle="1" w:styleId="67">
    <w:name w:val="批注文字 字符"/>
    <w:basedOn w:val="45"/>
    <w:link w:val="16"/>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18"/>
    <w:qFormat/>
    <w:uiPriority w:val="0"/>
    <w:rPr>
      <w:rFonts w:ascii="Calibri" w:hAnsi="Calibri" w:eastAsia="宋体" w:cs="Times New Roman"/>
      <w:szCs w:val="21"/>
    </w:rPr>
  </w:style>
  <w:style w:type="character" w:customStyle="1" w:styleId="70">
    <w:name w:val="正文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7"/>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字符"/>
    <w:basedOn w:val="45"/>
    <w:link w:val="22"/>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7"/>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出段落 字符"/>
    <w:link w:val="56"/>
    <w:qFormat/>
    <w:uiPriority w:val="34"/>
    <w:rPr>
      <w:rFonts w:ascii="Calibri" w:hAnsi="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9</Pages>
  <Words>4152</Words>
  <Characters>4299</Characters>
  <Lines>34</Lines>
  <Paragraphs>9</Paragraphs>
  <TotalTime>0</TotalTime>
  <ScaleCrop>false</ScaleCrop>
  <LinksUpToDate>false</LinksUpToDate>
  <CharactersWithSpaces>4312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2023-04-15T01:54:00Z</dcterms:created>
  <dc:creator>李刚</dc:creator>
  <cp:lastModifiedBy>WPS_1581317969</cp:lastModifiedBy>
  <cp:lastPrinted>2023-04-20T00:27:00Z</cp:lastPrinted>
  <dcterms:modified xsi:type="dcterms:W3CDTF">2023-04-25T07:39:04Z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AF299A5AF3EA46B9B9C44F6142A28C80_13</vt:lpwstr>
  </property>
</Properties>
</file>