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firstLine="0" w:firstLineChars="0"/>
        <w:rPr>
          <w:rFonts w:hint="eastAsia" w:ascii="黑体" w:hAnsi="黑体" w:eastAsia="黑体" w:cs="黑体"/>
          <w:szCs w:val="32"/>
          <w:lang w:val="en-US" w:eastAsia="zh-CN"/>
        </w:rPr>
      </w:pPr>
      <w:bookmarkStart w:id="0" w:name="_Hlk116136952"/>
      <w:bookmarkEnd w:id="0"/>
      <w:r>
        <w:rPr>
          <w:rFonts w:hint="eastAsia" w:ascii="黑体" w:hAnsi="黑体" w:eastAsia="黑体" w:cs="黑体"/>
          <w:szCs w:val="32"/>
          <w:lang w:eastAsia="zh-CN"/>
        </w:rPr>
        <w:t>附件</w:t>
      </w:r>
      <w:r>
        <w:rPr>
          <w:rFonts w:hint="eastAsia" w:ascii="黑体" w:hAnsi="黑体" w:eastAsia="黑体" w:cs="黑体"/>
          <w:szCs w:val="32"/>
          <w:lang w:val="en-US" w:eastAsia="zh-CN"/>
        </w:rPr>
        <w:t>1</w:t>
      </w:r>
    </w:p>
    <w:p>
      <w:pPr>
        <w:spacing w:line="600" w:lineRule="exact"/>
        <w:ind w:firstLine="0" w:firstLineChars="0"/>
        <w:jc w:val="center"/>
        <w:rPr>
          <w:rFonts w:ascii="方正小标宋简体" w:eastAsia="方正小标宋简体"/>
          <w:szCs w:val="32"/>
        </w:rPr>
      </w:pPr>
    </w:p>
    <w:p>
      <w:pPr>
        <w:spacing w:line="60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深圳市数据产权登记管理暂行办法</w:t>
      </w:r>
    </w:p>
    <w:p>
      <w:pPr>
        <w:pStyle w:val="2"/>
        <w:spacing w:line="600" w:lineRule="exact"/>
        <w:ind w:firstLine="0" w:firstLineChars="0"/>
        <w:jc w:val="center"/>
        <w:rPr>
          <w:szCs w:val="32"/>
        </w:rPr>
      </w:pPr>
      <w:r>
        <w:rPr>
          <w:rFonts w:hint="eastAsia"/>
          <w:szCs w:val="32"/>
        </w:rPr>
        <w:t>（征求</w:t>
      </w:r>
      <w:r>
        <w:rPr>
          <w:szCs w:val="32"/>
        </w:rPr>
        <w:t>意见</w:t>
      </w:r>
      <w:r>
        <w:rPr>
          <w:rFonts w:hint="eastAsia"/>
          <w:szCs w:val="32"/>
        </w:rPr>
        <w:t>稿）</w:t>
      </w:r>
    </w:p>
    <w:p>
      <w:pPr>
        <w:pStyle w:val="2"/>
        <w:spacing w:line="600" w:lineRule="exact"/>
        <w:ind w:firstLine="0" w:firstLineChars="0"/>
        <w:jc w:val="center"/>
        <w:rPr>
          <w:rFonts w:hint="eastAsia"/>
          <w:szCs w:val="32"/>
        </w:rPr>
      </w:pPr>
    </w:p>
    <w:p>
      <w:pPr>
        <w:pStyle w:val="3"/>
        <w:spacing w:before="217" w:after="217"/>
        <w:ind w:left="0"/>
      </w:pPr>
      <w:r>
        <w:rPr>
          <w:rFonts w:hint="eastAsia"/>
        </w:rPr>
        <w:t>总则</w:t>
      </w:r>
    </w:p>
    <w:p>
      <w:pPr>
        <w:pStyle w:val="5"/>
        <w:keepNext w:val="0"/>
        <w:keepLines w:val="0"/>
        <w:adjustRightInd/>
        <w:snapToGrid/>
        <w:ind w:firstLine="572" w:firstLineChars="179"/>
        <w:rPr>
          <w:rFonts w:cs="Times New Roman"/>
          <w:b/>
          <w:bCs w:val="0"/>
          <w:color w:val="000000"/>
        </w:rPr>
      </w:pPr>
      <w:r>
        <w:rPr>
          <w:rFonts w:hint="eastAsia" w:cs="Times New Roman"/>
          <w:bCs w:val="0"/>
          <w:color w:val="000000"/>
        </w:rPr>
        <w:t>【制定目的】</w:t>
      </w:r>
    </w:p>
    <w:p>
      <w:pPr>
        <w:spacing w:line="600" w:lineRule="exact"/>
        <w:ind w:firstLine="640"/>
        <w:rPr>
          <w:szCs w:val="32"/>
        </w:rPr>
      </w:pPr>
      <w:r>
        <w:rPr>
          <w:szCs w:val="32"/>
        </w:rPr>
        <w:t>为</w:t>
      </w:r>
      <w:r>
        <w:rPr>
          <w:rFonts w:hint="eastAsia"/>
          <w:szCs w:val="32"/>
        </w:rPr>
        <w:t>规范数据产权登记行为，保护数据要素市场参与主体的合法权益，促进数据作为生产要素开放流动和开发利用，根据《中华人民共和国民法典》《中华人民共和国数据安全法》《深圳经济特区数据条例》《深圳经济特区数字经济产业促进条例》《深圳市数据交易管理暂行办法》及有关法律、行政法规，结合深圳经济特区实际，制定本办法。</w:t>
      </w:r>
    </w:p>
    <w:p>
      <w:pPr>
        <w:pStyle w:val="5"/>
        <w:keepNext w:val="0"/>
        <w:keepLines w:val="0"/>
        <w:adjustRightInd/>
        <w:snapToGrid/>
        <w:ind w:firstLine="640"/>
        <w:rPr>
          <w:rFonts w:cs="Times New Roman"/>
          <w:b/>
          <w:bCs w:val="0"/>
          <w:color w:val="000000"/>
        </w:rPr>
      </w:pPr>
      <w:r>
        <w:rPr>
          <w:rFonts w:hint="eastAsia" w:cs="Times New Roman"/>
          <w:bCs w:val="0"/>
          <w:color w:val="000000"/>
        </w:rPr>
        <w:t>【术语定义】</w:t>
      </w:r>
    </w:p>
    <w:p>
      <w:pPr>
        <w:pStyle w:val="2"/>
        <w:spacing w:line="600" w:lineRule="exact"/>
        <w:ind w:firstLine="640"/>
        <w:rPr>
          <w:rFonts w:ascii="Times New Roman" w:hAnsi="Times New Roman"/>
          <w:szCs w:val="32"/>
        </w:rPr>
      </w:pPr>
      <w:r>
        <w:rPr>
          <w:rFonts w:hint="eastAsia" w:ascii="Times New Roman" w:hAnsi="Times New Roman"/>
          <w:szCs w:val="32"/>
        </w:rPr>
        <w:t>本办法中下列用语的含义：</w:t>
      </w:r>
      <w:r>
        <w:rPr>
          <w:rFonts w:ascii="Times New Roman" w:hAnsi="Times New Roman"/>
          <w:szCs w:val="32"/>
        </w:rPr>
        <w:t xml:space="preserve"> </w:t>
      </w:r>
    </w:p>
    <w:p>
      <w:pPr>
        <w:pStyle w:val="14"/>
        <w:spacing w:before="0" w:beforeAutospacing="0" w:after="0" w:afterAutospacing="0" w:line="600" w:lineRule="exact"/>
        <w:ind w:firstLine="640" w:firstLineChars="200"/>
        <w:jc w:val="both"/>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数据资源，是指自然人、法人或非法人组织基于数据来源方授权，在生产经营活动中采集加工形成的数据。</w:t>
      </w:r>
    </w:p>
    <w:p>
      <w:pPr>
        <w:pStyle w:val="14"/>
        <w:spacing w:before="0" w:beforeAutospacing="0" w:after="0" w:afterAutospacing="0" w:line="600" w:lineRule="exact"/>
        <w:ind w:firstLine="640" w:firstLineChars="200"/>
        <w:jc w:val="both"/>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数据产品，是指自然人、法人或非法人组织通过对数据资源投入实质性加工和创新性劳动形成的数据和数据衍生产品，包括但不限于</w:t>
      </w:r>
      <w:r>
        <w:rPr>
          <w:rFonts w:hint="eastAsia" w:ascii="Times New Roman" w:hAnsi="Times New Roman" w:eastAsia="仿宋_GB2312" w:cs="Times New Roman"/>
          <w:kern w:val="2"/>
          <w:sz w:val="32"/>
          <w:szCs w:val="22"/>
        </w:rPr>
        <w:t>数据集、数据分析报告、数据可视化产品、数据指数、API 数据、加密数据等</w:t>
      </w:r>
      <w:r>
        <w:rPr>
          <w:rFonts w:hint="eastAsia" w:ascii="Times New Roman" w:hAnsi="Times New Roman" w:eastAsia="仿宋_GB2312" w:cstheme="minorBidi"/>
          <w:kern w:val="2"/>
          <w:sz w:val="32"/>
          <w:szCs w:val="32"/>
        </w:rPr>
        <w:t>。</w:t>
      </w:r>
    </w:p>
    <w:p>
      <w:pPr>
        <w:pStyle w:val="14"/>
        <w:spacing w:before="0" w:beforeAutospacing="0" w:after="0" w:afterAutospacing="0" w:line="600" w:lineRule="exact"/>
        <w:ind w:firstLine="640" w:firstLineChars="200"/>
        <w:jc w:val="both"/>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登记机构，是指由本市数据产权登记工作主管部门管理的、提供数据产权登记服务的机构。</w:t>
      </w:r>
    </w:p>
    <w:p>
      <w:pPr>
        <w:pStyle w:val="14"/>
        <w:spacing w:before="0" w:beforeAutospacing="0" w:after="0" w:afterAutospacing="0" w:line="600" w:lineRule="exact"/>
        <w:ind w:firstLine="640" w:firstLineChars="200"/>
        <w:jc w:val="both"/>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登记主体，是指享有数据要素相关权益，并向登记机构发起登记行为的自然人、法人或非法人组织。</w:t>
      </w:r>
    </w:p>
    <w:p>
      <w:pPr>
        <w:pStyle w:val="14"/>
        <w:spacing w:before="0" w:beforeAutospacing="0" w:after="0" w:afterAutospacing="0" w:line="600" w:lineRule="exact"/>
        <w:ind w:firstLine="640" w:firstLineChars="200"/>
        <w:jc w:val="both"/>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第三方服务机构，是指对数据资源和数据产品的真实性和合规性进行实质性审查，并出具相应审查报告的机构。</w:t>
      </w:r>
    </w:p>
    <w:p>
      <w:pPr>
        <w:pStyle w:val="14"/>
        <w:spacing w:before="0" w:beforeAutospacing="0" w:after="0" w:afterAutospacing="0" w:line="600" w:lineRule="exact"/>
        <w:ind w:firstLine="640" w:firstLineChars="200"/>
        <w:jc w:val="both"/>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数据资源持有权，是指在相关数据主体的授权同意下，对数据资源管理、使用、收益和依法处分的权利。</w:t>
      </w:r>
    </w:p>
    <w:p>
      <w:pPr>
        <w:pStyle w:val="14"/>
        <w:spacing w:before="0" w:beforeAutospacing="0" w:after="0" w:afterAutospacing="0" w:line="600" w:lineRule="exact"/>
        <w:ind w:firstLine="640" w:firstLineChars="200"/>
        <w:jc w:val="both"/>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数据加工使用权，是指在授权范围内以各种方式、技术手段使用、分析、加工数据的权利。</w:t>
      </w:r>
    </w:p>
    <w:p>
      <w:pPr>
        <w:pStyle w:val="14"/>
        <w:spacing w:before="0" w:beforeAutospacing="0" w:after="0" w:afterAutospacing="0" w:line="600" w:lineRule="exact"/>
        <w:ind w:firstLine="640" w:firstLineChars="200"/>
        <w:jc w:val="both"/>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数据产品经营权，是指对投入实质性加工和创新性劳动形成的数据衍生产品占有、使用、收益和依法处分的权利。</w:t>
      </w:r>
    </w:p>
    <w:p>
      <w:pPr>
        <w:pStyle w:val="14"/>
        <w:spacing w:before="0" w:beforeAutospacing="0" w:after="0" w:afterAutospacing="0" w:line="600" w:lineRule="exact"/>
        <w:ind w:firstLine="640" w:firstLineChars="200"/>
        <w:jc w:val="both"/>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数据产权登记，是指数据产权登记机构将数据资源和数据产品的权属情况及其他事项进行记载的行为。</w:t>
      </w:r>
    </w:p>
    <w:p>
      <w:pPr>
        <w:pStyle w:val="5"/>
        <w:keepNext w:val="0"/>
        <w:keepLines w:val="0"/>
        <w:adjustRightInd/>
        <w:snapToGrid/>
        <w:ind w:firstLine="640"/>
        <w:rPr>
          <w:rFonts w:cs="Times New Roman"/>
          <w:b/>
          <w:bCs w:val="0"/>
          <w:color w:val="000000"/>
        </w:rPr>
      </w:pPr>
      <w:r>
        <w:rPr>
          <w:rFonts w:hint="eastAsia" w:cs="Times New Roman"/>
          <w:bCs w:val="0"/>
          <w:color w:val="000000"/>
        </w:rPr>
        <w:t>【适用范围】</w:t>
      </w:r>
    </w:p>
    <w:p>
      <w:pPr>
        <w:pStyle w:val="2"/>
        <w:ind w:firstLine="640"/>
        <w:rPr>
          <w:szCs w:val="32"/>
        </w:rPr>
      </w:pPr>
      <w:r>
        <w:rPr>
          <w:rFonts w:hint="eastAsia"/>
          <w:szCs w:val="32"/>
        </w:rPr>
        <w:t>数据资源和数据产品在本市行政区域内的首次登记、许可登记、转移登记、变更登记、注销登记和异议登记，适用本办法。</w:t>
      </w:r>
    </w:p>
    <w:p>
      <w:pPr>
        <w:pStyle w:val="5"/>
        <w:keepNext w:val="0"/>
        <w:keepLines w:val="0"/>
        <w:adjustRightInd/>
        <w:snapToGrid/>
        <w:ind w:firstLine="640"/>
        <w:rPr>
          <w:rFonts w:cs="Times New Roman"/>
          <w:b/>
          <w:bCs w:val="0"/>
          <w:color w:val="000000"/>
        </w:rPr>
      </w:pPr>
      <w:r>
        <w:rPr>
          <w:rFonts w:hint="eastAsia" w:cs="Times New Roman"/>
          <w:bCs w:val="0"/>
          <w:color w:val="000000"/>
        </w:rPr>
        <w:t>【基本原则】</w:t>
      </w:r>
    </w:p>
    <w:p>
      <w:pPr>
        <w:pStyle w:val="2"/>
        <w:spacing w:line="600" w:lineRule="exact"/>
        <w:ind w:firstLine="640"/>
        <w:rPr>
          <w:rFonts w:ascii="Times New Roman" w:hAnsi="Times New Roman"/>
          <w:szCs w:val="32"/>
        </w:rPr>
      </w:pPr>
      <w:r>
        <w:rPr>
          <w:rFonts w:hint="eastAsia" w:ascii="Times New Roman" w:hAnsi="Times New Roman"/>
          <w:szCs w:val="32"/>
        </w:rPr>
        <w:t>数据产权登记应当遵循制度创新、分步推进、依法合规、规范统一、公开透明、安全高效的原则。</w:t>
      </w:r>
    </w:p>
    <w:p>
      <w:pPr>
        <w:pStyle w:val="5"/>
        <w:keepNext w:val="0"/>
        <w:keepLines w:val="0"/>
        <w:adjustRightInd/>
        <w:snapToGrid/>
        <w:ind w:firstLine="640"/>
        <w:rPr>
          <w:rFonts w:cs="Times New Roman"/>
          <w:b/>
          <w:bCs w:val="0"/>
          <w:color w:val="000000"/>
        </w:rPr>
      </w:pPr>
      <w:bookmarkStart w:id="1" w:name="_Hlk116122073"/>
      <w:r>
        <w:rPr>
          <w:rFonts w:hint="eastAsia" w:cs="Times New Roman"/>
          <w:bCs w:val="0"/>
          <w:color w:val="000000"/>
        </w:rPr>
        <w:t>【主管部门】</w:t>
      </w:r>
      <w:bookmarkEnd w:id="1"/>
    </w:p>
    <w:p>
      <w:pPr>
        <w:pStyle w:val="2"/>
        <w:spacing w:line="600" w:lineRule="exact"/>
        <w:ind w:firstLine="640"/>
        <w:rPr>
          <w:rFonts w:ascii="Times New Roman" w:hAnsi="Times New Roman"/>
          <w:szCs w:val="32"/>
        </w:rPr>
      </w:pPr>
      <w:r>
        <w:rPr>
          <w:rFonts w:hint="eastAsia" w:ascii="Times New Roman" w:hAnsi="Times New Roman"/>
          <w:szCs w:val="32"/>
        </w:rPr>
        <w:t>市发展改革委是本市数据产权登记工作的主管部门，负责统筹协调全市数据产权登记管理工作，主要履行以下职责：</w:t>
      </w:r>
    </w:p>
    <w:p>
      <w:pPr>
        <w:pStyle w:val="2"/>
        <w:spacing w:line="600" w:lineRule="exact"/>
        <w:ind w:firstLine="640"/>
        <w:rPr>
          <w:rFonts w:ascii="方正黑体_GBK" w:hAnsi="方正黑体_GBK" w:eastAsia="方正黑体_GBK" w:cs="方正黑体_GBK"/>
          <w:szCs w:val="32"/>
        </w:rPr>
      </w:pPr>
      <w:r>
        <w:rPr>
          <w:rFonts w:hint="eastAsia" w:ascii="Times New Roman" w:hAnsi="Times New Roman"/>
          <w:szCs w:val="32"/>
        </w:rPr>
        <w:t>（一）制定全市数据产权登记管理规章制度，规范数据产权登记行为；</w:t>
      </w:r>
    </w:p>
    <w:p>
      <w:pPr>
        <w:pStyle w:val="2"/>
        <w:spacing w:line="600" w:lineRule="exact"/>
        <w:ind w:firstLine="640"/>
        <w:rPr>
          <w:rFonts w:ascii="Times New Roman" w:hAnsi="Times New Roman"/>
          <w:szCs w:val="32"/>
        </w:rPr>
      </w:pPr>
      <w:r>
        <w:rPr>
          <w:rFonts w:hint="eastAsia" w:ascii="Times New Roman" w:hAnsi="Times New Roman"/>
          <w:szCs w:val="32"/>
        </w:rPr>
        <w:t>（二）推动建设数据产权登记存证示范平台，指导登记机构制订相关技术标准，积极推动跨地域登记规则互认；</w:t>
      </w:r>
    </w:p>
    <w:p>
      <w:pPr>
        <w:pStyle w:val="2"/>
        <w:spacing w:line="600" w:lineRule="exact"/>
        <w:ind w:firstLine="640"/>
        <w:rPr>
          <w:rFonts w:ascii="Times New Roman" w:hAnsi="Times New Roman"/>
          <w:szCs w:val="32"/>
        </w:rPr>
      </w:pPr>
      <w:r>
        <w:rPr>
          <w:rFonts w:hint="eastAsia" w:ascii="Times New Roman" w:hAnsi="Times New Roman"/>
          <w:szCs w:val="32"/>
        </w:rPr>
        <w:t>（三）会同相关部门建立协同配合的数据产权登记监管工作机制，对登记机构和登记主体进行管理，指导数据产权登记活动依法有序开展。</w:t>
      </w:r>
    </w:p>
    <w:p>
      <w:pPr>
        <w:pStyle w:val="2"/>
        <w:ind w:firstLine="640"/>
      </w:pPr>
      <w:r>
        <w:rPr>
          <w:rFonts w:hint="eastAsia"/>
        </w:rPr>
        <w:t>市委网信办、市公安局、市国家安全局在各自职责范围内承担数据产权登记监管职责。各行业主管部门应当指导登记机构完善管理细则，对相应行业数据资源和数据产品登记进行指导和管理。</w:t>
      </w:r>
    </w:p>
    <w:p>
      <w:pPr>
        <w:pStyle w:val="2"/>
        <w:ind w:firstLine="0" w:firstLineChars="0"/>
      </w:pPr>
    </w:p>
    <w:p>
      <w:pPr>
        <w:pStyle w:val="3"/>
        <w:spacing w:before="217" w:after="217"/>
        <w:ind w:left="0"/>
      </w:pPr>
      <w:r>
        <w:rPr>
          <w:rFonts w:hint="eastAsia"/>
        </w:rPr>
        <w:t>登记主体</w:t>
      </w:r>
    </w:p>
    <w:p>
      <w:pPr>
        <w:pStyle w:val="5"/>
        <w:keepNext w:val="0"/>
        <w:keepLines w:val="0"/>
        <w:adjustRightInd/>
        <w:snapToGrid/>
        <w:ind w:left="-142" w:firstLine="640"/>
        <w:rPr>
          <w:rFonts w:cs="Times New Roman"/>
          <w:bCs w:val="0"/>
          <w:color w:val="000000"/>
        </w:rPr>
      </w:pPr>
      <w:r>
        <w:rPr>
          <w:rFonts w:hint="eastAsia" w:cs="Times New Roman"/>
          <w:bCs w:val="0"/>
          <w:color w:val="000000"/>
        </w:rPr>
        <w:t>【登记主体权利】</w:t>
      </w:r>
    </w:p>
    <w:p>
      <w:pPr>
        <w:ind w:firstLine="640"/>
        <w:rPr>
          <w:rFonts w:cs="Times New Roman"/>
          <w:color w:val="000000"/>
        </w:rPr>
      </w:pPr>
      <w:r>
        <w:rPr>
          <w:rFonts w:hint="eastAsia"/>
        </w:rPr>
        <w:t>登记主体具有以下权利：</w:t>
      </w:r>
    </w:p>
    <w:p>
      <w:pPr>
        <w:pStyle w:val="2"/>
        <w:numPr>
          <w:ilvl w:val="0"/>
          <w:numId w:val="5"/>
        </w:numPr>
        <w:tabs>
          <w:tab w:val="left" w:pos="567"/>
        </w:tabs>
        <w:spacing w:line="600" w:lineRule="exact"/>
        <w:ind w:left="0" w:firstLine="640"/>
        <w:rPr>
          <w:rFonts w:ascii="Times New Roman" w:hAnsi="Times New Roman"/>
          <w:szCs w:val="32"/>
          <w:lang w:bidi="ar"/>
        </w:rPr>
      </w:pPr>
      <w:r>
        <w:rPr>
          <w:rFonts w:hint="eastAsia" w:ascii="Times New Roman" w:hAnsi="Times New Roman"/>
          <w:szCs w:val="32"/>
          <w:lang w:bidi="ar"/>
        </w:rPr>
        <w:t>依照法律法规和合同约定享有相应的数据资源持有权、数据加工使用权和数据产品经营权；</w:t>
      </w:r>
    </w:p>
    <w:p>
      <w:pPr>
        <w:pStyle w:val="2"/>
        <w:numPr>
          <w:ilvl w:val="0"/>
          <w:numId w:val="5"/>
        </w:numPr>
        <w:tabs>
          <w:tab w:val="left" w:pos="567"/>
        </w:tabs>
        <w:spacing w:line="600" w:lineRule="exact"/>
        <w:ind w:left="0" w:firstLine="640"/>
        <w:rPr>
          <w:rFonts w:ascii="Times New Roman" w:hAnsi="Times New Roman"/>
          <w:szCs w:val="32"/>
          <w:lang w:bidi="ar"/>
        </w:rPr>
      </w:pPr>
      <w:r>
        <w:rPr>
          <w:rFonts w:hint="eastAsia" w:ascii="Times New Roman" w:hAnsi="Times New Roman"/>
          <w:szCs w:val="32"/>
          <w:lang w:bidi="ar"/>
        </w:rPr>
        <w:t>经登记机构审核后，获取数据资源或数据产品登记证书、数据资源许可凭证，作为数据交易、融资抵押、数据资产入表、会计核算、争议仲裁的重要依据。</w:t>
      </w:r>
    </w:p>
    <w:p>
      <w:pPr>
        <w:pStyle w:val="5"/>
        <w:keepNext w:val="0"/>
        <w:keepLines w:val="0"/>
        <w:adjustRightInd/>
        <w:snapToGrid/>
        <w:ind w:left="-142" w:firstLine="640"/>
        <w:rPr>
          <w:rFonts w:cs="Times New Roman"/>
          <w:bCs w:val="0"/>
          <w:color w:val="000000"/>
        </w:rPr>
      </w:pPr>
      <w:r>
        <w:rPr>
          <w:rFonts w:hint="eastAsia" w:cs="Times New Roman"/>
          <w:bCs w:val="0"/>
          <w:color w:val="000000"/>
        </w:rPr>
        <w:t>【登记主体义务】</w:t>
      </w:r>
    </w:p>
    <w:p>
      <w:pPr>
        <w:ind w:firstLine="640"/>
      </w:pPr>
      <w:r>
        <w:rPr>
          <w:rFonts w:hint="eastAsia"/>
        </w:rPr>
        <w:t>登记主体具有以下义务：</w:t>
      </w:r>
    </w:p>
    <w:p>
      <w:pPr>
        <w:pStyle w:val="2"/>
        <w:spacing w:line="600" w:lineRule="exact"/>
        <w:ind w:firstLine="640"/>
        <w:rPr>
          <w:rFonts w:ascii="Times New Roman" w:hAnsi="Times New Roman"/>
          <w:szCs w:val="32"/>
          <w:lang w:bidi="ar"/>
        </w:rPr>
      </w:pPr>
      <w:r>
        <w:rPr>
          <w:rFonts w:hint="eastAsia" w:ascii="Times New Roman" w:hAnsi="Times New Roman"/>
          <w:szCs w:val="32"/>
          <w:lang w:bidi="ar"/>
        </w:rPr>
        <w:t>（一）登记主体应确保登记申请材料及登记内容的真实性和完整性，确保所登记的数据资源或产品来源合法、内容合规、授权明晰；</w:t>
      </w:r>
    </w:p>
    <w:p>
      <w:pPr>
        <w:pStyle w:val="2"/>
        <w:spacing w:line="600" w:lineRule="exact"/>
        <w:ind w:firstLine="640"/>
        <w:rPr>
          <w:rFonts w:ascii="Times New Roman" w:hAnsi="Times New Roman"/>
          <w:szCs w:val="32"/>
          <w:lang w:bidi="ar"/>
        </w:rPr>
      </w:pPr>
      <w:r>
        <w:rPr>
          <w:rFonts w:hint="eastAsia" w:ascii="Times New Roman" w:hAnsi="Times New Roman"/>
          <w:szCs w:val="32"/>
          <w:lang w:bidi="ar"/>
        </w:rPr>
        <w:t>（二）数据资源或产品登记后，登记主体需在保护公共利益、数据安全和数据来源者合法权益的前提下，使用或授权他人使用数据资源，依法使用和处分数据产品。</w:t>
      </w:r>
    </w:p>
    <w:p>
      <w:pPr>
        <w:pStyle w:val="2"/>
        <w:spacing w:line="600" w:lineRule="exact"/>
        <w:ind w:firstLine="640"/>
        <w:rPr>
          <w:rFonts w:hint="eastAsia" w:ascii="Times New Roman" w:hAnsi="Times New Roman"/>
          <w:szCs w:val="32"/>
          <w:lang w:bidi="ar"/>
        </w:rPr>
      </w:pPr>
    </w:p>
    <w:p>
      <w:pPr>
        <w:pStyle w:val="3"/>
        <w:spacing w:before="217" w:after="217"/>
        <w:ind w:left="0"/>
      </w:pPr>
      <w:r>
        <w:rPr>
          <w:rFonts w:hint="eastAsia"/>
        </w:rPr>
        <w:t>登记机构</w:t>
      </w:r>
    </w:p>
    <w:p>
      <w:pPr>
        <w:pStyle w:val="5"/>
        <w:keepNext w:val="0"/>
        <w:keepLines w:val="0"/>
        <w:adjustRightInd/>
        <w:snapToGrid/>
        <w:ind w:firstLine="640"/>
        <w:rPr>
          <w:rFonts w:cs="Times New Roman"/>
          <w:b/>
          <w:bCs w:val="0"/>
          <w:color w:val="000000"/>
        </w:rPr>
      </w:pPr>
      <w:r>
        <w:rPr>
          <w:rFonts w:hint="eastAsia" w:cs="Times New Roman"/>
          <w:bCs w:val="0"/>
          <w:color w:val="000000"/>
        </w:rPr>
        <w:t>【登记机构职能】</w:t>
      </w:r>
    </w:p>
    <w:p>
      <w:pPr>
        <w:pStyle w:val="2"/>
        <w:spacing w:line="600" w:lineRule="exact"/>
        <w:ind w:firstLine="640"/>
        <w:rPr>
          <w:rFonts w:ascii="Times New Roman" w:hAnsi="Times New Roman"/>
          <w:szCs w:val="32"/>
        </w:rPr>
      </w:pPr>
      <w:r>
        <w:rPr>
          <w:rFonts w:hint="eastAsia" w:ascii="Times New Roman" w:hAnsi="Times New Roman"/>
          <w:szCs w:val="32"/>
        </w:rPr>
        <w:t>登记机构履行下列职能：</w:t>
      </w:r>
    </w:p>
    <w:p>
      <w:pPr>
        <w:pStyle w:val="2"/>
        <w:spacing w:line="600" w:lineRule="exact"/>
        <w:ind w:firstLine="566" w:firstLineChars="177"/>
        <w:rPr>
          <w:rFonts w:ascii="Times New Roman" w:hAnsi="Times New Roman"/>
          <w:szCs w:val="32"/>
        </w:rPr>
      </w:pPr>
      <w:r>
        <w:rPr>
          <w:rFonts w:hint="eastAsia" w:ascii="Times New Roman" w:hAnsi="Times New Roman"/>
          <w:szCs w:val="32"/>
        </w:rPr>
        <w:t>（一）实行数据资源和数据产品登记管理，制定并执行数据登记服务、登记审查、争议处置等业务规则，</w:t>
      </w:r>
      <w:r>
        <w:rPr>
          <w:rFonts w:hint="eastAsia" w:ascii="Times New Roman" w:hAnsi="Times New Roman"/>
        </w:rPr>
        <w:t>推动我市登记规则与其他城市登记规则互认和交易规则衔接；</w:t>
      </w:r>
    </w:p>
    <w:p>
      <w:pPr>
        <w:pStyle w:val="2"/>
        <w:spacing w:line="600" w:lineRule="exact"/>
        <w:ind w:firstLine="566" w:firstLineChars="177"/>
        <w:rPr>
          <w:rFonts w:ascii="Times New Roman" w:hAnsi="Times New Roman"/>
          <w:szCs w:val="32"/>
        </w:rPr>
      </w:pPr>
      <w:r>
        <w:rPr>
          <w:rFonts w:hint="eastAsia" w:ascii="Times New Roman" w:hAnsi="Times New Roman"/>
          <w:szCs w:val="32"/>
        </w:rPr>
        <w:t>（二）数据资源和数据产品登记的申请、受理、审查、公示和发证；</w:t>
      </w:r>
    </w:p>
    <w:p>
      <w:pPr>
        <w:pStyle w:val="2"/>
        <w:spacing w:line="600" w:lineRule="exact"/>
        <w:ind w:firstLine="566" w:firstLineChars="177"/>
        <w:rPr>
          <w:rFonts w:ascii="Times New Roman" w:hAnsi="Times New Roman"/>
          <w:szCs w:val="32"/>
        </w:rPr>
      </w:pPr>
      <w:r>
        <w:rPr>
          <w:rFonts w:hint="eastAsia" w:ascii="Times New Roman" w:hAnsi="Times New Roman"/>
          <w:szCs w:val="32"/>
        </w:rPr>
        <w:t>（三）依法提供与数据产权登记业务有关的查询、信息、咨询和培训服务；</w:t>
      </w:r>
    </w:p>
    <w:p>
      <w:pPr>
        <w:pStyle w:val="2"/>
        <w:spacing w:line="600" w:lineRule="exact"/>
        <w:ind w:firstLine="566" w:firstLineChars="177"/>
        <w:rPr>
          <w:szCs w:val="32"/>
        </w:rPr>
      </w:pPr>
      <w:r>
        <w:rPr>
          <w:rFonts w:hint="eastAsia" w:ascii="Times New Roman" w:hAnsi="Times New Roman"/>
          <w:szCs w:val="32"/>
        </w:rPr>
        <w:t>（四）运营和维护数据产权登记存证平台，</w:t>
      </w:r>
      <w:r>
        <w:rPr>
          <w:rFonts w:hint="eastAsia"/>
          <w:color w:val="000000" w:themeColor="text1"/>
          <w:szCs w:val="32"/>
          <w14:textFill>
            <w14:solidFill>
              <w14:schemeClr w14:val="tx1"/>
            </w14:solidFill>
          </w14:textFill>
        </w:rPr>
        <w:t>实现与市内外数据交易平台和数据登记平台互联；</w:t>
      </w:r>
      <w:r>
        <w:rPr>
          <w:rFonts w:hint="eastAsia" w:ascii="Times New Roman" w:hAnsi="Times New Roman"/>
          <w:szCs w:val="32"/>
        </w:rPr>
        <w:t>建立登记信息内部控制制度，采取技术措施和其他必要措施，保障系统安全、稳定运行；</w:t>
      </w:r>
    </w:p>
    <w:p>
      <w:pPr>
        <w:pStyle w:val="2"/>
        <w:spacing w:line="600" w:lineRule="exact"/>
        <w:ind w:firstLine="566" w:firstLineChars="177"/>
        <w:rPr>
          <w:szCs w:val="32"/>
        </w:rPr>
      </w:pPr>
      <w:r>
        <w:rPr>
          <w:rFonts w:hint="eastAsia" w:ascii="Times New Roman" w:hAnsi="Times New Roman"/>
          <w:szCs w:val="32"/>
        </w:rPr>
        <w:t>（五）</w:t>
      </w:r>
      <w:r>
        <w:rPr>
          <w:rFonts w:hint="eastAsia"/>
          <w:szCs w:val="32"/>
        </w:rPr>
        <w:t>在数据产权登记工作主管部门指导下制定完善第三方服务机构管理指南，承担</w:t>
      </w:r>
      <w:r>
        <w:rPr>
          <w:rFonts w:hint="eastAsia" w:ascii="Times New Roman" w:hAnsi="Times New Roman"/>
          <w:szCs w:val="32"/>
        </w:rPr>
        <w:t>第三方服务机构</w:t>
      </w:r>
      <w:r>
        <w:rPr>
          <w:rFonts w:hint="eastAsia"/>
          <w:szCs w:val="32"/>
        </w:rPr>
        <w:t>的日常管理工作，配合行政管理部门和执法部门对</w:t>
      </w:r>
      <w:r>
        <w:rPr>
          <w:rFonts w:hint="eastAsia" w:ascii="Times New Roman" w:hAnsi="Times New Roman"/>
          <w:szCs w:val="32"/>
        </w:rPr>
        <w:t>第三方服务机构</w:t>
      </w:r>
      <w:r>
        <w:rPr>
          <w:rFonts w:hint="eastAsia"/>
          <w:szCs w:val="32"/>
        </w:rPr>
        <w:t>违规违法行为进行处罚；</w:t>
      </w:r>
    </w:p>
    <w:p>
      <w:pPr>
        <w:pStyle w:val="2"/>
        <w:spacing w:line="600" w:lineRule="exact"/>
        <w:ind w:firstLine="566" w:firstLineChars="177"/>
        <w:rPr>
          <w:szCs w:val="32"/>
        </w:rPr>
      </w:pPr>
      <w:r>
        <w:rPr>
          <w:rFonts w:hint="eastAsia"/>
          <w:szCs w:val="32"/>
        </w:rPr>
        <w:t>（六）研究完善数据产权登记新方式，探索将数据要素登记应用于企业数据资产确认、融资抵押、数据要素型企业认定和数据生产要素统计核算等；</w:t>
      </w:r>
    </w:p>
    <w:p>
      <w:pPr>
        <w:pStyle w:val="2"/>
        <w:spacing w:line="600" w:lineRule="exact"/>
        <w:ind w:firstLine="566" w:firstLineChars="177"/>
        <w:rPr>
          <w:rFonts w:ascii="Times New Roman" w:hAnsi="Times New Roman"/>
          <w:szCs w:val="32"/>
        </w:rPr>
      </w:pPr>
      <w:r>
        <w:rPr>
          <w:rFonts w:hint="eastAsia" w:ascii="Times New Roman" w:hAnsi="Times New Roman"/>
          <w:szCs w:val="32"/>
        </w:rPr>
        <w:t>（七）经主管部门批准的其他业务。</w:t>
      </w:r>
    </w:p>
    <w:p>
      <w:pPr>
        <w:pStyle w:val="5"/>
        <w:keepNext w:val="0"/>
        <w:keepLines w:val="0"/>
        <w:adjustRightInd/>
        <w:snapToGrid/>
        <w:ind w:firstLine="640"/>
        <w:rPr>
          <w:rFonts w:cs="Times New Roman"/>
          <w:b/>
          <w:bCs w:val="0"/>
          <w:color w:val="000000"/>
        </w:rPr>
      </w:pPr>
      <w:r>
        <w:rPr>
          <w:rFonts w:hint="eastAsia" w:cs="Times New Roman"/>
          <w:bCs w:val="0"/>
          <w:color w:val="000000"/>
        </w:rPr>
        <w:t>【登记信息保存】</w:t>
      </w:r>
    </w:p>
    <w:p>
      <w:pPr>
        <w:pStyle w:val="2"/>
        <w:ind w:firstLine="640"/>
        <w:rPr>
          <w:rFonts w:ascii="方正黑体_GBK" w:hAnsi="方正黑体_GBK" w:eastAsia="方正黑体_GBK" w:cs="方正黑体_GBK"/>
          <w:szCs w:val="32"/>
        </w:rPr>
      </w:pPr>
      <w:r>
        <w:rPr>
          <w:rFonts w:hint="eastAsia" w:ascii="Times New Roman" w:hAnsi="Times New Roman"/>
          <w:szCs w:val="32"/>
        </w:rPr>
        <w:t>登记机构应当运用区块链等相关技术，对登记信息进行上链保存，并妥善保存登记的原始凭证及有关文件和资料。其保存期限不得少于三十年。法律法规另有规定的，依照其规定。</w:t>
      </w:r>
    </w:p>
    <w:p>
      <w:pPr>
        <w:pStyle w:val="5"/>
        <w:keepNext w:val="0"/>
        <w:keepLines w:val="0"/>
        <w:adjustRightInd/>
        <w:snapToGrid/>
        <w:ind w:firstLine="640"/>
        <w:rPr>
          <w:rFonts w:cs="Times New Roman"/>
          <w:b/>
          <w:bCs w:val="0"/>
          <w:color w:val="000000"/>
        </w:rPr>
      </w:pPr>
      <w:r>
        <w:rPr>
          <w:rFonts w:hint="eastAsia" w:cs="Times New Roman"/>
          <w:bCs w:val="0"/>
          <w:color w:val="000000"/>
        </w:rPr>
        <w:t>【公开事项】</w:t>
      </w:r>
    </w:p>
    <w:p>
      <w:pPr>
        <w:pStyle w:val="2"/>
        <w:spacing w:line="600" w:lineRule="exact"/>
        <w:ind w:firstLine="640"/>
        <w:rPr>
          <w:rFonts w:ascii="Times New Roman" w:hAnsi="Times New Roman"/>
          <w:szCs w:val="32"/>
        </w:rPr>
      </w:pPr>
      <w:r>
        <w:rPr>
          <w:rFonts w:hint="eastAsia" w:ascii="Times New Roman" w:hAnsi="Times New Roman"/>
          <w:szCs w:val="32"/>
        </w:rPr>
        <w:t>登记机构应当公开业务规则、与数据产权登记业务有关的主要收费项目和标准。</w:t>
      </w:r>
    </w:p>
    <w:p>
      <w:pPr>
        <w:pStyle w:val="2"/>
        <w:spacing w:line="600" w:lineRule="exact"/>
        <w:ind w:firstLine="640"/>
        <w:rPr>
          <w:rFonts w:ascii="Times New Roman" w:hAnsi="Times New Roman"/>
          <w:szCs w:val="32"/>
        </w:rPr>
      </w:pPr>
      <w:r>
        <w:rPr>
          <w:rFonts w:hint="eastAsia" w:ascii="Times New Roman" w:hAnsi="Times New Roman"/>
          <w:szCs w:val="32"/>
        </w:rPr>
        <w:t>登记机构制定或者变更业务规则、调整数据产权登记主要收费项目和标准等，应当征求相关市场参与人的意见并报主管部门</w:t>
      </w:r>
      <w:r>
        <w:rPr>
          <w:rFonts w:ascii="Times New Roman" w:hAnsi="Times New Roman"/>
          <w:szCs w:val="32"/>
        </w:rPr>
        <w:t>备案</w:t>
      </w:r>
      <w:r>
        <w:rPr>
          <w:rFonts w:hint="eastAsia" w:ascii="Times New Roman" w:hAnsi="Times New Roman"/>
          <w:szCs w:val="32"/>
        </w:rPr>
        <w:t>。</w:t>
      </w:r>
    </w:p>
    <w:p>
      <w:pPr>
        <w:pStyle w:val="5"/>
        <w:keepNext w:val="0"/>
        <w:keepLines w:val="0"/>
        <w:adjustRightInd/>
        <w:snapToGrid/>
        <w:ind w:firstLine="640"/>
        <w:rPr>
          <w:rFonts w:cs="Times New Roman"/>
          <w:b/>
          <w:bCs w:val="0"/>
          <w:color w:val="000000"/>
        </w:rPr>
      </w:pPr>
      <w:r>
        <w:rPr>
          <w:rFonts w:hint="eastAsia" w:cs="Times New Roman"/>
          <w:bCs w:val="0"/>
          <w:color w:val="000000"/>
        </w:rPr>
        <w:t>【保密义务】</w:t>
      </w:r>
    </w:p>
    <w:p>
      <w:pPr>
        <w:pStyle w:val="2"/>
        <w:spacing w:line="600" w:lineRule="exact"/>
        <w:ind w:firstLine="640"/>
        <w:rPr>
          <w:rFonts w:ascii="Times New Roman" w:hAnsi="Times New Roman"/>
          <w:szCs w:val="32"/>
        </w:rPr>
      </w:pPr>
      <w:r>
        <w:rPr>
          <w:rFonts w:hint="eastAsia" w:ascii="Times New Roman" w:hAnsi="Times New Roman"/>
          <w:szCs w:val="32"/>
        </w:rPr>
        <w:t>登记机构及其工作人员依法对与数据产权登记业务有关的数据</w:t>
      </w:r>
      <w:r>
        <w:rPr>
          <w:rFonts w:ascii="Times New Roman" w:hAnsi="Times New Roman"/>
          <w:szCs w:val="32"/>
        </w:rPr>
        <w:t>、</w:t>
      </w:r>
      <w:r>
        <w:rPr>
          <w:rFonts w:hint="eastAsia" w:ascii="Times New Roman" w:hAnsi="Times New Roman"/>
          <w:szCs w:val="32"/>
        </w:rPr>
        <w:t>文件和资料负有保密义务。但有下列情形之一的，登记机构应当办理：</w:t>
      </w:r>
    </w:p>
    <w:p>
      <w:pPr>
        <w:pStyle w:val="2"/>
        <w:spacing w:line="600" w:lineRule="exact"/>
        <w:ind w:firstLine="640"/>
        <w:rPr>
          <w:rFonts w:ascii="Times New Roman" w:hAnsi="Times New Roman"/>
          <w:szCs w:val="32"/>
        </w:rPr>
      </w:pPr>
      <w:r>
        <w:rPr>
          <w:rFonts w:hint="eastAsia" w:ascii="Times New Roman" w:hAnsi="Times New Roman"/>
          <w:szCs w:val="32"/>
        </w:rPr>
        <w:t>（一）登记</w:t>
      </w:r>
      <w:r>
        <w:rPr>
          <w:rFonts w:ascii="Times New Roman" w:hAnsi="Times New Roman"/>
          <w:szCs w:val="32"/>
        </w:rPr>
        <w:t>主体</w:t>
      </w:r>
      <w:r>
        <w:rPr>
          <w:rFonts w:hint="eastAsia" w:ascii="Times New Roman" w:hAnsi="Times New Roman"/>
          <w:szCs w:val="32"/>
        </w:rPr>
        <w:t>查询其有关数据和资料；</w:t>
      </w:r>
    </w:p>
    <w:p>
      <w:pPr>
        <w:pStyle w:val="2"/>
        <w:spacing w:line="600" w:lineRule="exact"/>
        <w:ind w:firstLine="640"/>
        <w:rPr>
          <w:rFonts w:ascii="Times New Roman" w:hAnsi="Times New Roman"/>
          <w:szCs w:val="32"/>
        </w:rPr>
      </w:pPr>
      <w:r>
        <w:rPr>
          <w:rFonts w:hint="eastAsia" w:ascii="Times New Roman" w:hAnsi="Times New Roman"/>
          <w:szCs w:val="32"/>
        </w:rPr>
        <w:t>（二）数据交易场所履行准入审查职责要求登记机构提供相关数据和资料；</w:t>
      </w:r>
    </w:p>
    <w:p>
      <w:pPr>
        <w:pStyle w:val="2"/>
        <w:spacing w:line="600" w:lineRule="exact"/>
        <w:ind w:firstLine="640"/>
        <w:rPr>
          <w:rFonts w:ascii="Times New Roman" w:hAnsi="Times New Roman"/>
          <w:szCs w:val="32"/>
        </w:rPr>
      </w:pPr>
      <w:r>
        <w:rPr>
          <w:rFonts w:hint="eastAsia" w:ascii="Times New Roman" w:hAnsi="Times New Roman"/>
          <w:szCs w:val="32"/>
        </w:rPr>
        <w:t>（三）人民法院、人民检察院、公安机关和主管部门等依照法定的条件和程序进行查询和取证</w:t>
      </w:r>
      <w:r>
        <w:rPr>
          <w:rFonts w:ascii="Times New Roman" w:hAnsi="Times New Roman"/>
          <w:szCs w:val="32"/>
        </w:rPr>
        <w:t>。</w:t>
      </w:r>
    </w:p>
    <w:p>
      <w:pPr>
        <w:pStyle w:val="3"/>
        <w:spacing w:before="217" w:after="217"/>
        <w:ind w:left="0"/>
      </w:pPr>
      <w:r>
        <w:rPr>
          <w:rFonts w:hint="eastAsia"/>
        </w:rPr>
        <w:t>登记行为</w:t>
      </w:r>
    </w:p>
    <w:p>
      <w:pPr>
        <w:pStyle w:val="5"/>
        <w:keepNext w:val="0"/>
        <w:keepLines w:val="0"/>
        <w:adjustRightInd/>
        <w:snapToGrid/>
        <w:ind w:firstLine="640"/>
        <w:rPr>
          <w:rFonts w:cs="Times New Roman"/>
          <w:color w:val="000000"/>
        </w:rPr>
      </w:pPr>
      <w:r>
        <w:rPr>
          <w:rFonts w:hint="eastAsia" w:cs="Times New Roman"/>
          <w:color w:val="000000"/>
        </w:rPr>
        <w:t>【登记编号】</w:t>
      </w:r>
    </w:p>
    <w:p>
      <w:pPr>
        <w:ind w:firstLine="640"/>
      </w:pPr>
      <w:r>
        <w:rPr>
          <w:rFonts w:hint="eastAsia"/>
        </w:rPr>
        <w:t>数据产权登记以一项数据资源或数据产品为登记单位，每个登记单位拥有唯一的登记编号。</w:t>
      </w:r>
    </w:p>
    <w:p>
      <w:pPr>
        <w:pStyle w:val="5"/>
        <w:keepNext w:val="0"/>
        <w:keepLines w:val="0"/>
        <w:adjustRightInd/>
        <w:snapToGrid/>
        <w:ind w:firstLine="640"/>
        <w:rPr>
          <w:rFonts w:cs="Times New Roman"/>
          <w:b/>
          <w:bCs w:val="0"/>
          <w:color w:val="000000"/>
        </w:rPr>
      </w:pPr>
      <w:r>
        <w:rPr>
          <w:rFonts w:hint="eastAsia" w:cs="Times New Roman"/>
          <w:bCs w:val="0"/>
          <w:color w:val="000000"/>
        </w:rPr>
        <w:t>【登记类型】</w:t>
      </w:r>
    </w:p>
    <w:p>
      <w:pPr>
        <w:ind w:firstLine="640"/>
      </w:pPr>
      <w:r>
        <w:rPr>
          <w:rFonts w:hint="eastAsia"/>
        </w:rPr>
        <w:t>数据产权登记类型包括首次登记、许可登记、转移登记、变更登记、注销登记和异议登记。办理许可登记、转移登记、变更登记、注销登记和异议登记前，需办理首次登记。</w:t>
      </w:r>
    </w:p>
    <w:p>
      <w:pPr>
        <w:pStyle w:val="5"/>
        <w:keepNext w:val="0"/>
        <w:keepLines w:val="0"/>
        <w:adjustRightInd/>
        <w:snapToGrid/>
        <w:ind w:firstLine="640"/>
        <w:rPr>
          <w:rFonts w:cs="Times New Roman"/>
          <w:b/>
          <w:bCs w:val="0"/>
          <w:color w:val="000000"/>
        </w:rPr>
      </w:pPr>
      <w:r>
        <w:rPr>
          <w:rFonts w:hint="eastAsia" w:cs="Times New Roman"/>
          <w:bCs w:val="0"/>
          <w:color w:val="000000"/>
        </w:rPr>
        <w:t>【首次登记】</w:t>
      </w:r>
    </w:p>
    <w:p>
      <w:pPr>
        <w:pStyle w:val="2"/>
        <w:ind w:firstLine="640"/>
      </w:pPr>
      <w:r>
        <w:rPr>
          <w:rFonts w:hint="eastAsia"/>
          <w:szCs w:val="32"/>
        </w:rPr>
        <w:t>首次登记是指数据资源或数据产品的第一次登记。</w:t>
      </w:r>
      <w:r>
        <w:rPr>
          <w:rFonts w:hint="eastAsia"/>
        </w:rPr>
        <w:t>数据资源首次登记包括数据资源持有权的归属情况，数据产品首次登记包括数据产品经营权的归属情况。</w:t>
      </w:r>
    </w:p>
    <w:p>
      <w:pPr>
        <w:pStyle w:val="14"/>
        <w:shd w:val="clear" w:color="auto" w:fill="FFFFFF"/>
        <w:spacing w:before="0" w:beforeAutospacing="0" w:after="0" w:afterAutospacing="0" w:line="600" w:lineRule="exact"/>
        <w:ind w:firstLine="640" w:firstLineChars="200"/>
        <w:jc w:val="both"/>
        <w:rPr>
          <w:rFonts w:hAnsi="Courier New" w:eastAsia="仿宋_GB2312" w:cstheme="minorBidi"/>
          <w:kern w:val="2"/>
          <w:sz w:val="32"/>
          <w:szCs w:val="32"/>
        </w:rPr>
      </w:pPr>
      <w:r>
        <w:rPr>
          <w:rFonts w:hint="eastAsia" w:hAnsi="Courier New" w:eastAsia="仿宋_GB2312" w:cstheme="minorBidi"/>
          <w:kern w:val="2"/>
          <w:sz w:val="32"/>
          <w:szCs w:val="32"/>
        </w:rPr>
        <w:t>首次登记</w:t>
      </w:r>
      <w:bookmarkStart w:id="2" w:name="_Hlk120890346"/>
      <w:r>
        <w:rPr>
          <w:rFonts w:hint="eastAsia" w:hAnsi="Courier New" w:eastAsia="仿宋_GB2312" w:cstheme="minorBidi"/>
          <w:kern w:val="2"/>
          <w:sz w:val="32"/>
          <w:szCs w:val="32"/>
        </w:rPr>
        <w:t>程序为</w:t>
      </w:r>
      <w:bookmarkEnd w:id="2"/>
      <w:r>
        <w:rPr>
          <w:rFonts w:hint="eastAsia" w:hAnsi="Courier New" w:eastAsia="仿宋_GB2312" w:cstheme="minorBidi"/>
          <w:kern w:val="2"/>
          <w:sz w:val="32"/>
          <w:szCs w:val="32"/>
        </w:rPr>
        <w:t>申请、受理、审查、公示和发证。首次登记申请</w:t>
      </w:r>
      <w:r>
        <w:rPr>
          <w:rFonts w:hAnsi="Courier New" w:eastAsia="仿宋_GB2312" w:cstheme="minorBidi"/>
          <w:kern w:val="2"/>
          <w:sz w:val="32"/>
          <w:szCs w:val="32"/>
        </w:rPr>
        <w:t>主体</w:t>
      </w:r>
      <w:r>
        <w:rPr>
          <w:rFonts w:hint="eastAsia" w:hAnsi="Courier New" w:eastAsia="仿宋_GB2312" w:cstheme="minorBidi"/>
          <w:kern w:val="2"/>
          <w:sz w:val="32"/>
          <w:szCs w:val="32"/>
        </w:rPr>
        <w:t>为数据资源或数据产品的持有人。申请</w:t>
      </w:r>
      <w:r>
        <w:rPr>
          <w:rFonts w:hAnsi="Courier New" w:eastAsia="仿宋_GB2312" w:cstheme="minorBidi"/>
          <w:kern w:val="2"/>
          <w:sz w:val="32"/>
          <w:szCs w:val="32"/>
        </w:rPr>
        <w:t>主体</w:t>
      </w:r>
      <w:r>
        <w:rPr>
          <w:rFonts w:hint="eastAsia" w:hAnsi="Courier New" w:eastAsia="仿宋_GB2312" w:cstheme="minorBidi"/>
          <w:kern w:val="2"/>
          <w:sz w:val="32"/>
          <w:szCs w:val="32"/>
        </w:rPr>
        <w:t>办理登记前，应当与其他利害关系人就登记内容达成一致。</w:t>
      </w:r>
    </w:p>
    <w:p>
      <w:pPr>
        <w:pStyle w:val="14"/>
        <w:shd w:val="clear" w:color="auto" w:fill="FFFFFF"/>
        <w:spacing w:before="0" w:beforeAutospacing="0" w:after="0" w:afterAutospacing="0" w:line="600" w:lineRule="exact"/>
        <w:ind w:firstLine="640" w:firstLineChars="200"/>
        <w:jc w:val="both"/>
        <w:rPr>
          <w:rFonts w:hAnsi="Courier New" w:eastAsia="仿宋_GB2312" w:cstheme="minorBidi"/>
          <w:kern w:val="2"/>
          <w:sz w:val="32"/>
          <w:szCs w:val="32"/>
        </w:rPr>
      </w:pPr>
      <w:r>
        <w:rPr>
          <w:rFonts w:hint="eastAsia" w:hAnsi="Courier New" w:eastAsia="仿宋_GB2312" w:cstheme="minorBidi"/>
          <w:kern w:val="2"/>
          <w:sz w:val="32"/>
          <w:szCs w:val="32"/>
        </w:rPr>
        <w:t>申请首次登记的登记主体应当提交下列材料：</w:t>
      </w:r>
    </w:p>
    <w:p>
      <w:pPr>
        <w:pStyle w:val="14"/>
        <w:numPr>
          <w:ilvl w:val="0"/>
          <w:numId w:val="6"/>
        </w:numPr>
        <w:shd w:val="clear" w:color="auto" w:fill="FFFFFF"/>
        <w:spacing w:before="0" w:beforeAutospacing="0" w:after="0" w:afterAutospacing="0" w:line="600" w:lineRule="exact"/>
        <w:ind w:left="0" w:firstLine="709"/>
        <w:jc w:val="both"/>
        <w:rPr>
          <w:rFonts w:hAnsi="Courier New" w:eastAsia="仿宋_GB2312" w:cstheme="minorBidi"/>
          <w:kern w:val="2"/>
          <w:sz w:val="32"/>
          <w:szCs w:val="32"/>
        </w:rPr>
      </w:pPr>
      <w:r>
        <w:rPr>
          <w:rFonts w:hint="eastAsia" w:hAnsi="Courier New" w:eastAsia="仿宋_GB2312" w:cstheme="minorBidi"/>
          <w:kern w:val="2"/>
          <w:sz w:val="32"/>
          <w:szCs w:val="32"/>
        </w:rPr>
        <w:t>首次登记申请表；</w:t>
      </w:r>
    </w:p>
    <w:p>
      <w:pPr>
        <w:pStyle w:val="14"/>
        <w:numPr>
          <w:ilvl w:val="0"/>
          <w:numId w:val="6"/>
        </w:numPr>
        <w:shd w:val="clear" w:color="auto" w:fill="FFFFFF"/>
        <w:spacing w:before="0" w:beforeAutospacing="0" w:after="0" w:afterAutospacing="0" w:line="600" w:lineRule="exact"/>
        <w:ind w:left="0" w:firstLine="709"/>
        <w:jc w:val="both"/>
        <w:rPr>
          <w:rFonts w:hAnsi="Courier New" w:eastAsia="仿宋_GB2312" w:cstheme="minorBidi"/>
          <w:kern w:val="2"/>
          <w:sz w:val="32"/>
          <w:szCs w:val="32"/>
        </w:rPr>
      </w:pPr>
      <w:r>
        <w:rPr>
          <w:rFonts w:hint="eastAsia" w:hAnsi="Courier New" w:eastAsia="仿宋_GB2312" w:cstheme="minorBidi"/>
          <w:kern w:val="2"/>
          <w:sz w:val="32"/>
          <w:szCs w:val="32"/>
        </w:rPr>
        <w:t>若为数据资源首次登记，提交数据资源基本信息表，主要内容包括数据来源、数据规模、所属行业、覆盖地区、时间跨度等；</w:t>
      </w:r>
    </w:p>
    <w:p>
      <w:pPr>
        <w:pStyle w:val="14"/>
        <w:numPr>
          <w:ilvl w:val="0"/>
          <w:numId w:val="6"/>
        </w:numPr>
        <w:shd w:val="clear" w:color="auto" w:fill="FFFFFF"/>
        <w:spacing w:before="0" w:beforeAutospacing="0" w:after="0" w:afterAutospacing="0" w:line="600" w:lineRule="exact"/>
        <w:ind w:left="0" w:firstLine="709"/>
        <w:jc w:val="both"/>
        <w:rPr>
          <w:rFonts w:hAnsi="Courier New" w:eastAsia="仿宋_GB2312" w:cstheme="minorBidi"/>
          <w:kern w:val="2"/>
          <w:sz w:val="32"/>
          <w:szCs w:val="32"/>
        </w:rPr>
      </w:pPr>
      <w:r>
        <w:rPr>
          <w:rFonts w:hint="eastAsia" w:hAnsi="Courier New" w:eastAsia="仿宋_GB2312" w:cstheme="minorBidi"/>
          <w:kern w:val="2"/>
          <w:sz w:val="32"/>
          <w:szCs w:val="32"/>
        </w:rPr>
        <w:t>若为数据产品首次登记，提交数据产品基本信息表，主要内容包括所属行业、覆盖地区、数据来源取得方式等；</w:t>
      </w:r>
    </w:p>
    <w:p>
      <w:pPr>
        <w:pStyle w:val="14"/>
        <w:numPr>
          <w:ilvl w:val="0"/>
          <w:numId w:val="6"/>
        </w:numPr>
        <w:shd w:val="clear" w:color="auto" w:fill="FFFFFF"/>
        <w:spacing w:before="0" w:beforeAutospacing="0" w:after="0" w:afterAutospacing="0" w:line="600" w:lineRule="exact"/>
        <w:ind w:left="0" w:firstLine="709"/>
        <w:jc w:val="both"/>
        <w:rPr>
          <w:rFonts w:hAnsi="Courier New" w:eastAsia="仿宋_GB2312" w:cstheme="minorBidi"/>
          <w:kern w:val="2"/>
          <w:sz w:val="32"/>
          <w:szCs w:val="32"/>
        </w:rPr>
      </w:pPr>
      <w:r>
        <w:rPr>
          <w:rFonts w:hint="eastAsia" w:hAnsi="Courier New" w:eastAsia="仿宋_GB2312" w:cstheme="minorBidi"/>
          <w:kern w:val="2"/>
          <w:sz w:val="32"/>
          <w:szCs w:val="32"/>
        </w:rPr>
        <w:t>数据来源材料；</w:t>
      </w:r>
    </w:p>
    <w:p>
      <w:pPr>
        <w:pStyle w:val="14"/>
        <w:numPr>
          <w:ilvl w:val="0"/>
          <w:numId w:val="6"/>
        </w:numPr>
        <w:shd w:val="clear" w:color="auto" w:fill="FFFFFF"/>
        <w:spacing w:before="0" w:beforeAutospacing="0" w:after="0" w:afterAutospacing="0" w:line="600" w:lineRule="exact"/>
        <w:ind w:left="0" w:firstLine="709"/>
        <w:jc w:val="both"/>
        <w:rPr>
          <w:rFonts w:hAnsi="Courier New" w:eastAsia="仿宋_GB2312" w:cstheme="minorBidi"/>
          <w:kern w:val="2"/>
          <w:sz w:val="32"/>
          <w:szCs w:val="32"/>
        </w:rPr>
      </w:pPr>
      <w:r>
        <w:rPr>
          <w:rFonts w:hint="eastAsia" w:hAnsi="Courier New" w:eastAsia="仿宋_GB2312" w:cstheme="minorBidi"/>
          <w:kern w:val="2"/>
          <w:sz w:val="32"/>
          <w:szCs w:val="32"/>
        </w:rPr>
        <w:t>第三方机构出具的真实性和合法性审核材料；</w:t>
      </w:r>
    </w:p>
    <w:p>
      <w:pPr>
        <w:pStyle w:val="14"/>
        <w:numPr>
          <w:ilvl w:val="0"/>
          <w:numId w:val="6"/>
        </w:numPr>
        <w:shd w:val="clear" w:color="auto" w:fill="FFFFFF"/>
        <w:spacing w:before="0" w:beforeAutospacing="0" w:after="0" w:afterAutospacing="0" w:line="600" w:lineRule="exact"/>
        <w:ind w:left="0" w:firstLine="709"/>
        <w:jc w:val="both"/>
        <w:rPr>
          <w:rFonts w:hAnsi="Courier New" w:eastAsia="仿宋_GB2312" w:cstheme="minorBidi"/>
          <w:kern w:val="2"/>
          <w:sz w:val="32"/>
          <w:szCs w:val="32"/>
        </w:rPr>
      </w:pPr>
      <w:r>
        <w:rPr>
          <w:rFonts w:hint="eastAsia" w:hAnsi="Courier New" w:eastAsia="仿宋_GB2312" w:cstheme="minorBidi"/>
          <w:kern w:val="2"/>
          <w:sz w:val="32"/>
          <w:szCs w:val="32"/>
        </w:rPr>
        <w:t>登记主体自然人身份证明或主体资格证明材料；</w:t>
      </w:r>
    </w:p>
    <w:p>
      <w:pPr>
        <w:pStyle w:val="14"/>
        <w:numPr>
          <w:ilvl w:val="0"/>
          <w:numId w:val="6"/>
        </w:numPr>
        <w:shd w:val="clear" w:color="auto" w:fill="FFFFFF"/>
        <w:spacing w:before="0" w:beforeAutospacing="0" w:after="0" w:afterAutospacing="0" w:line="600" w:lineRule="exact"/>
        <w:ind w:left="0" w:firstLine="709"/>
        <w:jc w:val="both"/>
        <w:rPr>
          <w:rFonts w:hAnsi="Courier New" w:eastAsia="仿宋_GB2312" w:cstheme="minorBidi"/>
          <w:kern w:val="2"/>
          <w:sz w:val="32"/>
          <w:szCs w:val="32"/>
        </w:rPr>
      </w:pPr>
      <w:r>
        <w:rPr>
          <w:rFonts w:hint="eastAsia" w:hAnsi="Courier New" w:eastAsia="仿宋_GB2312" w:cstheme="minorBidi"/>
          <w:kern w:val="2"/>
          <w:sz w:val="32"/>
          <w:szCs w:val="32"/>
        </w:rPr>
        <w:t>法律、行政法规以及登记机构登记实施细则规定的其他材料。</w:t>
      </w:r>
    </w:p>
    <w:p>
      <w:pPr>
        <w:pStyle w:val="14"/>
        <w:shd w:val="clear" w:color="auto" w:fill="FFFFFF"/>
        <w:spacing w:before="0" w:beforeAutospacing="0" w:after="0" w:afterAutospacing="0" w:line="600" w:lineRule="exact"/>
        <w:ind w:firstLine="640" w:firstLineChars="200"/>
        <w:rPr>
          <w:rFonts w:hAnsi="Courier New" w:eastAsia="仿宋_GB2312" w:cstheme="minorBidi"/>
          <w:kern w:val="2"/>
          <w:sz w:val="32"/>
          <w:szCs w:val="32"/>
        </w:rPr>
      </w:pPr>
      <w:r>
        <w:rPr>
          <w:rFonts w:hint="eastAsia" w:hAnsi="Courier New" w:eastAsia="仿宋_GB2312" w:cstheme="minorBidi"/>
          <w:kern w:val="2"/>
          <w:sz w:val="32"/>
          <w:szCs w:val="32"/>
        </w:rPr>
        <w:t>数据产权首次登记由第三方服务机构进行实质性审查，登记机构进行形式审查，登记申请时登记主体需提交第三方服务机构出具的真实性和合法性审核材料。</w:t>
      </w:r>
    </w:p>
    <w:p>
      <w:pPr>
        <w:pStyle w:val="5"/>
        <w:keepNext w:val="0"/>
        <w:keepLines w:val="0"/>
        <w:adjustRightInd/>
        <w:snapToGrid/>
        <w:ind w:firstLine="640"/>
        <w:rPr>
          <w:rFonts w:cs="Times New Roman"/>
          <w:b/>
          <w:bCs w:val="0"/>
          <w:color w:val="000000"/>
        </w:rPr>
      </w:pPr>
      <w:r>
        <w:rPr>
          <w:rFonts w:hint="eastAsia" w:cs="Times New Roman"/>
          <w:bCs w:val="0"/>
          <w:color w:val="000000"/>
        </w:rPr>
        <w:t>【许可登记】</w:t>
      </w:r>
    </w:p>
    <w:p>
      <w:pPr>
        <w:pStyle w:val="14"/>
        <w:shd w:val="clear" w:color="auto" w:fill="FFFFFF"/>
        <w:spacing w:before="0" w:beforeAutospacing="0" w:after="0" w:afterAutospacing="0" w:line="600" w:lineRule="exact"/>
        <w:ind w:firstLine="640" w:firstLineChars="200"/>
        <w:rPr>
          <w:rFonts w:hAnsi="Courier New" w:eastAsia="仿宋_GB2312" w:cstheme="minorBidi"/>
          <w:kern w:val="2"/>
          <w:sz w:val="32"/>
          <w:szCs w:val="32"/>
        </w:rPr>
      </w:pPr>
      <w:r>
        <w:rPr>
          <w:rFonts w:hint="eastAsia" w:hAnsi="Courier New" w:eastAsia="仿宋_GB2312" w:cstheme="minorBidi"/>
          <w:kern w:val="2"/>
          <w:sz w:val="32"/>
          <w:szCs w:val="32"/>
        </w:rPr>
        <w:t>市场主体通过交易等方式获得已登记数据资源数据加工使用权等权利许可的，权利获得主体</w:t>
      </w:r>
      <w:bookmarkStart w:id="3" w:name="_Hlk120892386"/>
      <w:r>
        <w:rPr>
          <w:rFonts w:hint="eastAsia" w:hAnsi="Courier New" w:eastAsia="仿宋_GB2312" w:cstheme="minorBidi"/>
          <w:kern w:val="2"/>
          <w:sz w:val="32"/>
          <w:szCs w:val="32"/>
        </w:rPr>
        <w:t>可以向登记机构申请许可登记。</w:t>
      </w:r>
      <w:bookmarkEnd w:id="3"/>
    </w:p>
    <w:p>
      <w:pPr>
        <w:pStyle w:val="14"/>
        <w:shd w:val="clear" w:color="auto" w:fill="FFFFFF"/>
        <w:spacing w:before="0" w:beforeAutospacing="0" w:after="0" w:afterAutospacing="0" w:line="600" w:lineRule="exact"/>
        <w:ind w:firstLine="640" w:firstLineChars="200"/>
        <w:rPr>
          <w:rFonts w:hAnsi="Courier New" w:eastAsia="仿宋_GB2312" w:cstheme="minorBidi"/>
          <w:kern w:val="2"/>
          <w:sz w:val="32"/>
          <w:szCs w:val="32"/>
        </w:rPr>
      </w:pPr>
      <w:r>
        <w:rPr>
          <w:rFonts w:hint="eastAsia" w:hAnsi="Courier New" w:eastAsia="仿宋_GB2312" w:cstheme="minorBidi"/>
          <w:kern w:val="2"/>
          <w:sz w:val="32"/>
          <w:szCs w:val="32"/>
        </w:rPr>
        <w:t>许可登记程序为申请、受理、审查和发证。</w:t>
      </w:r>
    </w:p>
    <w:p>
      <w:pPr>
        <w:pStyle w:val="14"/>
        <w:shd w:val="clear" w:color="auto" w:fill="FFFFFF"/>
        <w:spacing w:before="0" w:beforeAutospacing="0" w:after="0" w:afterAutospacing="0" w:line="600" w:lineRule="exact"/>
        <w:ind w:firstLine="640" w:firstLineChars="200"/>
        <w:rPr>
          <w:rFonts w:hAnsi="Courier New" w:eastAsia="仿宋_GB2312" w:cstheme="minorBidi"/>
          <w:kern w:val="2"/>
          <w:sz w:val="32"/>
          <w:szCs w:val="32"/>
        </w:rPr>
      </w:pPr>
      <w:r>
        <w:rPr>
          <w:rFonts w:hint="eastAsia" w:hAnsi="Courier New" w:eastAsia="仿宋_GB2312" w:cstheme="minorBidi"/>
          <w:kern w:val="2"/>
          <w:sz w:val="32"/>
          <w:szCs w:val="32"/>
        </w:rPr>
        <w:t>申请许可登记的登记主体应当提交下列材料：</w:t>
      </w:r>
    </w:p>
    <w:p>
      <w:pPr>
        <w:pStyle w:val="14"/>
        <w:numPr>
          <w:ilvl w:val="0"/>
          <w:numId w:val="7"/>
        </w:numPr>
        <w:shd w:val="clear" w:color="auto" w:fill="FFFFFF"/>
        <w:spacing w:before="0" w:beforeAutospacing="0" w:after="0" w:afterAutospacing="0" w:line="600" w:lineRule="exact"/>
        <w:ind w:left="0" w:firstLine="709"/>
        <w:rPr>
          <w:rFonts w:hAnsi="Courier New" w:eastAsia="仿宋_GB2312" w:cstheme="minorBidi"/>
          <w:kern w:val="2"/>
          <w:sz w:val="32"/>
          <w:szCs w:val="32"/>
        </w:rPr>
      </w:pPr>
      <w:bookmarkStart w:id="4" w:name="_Hlk120892652"/>
      <w:r>
        <w:rPr>
          <w:rFonts w:hint="eastAsia" w:hAnsi="Courier New" w:eastAsia="仿宋_GB2312" w:cstheme="minorBidi"/>
          <w:kern w:val="2"/>
          <w:sz w:val="32"/>
          <w:szCs w:val="32"/>
        </w:rPr>
        <w:t>许可登记申请书；</w:t>
      </w:r>
    </w:p>
    <w:p>
      <w:pPr>
        <w:pStyle w:val="14"/>
        <w:numPr>
          <w:ilvl w:val="0"/>
          <w:numId w:val="7"/>
        </w:numPr>
        <w:shd w:val="clear" w:color="auto" w:fill="FFFFFF"/>
        <w:spacing w:before="0" w:beforeAutospacing="0" w:after="0" w:afterAutospacing="0" w:line="600" w:lineRule="exact"/>
        <w:ind w:left="0" w:firstLine="709"/>
        <w:rPr>
          <w:rFonts w:hAnsi="Courier New" w:eastAsia="仿宋_GB2312" w:cstheme="minorBidi"/>
          <w:kern w:val="2"/>
          <w:sz w:val="32"/>
          <w:szCs w:val="32"/>
        </w:rPr>
      </w:pPr>
      <w:r>
        <w:rPr>
          <w:rFonts w:hint="eastAsia" w:hAnsi="Courier New" w:eastAsia="仿宋_GB2312" w:cstheme="minorBidi"/>
          <w:kern w:val="2"/>
          <w:sz w:val="32"/>
          <w:szCs w:val="32"/>
        </w:rPr>
        <w:t>许可信息表，包括许可权利人、被许可权利人、许可权益、许可方式、保密要求、使用限制、使用期限等；</w:t>
      </w:r>
    </w:p>
    <w:p>
      <w:pPr>
        <w:pStyle w:val="14"/>
        <w:numPr>
          <w:ilvl w:val="0"/>
          <w:numId w:val="7"/>
        </w:numPr>
        <w:shd w:val="clear" w:color="auto" w:fill="FFFFFF"/>
        <w:spacing w:before="0" w:beforeAutospacing="0" w:after="0" w:afterAutospacing="0" w:line="600" w:lineRule="exact"/>
        <w:ind w:left="0" w:firstLine="709"/>
        <w:rPr>
          <w:rFonts w:hAnsi="Courier New" w:eastAsia="仿宋_GB2312" w:cstheme="minorBidi"/>
          <w:kern w:val="2"/>
          <w:sz w:val="32"/>
          <w:szCs w:val="32"/>
        </w:rPr>
      </w:pPr>
      <w:r>
        <w:rPr>
          <w:rFonts w:hint="eastAsia" w:hAnsi="Courier New" w:eastAsia="仿宋_GB2312" w:cstheme="minorBidi"/>
          <w:kern w:val="2"/>
          <w:sz w:val="32"/>
          <w:szCs w:val="32"/>
        </w:rPr>
        <w:t>数据资源流通记录等许可证明材料；</w:t>
      </w:r>
    </w:p>
    <w:p>
      <w:pPr>
        <w:pStyle w:val="14"/>
        <w:numPr>
          <w:ilvl w:val="0"/>
          <w:numId w:val="7"/>
        </w:numPr>
        <w:shd w:val="clear" w:color="auto" w:fill="FFFFFF"/>
        <w:spacing w:before="0" w:beforeAutospacing="0" w:after="0" w:afterAutospacing="0" w:line="600" w:lineRule="exact"/>
        <w:ind w:left="0" w:firstLine="709"/>
        <w:rPr>
          <w:rFonts w:hAnsi="Courier New" w:eastAsia="仿宋_GB2312" w:cstheme="minorBidi"/>
          <w:kern w:val="2"/>
          <w:sz w:val="32"/>
          <w:szCs w:val="32"/>
        </w:rPr>
      </w:pPr>
      <w:r>
        <w:rPr>
          <w:rFonts w:hint="eastAsia" w:hAnsi="Courier New" w:eastAsia="仿宋_GB2312" w:cstheme="minorBidi"/>
          <w:kern w:val="2"/>
          <w:sz w:val="32"/>
          <w:szCs w:val="32"/>
        </w:rPr>
        <w:t>第三方服务机构对于许可真实性和合法性的实质性审核材料；</w:t>
      </w:r>
    </w:p>
    <w:p>
      <w:pPr>
        <w:pStyle w:val="14"/>
        <w:numPr>
          <w:ilvl w:val="0"/>
          <w:numId w:val="7"/>
        </w:numPr>
        <w:shd w:val="clear" w:color="auto" w:fill="FFFFFF"/>
        <w:spacing w:before="0" w:beforeAutospacing="0" w:after="0" w:afterAutospacing="0" w:line="600" w:lineRule="exact"/>
        <w:ind w:left="0" w:firstLine="709"/>
        <w:rPr>
          <w:rFonts w:hAnsi="Courier New" w:eastAsia="仿宋_GB2312" w:cstheme="minorBidi"/>
          <w:kern w:val="2"/>
          <w:sz w:val="32"/>
          <w:szCs w:val="32"/>
        </w:rPr>
      </w:pPr>
      <w:r>
        <w:rPr>
          <w:rFonts w:hint="eastAsia" w:hAnsi="Courier New" w:eastAsia="仿宋_GB2312" w:cstheme="minorBidi"/>
          <w:kern w:val="2"/>
          <w:sz w:val="32"/>
          <w:szCs w:val="32"/>
        </w:rPr>
        <w:t>登记主体身份证明材料；</w:t>
      </w:r>
    </w:p>
    <w:p>
      <w:pPr>
        <w:pStyle w:val="14"/>
        <w:numPr>
          <w:ilvl w:val="0"/>
          <w:numId w:val="7"/>
        </w:numPr>
        <w:shd w:val="clear" w:color="auto" w:fill="FFFFFF"/>
        <w:spacing w:before="0" w:beforeAutospacing="0" w:after="0" w:afterAutospacing="0" w:line="600" w:lineRule="exact"/>
        <w:ind w:left="0" w:firstLine="709"/>
        <w:rPr>
          <w:rFonts w:hAnsi="Courier New" w:eastAsia="仿宋_GB2312" w:cstheme="minorBidi"/>
          <w:kern w:val="2"/>
          <w:sz w:val="32"/>
          <w:szCs w:val="32"/>
        </w:rPr>
      </w:pPr>
      <w:r>
        <w:rPr>
          <w:rFonts w:hAnsi="Courier New" w:eastAsia="仿宋_GB2312" w:cstheme="minorBidi"/>
          <w:kern w:val="2"/>
          <w:sz w:val="32"/>
          <w:szCs w:val="32"/>
        </w:rPr>
        <w:t>在与登记机构衔接互认的交易场所中</w:t>
      </w:r>
      <w:r>
        <w:rPr>
          <w:rFonts w:hint="eastAsia" w:hAnsi="Courier New" w:eastAsia="仿宋_GB2312" w:cstheme="minorBidi"/>
          <w:kern w:val="2"/>
          <w:sz w:val="32"/>
          <w:szCs w:val="32"/>
        </w:rPr>
        <w:t>获得数据资源相应权利许可的，无需再次提交上述第二到第五条材料。</w:t>
      </w:r>
    </w:p>
    <w:bookmarkEnd w:id="4"/>
    <w:p>
      <w:pPr>
        <w:pStyle w:val="5"/>
        <w:keepNext w:val="0"/>
        <w:keepLines w:val="0"/>
        <w:adjustRightInd/>
        <w:snapToGrid/>
        <w:ind w:firstLine="640"/>
        <w:rPr>
          <w:rFonts w:cs="Times New Roman"/>
          <w:b/>
          <w:bCs w:val="0"/>
          <w:color w:val="000000"/>
        </w:rPr>
      </w:pPr>
      <w:r>
        <w:rPr>
          <w:rFonts w:hint="eastAsia" w:cs="Times New Roman"/>
          <w:bCs w:val="0"/>
          <w:color w:val="000000"/>
        </w:rPr>
        <w:t>【转移登记】</w:t>
      </w:r>
    </w:p>
    <w:p>
      <w:pPr>
        <w:pStyle w:val="2"/>
        <w:ind w:firstLine="640"/>
        <w:rPr>
          <w:szCs w:val="32"/>
        </w:rPr>
      </w:pPr>
      <w:r>
        <w:rPr>
          <w:rFonts w:hint="eastAsia"/>
          <w:szCs w:val="32"/>
        </w:rPr>
        <w:t>数据资源或数据产品持有主体发生变更的，新权利主体可以向登记机构申请转移登记。</w:t>
      </w:r>
    </w:p>
    <w:p>
      <w:pPr>
        <w:pStyle w:val="14"/>
        <w:shd w:val="clear" w:color="auto" w:fill="FFFFFF"/>
        <w:spacing w:before="0" w:beforeAutospacing="0" w:after="0" w:afterAutospacing="0" w:line="600" w:lineRule="exact"/>
        <w:ind w:firstLine="640" w:firstLineChars="200"/>
        <w:rPr>
          <w:rFonts w:hAnsi="Courier New" w:eastAsia="仿宋_GB2312" w:cstheme="minorBidi"/>
          <w:kern w:val="2"/>
          <w:sz w:val="32"/>
          <w:szCs w:val="32"/>
        </w:rPr>
      </w:pPr>
      <w:r>
        <w:rPr>
          <w:rFonts w:hint="eastAsia" w:hAnsi="Courier New" w:eastAsia="仿宋_GB2312" w:cstheme="minorBidi"/>
          <w:kern w:val="2"/>
          <w:sz w:val="32"/>
          <w:szCs w:val="32"/>
        </w:rPr>
        <w:t>转移登记程序为申请、受理、审查和发证。申请转移登记的登记主体应当提交下列材料：</w:t>
      </w:r>
    </w:p>
    <w:p>
      <w:pPr>
        <w:pStyle w:val="14"/>
        <w:numPr>
          <w:ilvl w:val="0"/>
          <w:numId w:val="8"/>
        </w:numPr>
        <w:shd w:val="clear" w:color="auto" w:fill="FFFFFF"/>
        <w:spacing w:before="0" w:beforeAutospacing="0" w:after="0" w:afterAutospacing="0" w:line="600" w:lineRule="exact"/>
        <w:ind w:left="0" w:firstLine="709"/>
        <w:rPr>
          <w:rFonts w:hAnsi="Courier New" w:eastAsia="仿宋_GB2312" w:cstheme="minorBidi"/>
          <w:kern w:val="2"/>
          <w:sz w:val="32"/>
          <w:szCs w:val="32"/>
        </w:rPr>
      </w:pPr>
      <w:r>
        <w:rPr>
          <w:rFonts w:hint="eastAsia" w:hAnsi="Courier New" w:eastAsia="仿宋_GB2312" w:cstheme="minorBidi"/>
          <w:kern w:val="2"/>
          <w:sz w:val="32"/>
          <w:szCs w:val="32"/>
        </w:rPr>
        <w:t>转移登记申请书；</w:t>
      </w:r>
    </w:p>
    <w:p>
      <w:pPr>
        <w:pStyle w:val="29"/>
        <w:numPr>
          <w:ilvl w:val="0"/>
          <w:numId w:val="8"/>
        </w:numPr>
        <w:ind w:left="0" w:firstLine="709" w:firstLineChars="0"/>
        <w:rPr>
          <w:rFonts w:ascii="宋体" w:hAnsi="Courier New"/>
          <w:szCs w:val="32"/>
        </w:rPr>
      </w:pPr>
      <w:r>
        <w:rPr>
          <w:rFonts w:hint="eastAsia" w:ascii="宋体" w:hAnsi="Courier New"/>
          <w:szCs w:val="32"/>
        </w:rPr>
        <w:t>新权利主体身份证明材料；</w:t>
      </w:r>
    </w:p>
    <w:p>
      <w:pPr>
        <w:pStyle w:val="14"/>
        <w:numPr>
          <w:ilvl w:val="0"/>
          <w:numId w:val="8"/>
        </w:numPr>
        <w:shd w:val="clear" w:color="auto" w:fill="FFFFFF"/>
        <w:spacing w:before="0" w:beforeAutospacing="0" w:after="0" w:afterAutospacing="0" w:line="600" w:lineRule="exact"/>
        <w:ind w:left="0" w:firstLine="709"/>
        <w:rPr>
          <w:rFonts w:hAnsi="Courier New" w:eastAsia="仿宋_GB2312" w:cstheme="minorBidi"/>
          <w:kern w:val="2"/>
          <w:sz w:val="32"/>
          <w:szCs w:val="32"/>
        </w:rPr>
      </w:pPr>
      <w:r>
        <w:rPr>
          <w:rFonts w:hint="eastAsia" w:hAnsi="Courier New" w:eastAsia="仿宋_GB2312" w:cstheme="minorBidi"/>
          <w:kern w:val="2"/>
          <w:sz w:val="32"/>
          <w:szCs w:val="32"/>
        </w:rPr>
        <w:t>数据资源或数据产品转移证明材料</w:t>
      </w:r>
      <w:r>
        <w:rPr>
          <w:rFonts w:hAnsi="Courier New" w:eastAsia="仿宋_GB2312" w:cstheme="minorBidi"/>
          <w:kern w:val="2"/>
          <w:sz w:val="32"/>
          <w:szCs w:val="32"/>
        </w:rPr>
        <w:t>；</w:t>
      </w:r>
    </w:p>
    <w:p>
      <w:pPr>
        <w:pStyle w:val="29"/>
        <w:numPr>
          <w:ilvl w:val="0"/>
          <w:numId w:val="8"/>
        </w:numPr>
        <w:ind w:left="0" w:firstLine="709" w:firstLineChars="0"/>
        <w:rPr>
          <w:rFonts w:ascii="宋体" w:hAnsi="Courier New"/>
          <w:szCs w:val="32"/>
        </w:rPr>
      </w:pPr>
      <w:r>
        <w:rPr>
          <w:rFonts w:hint="eastAsia" w:ascii="宋体" w:hAnsi="Courier New"/>
          <w:szCs w:val="32"/>
        </w:rPr>
        <w:t>第三方服务机构对于转移真实性和合法性的实质性审核材料；</w:t>
      </w:r>
    </w:p>
    <w:p>
      <w:pPr>
        <w:pStyle w:val="29"/>
        <w:numPr>
          <w:ilvl w:val="0"/>
          <w:numId w:val="8"/>
        </w:numPr>
        <w:ind w:left="0" w:firstLine="709" w:firstLineChars="0"/>
        <w:rPr>
          <w:rFonts w:ascii="宋体" w:hAnsi="Courier New"/>
          <w:szCs w:val="32"/>
        </w:rPr>
      </w:pPr>
      <w:r>
        <w:rPr>
          <w:rFonts w:hint="eastAsia" w:ascii="宋体" w:hAnsi="Courier New"/>
          <w:szCs w:val="32"/>
        </w:rPr>
        <w:t>在与登记机构衔接互认的交易场所中获得数据资源相应权利转移的，无需再次提交上述第二到第四条材料。</w:t>
      </w:r>
    </w:p>
    <w:p>
      <w:pPr>
        <w:pStyle w:val="5"/>
        <w:keepNext w:val="0"/>
        <w:keepLines w:val="0"/>
        <w:adjustRightInd/>
        <w:snapToGrid/>
        <w:ind w:firstLine="640"/>
        <w:rPr>
          <w:rFonts w:cs="Times New Roman"/>
          <w:b/>
          <w:bCs w:val="0"/>
          <w:color w:val="000000"/>
        </w:rPr>
      </w:pPr>
      <w:r>
        <w:rPr>
          <w:rFonts w:hint="eastAsia" w:cs="Times New Roman"/>
          <w:bCs w:val="0"/>
          <w:color w:val="000000"/>
        </w:rPr>
        <w:t>【变更登记】</w:t>
      </w:r>
    </w:p>
    <w:p>
      <w:pPr>
        <w:ind w:firstLine="640"/>
      </w:pPr>
      <w:r>
        <w:rPr>
          <w:rFonts w:hint="eastAsia"/>
        </w:rPr>
        <w:t>原登记内容发生变化或需更正原登记内容的，相应登记主体应及时向登记机构申请变更登记。</w:t>
      </w:r>
    </w:p>
    <w:p>
      <w:pPr>
        <w:ind w:firstLine="640"/>
      </w:pPr>
      <w:r>
        <w:rPr>
          <w:rFonts w:hint="eastAsia"/>
        </w:rPr>
        <w:t>变更登记程序为申请、受理、审查和发证。</w:t>
      </w:r>
    </w:p>
    <w:p>
      <w:pPr>
        <w:ind w:firstLine="640"/>
      </w:pPr>
      <w:r>
        <w:rPr>
          <w:rFonts w:hint="eastAsia"/>
        </w:rPr>
        <w:t>申请变更登记的登记主体应当提交下列材料：</w:t>
      </w:r>
    </w:p>
    <w:p>
      <w:pPr>
        <w:ind w:firstLine="640"/>
      </w:pPr>
      <w:r>
        <w:rPr>
          <w:rFonts w:hint="eastAsia"/>
        </w:rPr>
        <w:t>（一）变更登记申请书</w:t>
      </w:r>
      <w:r>
        <w:t>；</w:t>
      </w:r>
    </w:p>
    <w:p>
      <w:pPr>
        <w:ind w:firstLine="640"/>
      </w:pPr>
      <w:r>
        <w:t>（二）</w:t>
      </w:r>
      <w:r>
        <w:rPr>
          <w:rFonts w:hint="eastAsia"/>
        </w:rPr>
        <w:t>变更内容的证明材料</w:t>
      </w:r>
      <w:r>
        <w:t>；</w:t>
      </w:r>
    </w:p>
    <w:p>
      <w:pPr>
        <w:ind w:firstLine="640"/>
      </w:pPr>
      <w:r>
        <w:t>（三）</w:t>
      </w:r>
      <w:r>
        <w:rPr>
          <w:rFonts w:hint="eastAsia"/>
        </w:rPr>
        <w:t>登记机构要求提供的其他材料。</w:t>
      </w:r>
    </w:p>
    <w:p>
      <w:pPr>
        <w:pStyle w:val="5"/>
        <w:keepNext w:val="0"/>
        <w:keepLines w:val="0"/>
        <w:adjustRightInd/>
        <w:snapToGrid/>
        <w:ind w:firstLine="640"/>
        <w:rPr>
          <w:rFonts w:cs="Times New Roman"/>
          <w:b/>
          <w:bCs w:val="0"/>
          <w:color w:val="000000"/>
        </w:rPr>
      </w:pPr>
      <w:r>
        <w:rPr>
          <w:rFonts w:hint="eastAsia" w:cs="Times New Roman"/>
          <w:bCs w:val="0"/>
          <w:color w:val="000000"/>
        </w:rPr>
        <w:t>【注销登记】</w:t>
      </w:r>
    </w:p>
    <w:p>
      <w:pPr>
        <w:ind w:firstLine="640"/>
      </w:pPr>
      <w:r>
        <w:rPr>
          <w:rFonts w:hint="eastAsia"/>
        </w:rPr>
        <w:t>登记主体可向登记机构申请登记主体、数据资源或数据产品的注销登记。因人民法院、仲裁委员会的生效法律文书等情形导致原权利主体的数据资源或数据产品相关权利灭失的，由新权利主体进行注销或转移登记；如无新权利主体，则由登记机构对相关数据资源或数据产品进行注销。</w:t>
      </w:r>
    </w:p>
    <w:p>
      <w:pPr>
        <w:pStyle w:val="5"/>
        <w:keepNext w:val="0"/>
        <w:keepLines w:val="0"/>
        <w:adjustRightInd/>
        <w:snapToGrid/>
        <w:ind w:firstLine="640"/>
        <w:rPr>
          <w:rFonts w:cs="Times New Roman"/>
          <w:b/>
          <w:bCs w:val="0"/>
          <w:color w:val="000000"/>
        </w:rPr>
      </w:pPr>
      <w:r>
        <w:rPr>
          <w:rFonts w:hint="eastAsia" w:cs="Times New Roman"/>
          <w:bCs w:val="0"/>
          <w:color w:val="000000"/>
        </w:rPr>
        <w:t>【异议登记】</w:t>
      </w:r>
    </w:p>
    <w:p>
      <w:pPr>
        <w:pStyle w:val="14"/>
        <w:shd w:val="clear" w:color="auto" w:fill="FFFFFF"/>
        <w:spacing w:before="0" w:beforeAutospacing="0" w:after="0" w:afterAutospacing="0" w:line="600" w:lineRule="exact"/>
        <w:ind w:firstLine="640" w:firstLineChars="200"/>
        <w:rPr>
          <w:rFonts w:hAnsi="Courier New" w:eastAsia="仿宋_GB2312" w:cstheme="minorBidi"/>
          <w:color w:val="000000" w:themeColor="text1"/>
          <w:kern w:val="2"/>
          <w:sz w:val="32"/>
          <w:szCs w:val="32"/>
          <w14:textFill>
            <w14:solidFill>
              <w14:schemeClr w14:val="tx1"/>
            </w14:solidFill>
          </w14:textFill>
        </w:rPr>
      </w:pPr>
      <w:r>
        <w:rPr>
          <w:rFonts w:hint="eastAsia" w:hAnsi="Courier New" w:eastAsia="仿宋_GB2312" w:cstheme="minorBidi"/>
          <w:color w:val="000000" w:themeColor="text1"/>
          <w:kern w:val="2"/>
          <w:sz w:val="32"/>
          <w:szCs w:val="32"/>
          <w14:textFill>
            <w14:solidFill>
              <w14:schemeClr w14:val="tx1"/>
            </w14:solidFill>
          </w14:textFill>
        </w:rPr>
        <w:t>其他利害关系人认为登记内容错误，且登记主体拒绝办理更正登记或注销登记的，利害关系人可向登记机构提出异议并提交相应证明材料。登记机构应当自异议登记受理之日起3个工作日内通知相应登记主体，登记主体在收到通知之日起7个工作日内，向登记机构提交说明材料。</w:t>
      </w:r>
    </w:p>
    <w:p>
      <w:pPr>
        <w:pStyle w:val="14"/>
        <w:shd w:val="clear" w:color="auto" w:fill="FFFFFF"/>
        <w:spacing w:before="0" w:beforeAutospacing="0" w:after="0" w:afterAutospacing="0" w:line="600" w:lineRule="exact"/>
        <w:ind w:firstLine="640" w:firstLineChars="200"/>
        <w:rPr>
          <w:rFonts w:hAnsi="Courier New" w:eastAsia="仿宋_GB2312" w:cstheme="minorBidi"/>
          <w:color w:val="000000" w:themeColor="text1"/>
          <w:kern w:val="2"/>
          <w:sz w:val="32"/>
          <w:szCs w:val="32"/>
          <w14:textFill>
            <w14:solidFill>
              <w14:schemeClr w14:val="tx1"/>
            </w14:solidFill>
          </w14:textFill>
        </w:rPr>
      </w:pPr>
      <w:r>
        <w:rPr>
          <w:rFonts w:hint="eastAsia" w:hAnsi="Courier New" w:eastAsia="仿宋_GB2312" w:cstheme="minorBidi"/>
          <w:color w:val="000000" w:themeColor="text1"/>
          <w:kern w:val="2"/>
          <w:sz w:val="32"/>
          <w:szCs w:val="32"/>
          <w14:textFill>
            <w14:solidFill>
              <w14:schemeClr w14:val="tx1"/>
            </w14:solidFill>
          </w14:textFill>
        </w:rPr>
        <w:t>（一）登记机构对争议双方提交的佐证材料进行判定，争议双方无异议的，按判定结果保留、撤销或重新发放登记证书，并对处理信息存档备案；</w:t>
      </w:r>
    </w:p>
    <w:p>
      <w:pPr>
        <w:pStyle w:val="14"/>
        <w:shd w:val="clear" w:color="auto" w:fill="FFFFFF"/>
        <w:spacing w:before="0" w:beforeAutospacing="0" w:after="0" w:afterAutospacing="0" w:line="600" w:lineRule="exact"/>
        <w:ind w:firstLine="640" w:firstLineChars="200"/>
        <w:jc w:val="both"/>
        <w:rPr>
          <w:rFonts w:hAnsi="Courier New" w:eastAsia="仿宋_GB2312" w:cstheme="minorBidi"/>
          <w:color w:val="000000" w:themeColor="text1"/>
          <w:kern w:val="2"/>
          <w:sz w:val="32"/>
          <w:szCs w:val="32"/>
          <w14:textFill>
            <w14:solidFill>
              <w14:schemeClr w14:val="tx1"/>
            </w14:solidFill>
          </w14:textFill>
        </w:rPr>
      </w:pPr>
      <w:r>
        <w:rPr>
          <w:rFonts w:hint="eastAsia" w:hAnsi="Courier New" w:eastAsia="仿宋_GB2312" w:cstheme="minorBidi"/>
          <w:color w:val="000000" w:themeColor="text1"/>
          <w:kern w:val="2"/>
          <w:sz w:val="32"/>
          <w:szCs w:val="32"/>
          <w14:textFill>
            <w14:solidFill>
              <w14:schemeClr w14:val="tx1"/>
            </w14:solidFill>
          </w14:textFill>
        </w:rPr>
        <w:t>（二）争议无法解决的，由提出异议申请的利害关系人就争议提请诉讼或仲裁。登记机构根据人民法院判决、裁定或仲裁机构裁决等法律文书对数据资源或数据产品进行相应处置。</w:t>
      </w:r>
    </w:p>
    <w:p>
      <w:pPr>
        <w:pStyle w:val="5"/>
        <w:keepNext w:val="0"/>
        <w:keepLines w:val="0"/>
        <w:adjustRightInd/>
        <w:snapToGrid/>
        <w:ind w:firstLine="640"/>
        <w:rPr>
          <w:rFonts w:cs="Times New Roman"/>
          <w:b/>
          <w:bCs w:val="0"/>
          <w:color w:val="000000"/>
        </w:rPr>
      </w:pPr>
      <w:r>
        <w:rPr>
          <w:rFonts w:hint="eastAsia" w:cs="Times New Roman"/>
          <w:bCs w:val="0"/>
          <w:color w:val="000000"/>
        </w:rPr>
        <w:t>【不予登记的情形】</w:t>
      </w:r>
    </w:p>
    <w:p>
      <w:pPr>
        <w:ind w:firstLine="640"/>
        <w:rPr>
          <w:b/>
          <w:bCs/>
          <w:szCs w:val="32"/>
        </w:rPr>
      </w:pPr>
      <w:r>
        <w:rPr>
          <w:rFonts w:hint="eastAsia"/>
        </w:rPr>
        <w:t>有下列情形之一的，登记机构不予办理登记：</w:t>
      </w:r>
    </w:p>
    <w:p>
      <w:pPr>
        <w:numPr>
          <w:ilvl w:val="0"/>
          <w:numId w:val="9"/>
        </w:numPr>
        <w:ind w:firstLine="640"/>
        <w:rPr>
          <w:szCs w:val="32"/>
        </w:rPr>
      </w:pPr>
      <w:r>
        <w:rPr>
          <w:rFonts w:hint="eastAsia"/>
          <w:szCs w:val="32"/>
        </w:rPr>
        <w:t>关系国家安全、国民经济命脉、重要民生、重大公共利益等的国家核心数据</w:t>
      </w:r>
      <w:r>
        <w:rPr>
          <w:szCs w:val="32"/>
        </w:rPr>
        <w:t>；</w:t>
      </w:r>
    </w:p>
    <w:p>
      <w:pPr>
        <w:numPr>
          <w:ilvl w:val="0"/>
          <w:numId w:val="9"/>
        </w:numPr>
        <w:ind w:firstLine="640"/>
        <w:rPr>
          <w:szCs w:val="32"/>
        </w:rPr>
      </w:pPr>
      <w:r>
        <w:rPr>
          <w:rFonts w:hint="eastAsia"/>
          <w:szCs w:val="32"/>
        </w:rPr>
        <w:t>数据获取方式违反法律、行政法规规定或应获得数据来源方授权而未获得授权的</w:t>
      </w:r>
      <w:r>
        <w:rPr>
          <w:szCs w:val="32"/>
        </w:rPr>
        <w:t>；</w:t>
      </w:r>
    </w:p>
    <w:p>
      <w:pPr>
        <w:numPr>
          <w:ilvl w:val="0"/>
          <w:numId w:val="9"/>
        </w:numPr>
        <w:ind w:firstLine="640"/>
        <w:rPr>
          <w:szCs w:val="32"/>
        </w:rPr>
      </w:pPr>
      <w:r>
        <w:rPr>
          <w:rFonts w:hint="eastAsia"/>
          <w:szCs w:val="32"/>
        </w:rPr>
        <w:t>存在尚未解决的权属争议的</w:t>
      </w:r>
      <w:r>
        <w:rPr>
          <w:szCs w:val="32"/>
        </w:rPr>
        <w:t>；</w:t>
      </w:r>
    </w:p>
    <w:p>
      <w:pPr>
        <w:numPr>
          <w:ilvl w:val="0"/>
          <w:numId w:val="9"/>
        </w:numPr>
        <w:ind w:firstLine="640"/>
        <w:rPr>
          <w:rFonts w:cs="Times New Roman"/>
        </w:rPr>
      </w:pPr>
      <w:r>
        <w:rPr>
          <w:rFonts w:hint="eastAsia" w:cs="Times New Roman"/>
        </w:rPr>
        <w:t>法律、法规规定的其他情形</w:t>
      </w:r>
      <w:r>
        <w:rPr>
          <w:rFonts w:cs="Times New Roman"/>
        </w:rPr>
        <w:t>。</w:t>
      </w:r>
    </w:p>
    <w:p>
      <w:pPr>
        <w:pStyle w:val="2"/>
        <w:ind w:firstLine="640"/>
        <w:rPr>
          <w:rFonts w:hint="eastAsia"/>
        </w:rPr>
      </w:pPr>
    </w:p>
    <w:p>
      <w:pPr>
        <w:pStyle w:val="3"/>
        <w:spacing w:before="217" w:after="217"/>
        <w:ind w:left="0"/>
      </w:pPr>
      <w:r>
        <w:rPr>
          <w:rFonts w:hint="eastAsia"/>
        </w:rPr>
        <w:t>监督与管理</w:t>
      </w:r>
    </w:p>
    <w:p>
      <w:pPr>
        <w:pStyle w:val="5"/>
        <w:ind w:firstLine="640"/>
        <w:rPr>
          <w:b/>
        </w:rPr>
      </w:pPr>
      <w:r>
        <w:rPr>
          <w:rFonts w:hint="eastAsia"/>
        </w:rPr>
        <w:t>【监管部门】</w:t>
      </w:r>
    </w:p>
    <w:p>
      <w:pPr>
        <w:snapToGrid/>
        <w:ind w:firstLine="640"/>
      </w:pPr>
      <w:r>
        <w:rPr>
          <w:rFonts w:hint="eastAsia"/>
          <w:szCs w:val="32"/>
        </w:rPr>
        <w:t>市发展改革委会同市委网信办、</w:t>
      </w:r>
      <w:r>
        <w:rPr>
          <w:rFonts w:hint="eastAsia" w:ascii="仿宋_GB2312" w:hAnsi="黑体"/>
          <w:kern w:val="0"/>
          <w:szCs w:val="32"/>
        </w:rPr>
        <w:t>市工业和信息化局、</w:t>
      </w:r>
      <w:r>
        <w:rPr>
          <w:rFonts w:hint="eastAsia"/>
          <w:szCs w:val="32"/>
        </w:rPr>
        <w:t>公安局、财政局、市场监管局、政务服务数据管理局以及各行业主管部门，建立跨部门的协同监管机制，</w:t>
      </w:r>
      <w:r>
        <w:rPr>
          <w:rFonts w:hint="eastAsia"/>
        </w:rPr>
        <w:t>承担以下职责：</w:t>
      </w:r>
    </w:p>
    <w:p>
      <w:pPr>
        <w:pStyle w:val="17"/>
        <w:adjustRightInd/>
        <w:snapToGrid/>
        <w:spacing w:after="0" w:line="560" w:lineRule="exact"/>
        <w:ind w:firstLine="640"/>
        <w:rPr>
          <w:rFonts w:ascii="Times New Roman" w:hAnsi="Times New Roman"/>
        </w:rPr>
      </w:pPr>
      <w:r>
        <w:rPr>
          <w:rFonts w:hint="eastAsia" w:ascii="Times New Roman" w:hAnsi="Times New Roman"/>
        </w:rPr>
        <w:t>（一）制定监管制度，建立协同监管工作机制；</w:t>
      </w:r>
    </w:p>
    <w:p>
      <w:pPr>
        <w:pStyle w:val="17"/>
        <w:adjustRightInd/>
        <w:snapToGrid/>
        <w:spacing w:after="0" w:line="560" w:lineRule="exact"/>
        <w:ind w:firstLine="640"/>
        <w:rPr>
          <w:rFonts w:ascii="Times New Roman" w:hAnsi="Times New Roman"/>
        </w:rPr>
      </w:pPr>
      <w:r>
        <w:rPr>
          <w:rFonts w:hint="eastAsia" w:ascii="Times New Roman" w:hAnsi="Times New Roman"/>
        </w:rPr>
        <w:t>（二）落实“</w:t>
      </w:r>
      <w:bookmarkStart w:id="5" w:name="_GoBack"/>
      <w:bookmarkEnd w:id="5"/>
      <w:r>
        <w:rPr>
          <w:rFonts w:hint="eastAsia" w:ascii="Times New Roman" w:hAnsi="Times New Roman"/>
        </w:rPr>
        <w:t>双随机</w:t>
      </w:r>
      <w:r>
        <w:rPr>
          <w:rFonts w:hint="eastAsia" w:ascii="Times New Roman" w:hAnsi="Times New Roman"/>
          <w:lang w:val="en-US" w:eastAsia="zh-CN"/>
        </w:rPr>
        <w:t>、</w:t>
      </w:r>
      <w:r>
        <w:rPr>
          <w:rFonts w:hint="eastAsia" w:ascii="Times New Roman" w:hAnsi="Times New Roman"/>
        </w:rPr>
        <w:t>一公开”监管要求，制定监督检查方案并组织实施；</w:t>
      </w:r>
    </w:p>
    <w:p>
      <w:pPr>
        <w:pStyle w:val="17"/>
        <w:adjustRightInd/>
        <w:snapToGrid/>
        <w:spacing w:after="0" w:line="560" w:lineRule="exact"/>
        <w:ind w:firstLine="640"/>
        <w:rPr>
          <w:rFonts w:ascii="Times New Roman" w:hAnsi="Times New Roman"/>
        </w:rPr>
      </w:pPr>
      <w:r>
        <w:rPr>
          <w:rFonts w:hint="eastAsia" w:ascii="Times New Roman" w:hAnsi="Times New Roman"/>
        </w:rPr>
        <w:t>（三）协调、督促相关监管部门对检查发现或投诉举报的问题依照法律法规进行处理处罚；</w:t>
      </w:r>
    </w:p>
    <w:p>
      <w:pPr>
        <w:snapToGrid/>
        <w:ind w:firstLine="640"/>
      </w:pPr>
      <w:r>
        <w:rPr>
          <w:rFonts w:hint="eastAsia"/>
        </w:rPr>
        <w:t>（四）其他数据产权登记监管事项。</w:t>
      </w:r>
    </w:p>
    <w:p>
      <w:pPr>
        <w:pStyle w:val="5"/>
        <w:keepNext w:val="0"/>
        <w:keepLines w:val="0"/>
        <w:adjustRightInd/>
        <w:snapToGrid/>
        <w:ind w:firstLine="640"/>
        <w:rPr>
          <w:rFonts w:cs="Times New Roman"/>
          <w:b/>
          <w:bCs w:val="0"/>
          <w:color w:val="000000"/>
        </w:rPr>
      </w:pPr>
      <w:r>
        <w:rPr>
          <w:rFonts w:hint="eastAsia" w:cs="Times New Roman"/>
          <w:bCs w:val="0"/>
          <w:color w:val="000000"/>
        </w:rPr>
        <w:t>【监管方式】</w:t>
      </w:r>
    </w:p>
    <w:p>
      <w:pPr>
        <w:pStyle w:val="17"/>
        <w:spacing w:after="0" w:line="600" w:lineRule="exact"/>
        <w:ind w:firstLine="640"/>
        <w:rPr>
          <w:rFonts w:ascii="Times New Roman" w:hAnsi="Times New Roman"/>
          <w:szCs w:val="32"/>
          <w:shd w:val="clear" w:color="auto" w:fill="FFFFFF"/>
        </w:rPr>
      </w:pPr>
      <w:r>
        <w:rPr>
          <w:rFonts w:hint="eastAsia" w:ascii="Times New Roman" w:hAnsi="Times New Roman"/>
          <w:szCs w:val="32"/>
          <w:shd w:val="clear" w:color="auto" w:fill="FFFFFF"/>
        </w:rPr>
        <w:t>监管部门应加强对登记监管数据的归集和共享，推行非现场监管、信用监管、风险预警等新型监管模式，提升监管水平。</w:t>
      </w:r>
    </w:p>
    <w:p>
      <w:pPr>
        <w:pStyle w:val="5"/>
        <w:keepNext w:val="0"/>
        <w:keepLines w:val="0"/>
        <w:adjustRightInd/>
        <w:snapToGrid/>
        <w:ind w:firstLine="640"/>
        <w:rPr>
          <w:rFonts w:cs="Times New Roman"/>
          <w:b/>
          <w:bCs w:val="0"/>
          <w:color w:val="000000"/>
        </w:rPr>
      </w:pPr>
      <w:r>
        <w:rPr>
          <w:rFonts w:hint="eastAsia" w:cs="Times New Roman"/>
          <w:bCs w:val="0"/>
          <w:color w:val="000000"/>
        </w:rPr>
        <w:t>【场所监管】</w:t>
      </w:r>
    </w:p>
    <w:p>
      <w:pPr>
        <w:pStyle w:val="17"/>
        <w:spacing w:after="0" w:line="600" w:lineRule="exact"/>
        <w:ind w:firstLine="640"/>
        <w:rPr>
          <w:rFonts w:ascii="Times New Roman" w:hAnsi="Times New Roman"/>
          <w:szCs w:val="32"/>
        </w:rPr>
      </w:pPr>
      <w:r>
        <w:rPr>
          <w:rFonts w:hint="eastAsia" w:ascii="Times New Roman" w:hAnsi="Times New Roman"/>
          <w:szCs w:val="32"/>
        </w:rPr>
        <w:t>监管部门依法依规对登记机构履行数据安全责任、落实安全管理制度和保护技术措施等情况进行监督，对登记机构不</w:t>
      </w:r>
      <w:r>
        <w:rPr>
          <w:rFonts w:hint="eastAsia" w:ascii="Times New Roman" w:hAnsi="Times New Roman"/>
          <w:szCs w:val="32"/>
          <w:shd w:val="clear" w:color="auto" w:fill="FFFFFF"/>
        </w:rPr>
        <w:t>定期开展</w:t>
      </w:r>
      <w:r>
        <w:rPr>
          <w:rFonts w:hint="eastAsia" w:ascii="Times New Roman" w:hAnsi="Times New Roman"/>
          <w:szCs w:val="32"/>
        </w:rPr>
        <w:t>飞行检查，查阅、复制有关文件和资料，对登记机构有关人员进行约见、谈话和询问</w:t>
      </w:r>
      <w:r>
        <w:rPr>
          <w:rFonts w:hint="eastAsia" w:ascii="Times New Roman" w:hAnsi="Times New Roman"/>
          <w:szCs w:val="32"/>
          <w:shd w:val="clear" w:color="auto" w:fill="FFFFFF"/>
        </w:rPr>
        <w:t>。登记机构应当积极配合监督检查，并如实反映情况，提供工作底稿及相关资料。</w:t>
      </w:r>
    </w:p>
    <w:p>
      <w:pPr>
        <w:pStyle w:val="5"/>
        <w:keepNext w:val="0"/>
        <w:keepLines w:val="0"/>
        <w:adjustRightInd/>
        <w:snapToGrid/>
        <w:ind w:firstLine="640"/>
        <w:rPr>
          <w:rFonts w:cs="Times New Roman"/>
          <w:b/>
          <w:bCs w:val="0"/>
          <w:color w:val="000000"/>
        </w:rPr>
      </w:pPr>
      <w:r>
        <w:rPr>
          <w:rFonts w:hint="eastAsia" w:cs="Times New Roman"/>
          <w:bCs w:val="0"/>
          <w:color w:val="000000"/>
        </w:rPr>
        <w:t>【自律监管】</w:t>
      </w:r>
    </w:p>
    <w:p>
      <w:pPr>
        <w:ind w:firstLine="640"/>
        <w:rPr>
          <w:rFonts w:eastAsia="黑体"/>
        </w:rPr>
      </w:pPr>
      <w:r>
        <w:rPr>
          <w:rFonts w:hint="eastAsia"/>
        </w:rPr>
        <w:t>登记机构应当建立数据产权登记监控制度，发现有违反市场监督管理、网络安全、数据安全等方面相关的法律、法规、规章，损害国家利益和社会公共利益，侵犯个人隐私和商业秘密的，应当依法采取必要的处置措施，保存有关记录，并向监督管理部门报告。</w:t>
      </w:r>
    </w:p>
    <w:p>
      <w:pPr>
        <w:pStyle w:val="5"/>
        <w:keepNext w:val="0"/>
        <w:keepLines w:val="0"/>
        <w:adjustRightInd/>
        <w:snapToGrid/>
        <w:ind w:firstLine="640"/>
        <w:rPr>
          <w:rFonts w:eastAsia="仿宋_GB2312" w:cs="Times New Roman"/>
        </w:rPr>
      </w:pPr>
      <w:r>
        <w:rPr>
          <w:rFonts w:hint="eastAsia" w:cs="Times New Roman"/>
          <w:bCs w:val="0"/>
          <w:color w:val="000000"/>
        </w:rPr>
        <w:t>【安全措施】</w:t>
      </w:r>
    </w:p>
    <w:p>
      <w:pPr>
        <w:pStyle w:val="14"/>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登记机构应当建立保护数据传输、存储和使用安全的基础设施，加强防攻击、防泄漏、防窃取的监测、预警、控制和应急处置能力建设，制定数据安全事件应急预案，对重要系统和数据库进行容灾备份，定期开展数据安全等级保护测试和渗透测试，关键设备应采用自主可控的产品和服务。</w:t>
      </w:r>
    </w:p>
    <w:p>
      <w:pPr>
        <w:pStyle w:val="5"/>
        <w:keepNext w:val="0"/>
        <w:keepLines w:val="0"/>
        <w:adjustRightInd/>
        <w:snapToGrid/>
        <w:ind w:firstLine="640"/>
        <w:rPr>
          <w:rFonts w:eastAsia="仿宋_GB2312" w:cs="Times New Roman"/>
        </w:rPr>
      </w:pPr>
      <w:r>
        <w:rPr>
          <w:rFonts w:hint="eastAsia" w:cs="Times New Roman"/>
          <w:bCs w:val="0"/>
          <w:color w:val="000000"/>
        </w:rPr>
        <w:t>【保密措施】</w:t>
      </w:r>
    </w:p>
    <w:p>
      <w:pPr>
        <w:pStyle w:val="14"/>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登记机构和第三方服务机构应当实施保密措施，确保数据产权登记相关材料不被泄露或用于不正当活动。</w:t>
      </w:r>
    </w:p>
    <w:p>
      <w:pPr>
        <w:pStyle w:val="5"/>
        <w:keepNext w:val="0"/>
        <w:keepLines w:val="0"/>
        <w:adjustRightInd/>
        <w:snapToGrid/>
        <w:ind w:firstLine="640"/>
        <w:rPr>
          <w:rFonts w:cs="Times New Roman"/>
          <w:bCs w:val="0"/>
          <w:color w:val="000000"/>
        </w:rPr>
      </w:pPr>
      <w:r>
        <w:rPr>
          <w:rFonts w:hint="eastAsia" w:cs="Times New Roman"/>
          <w:bCs w:val="0"/>
          <w:color w:val="000000"/>
        </w:rPr>
        <w:t>【规范细则】</w:t>
      </w:r>
    </w:p>
    <w:p>
      <w:pPr>
        <w:pStyle w:val="2"/>
        <w:ind w:firstLine="640"/>
      </w:pPr>
      <w:r>
        <w:rPr>
          <w:rFonts w:hint="eastAsia"/>
        </w:rPr>
        <w:t>登记机构应当制定数据分级分类登记管理实施细则</w:t>
      </w:r>
      <w:r>
        <w:rPr>
          <w:rFonts w:hint="eastAsia" w:cs="Times New Roman"/>
          <w:szCs w:val="32"/>
        </w:rPr>
        <w:t>，根据数据的不同级别和类别采取不同的登记管理措施</w:t>
      </w:r>
      <w:r>
        <w:rPr>
          <w:rFonts w:hint="eastAsia"/>
        </w:rPr>
        <w:t>。</w:t>
      </w:r>
    </w:p>
    <w:p>
      <w:pPr>
        <w:overflowPunct w:val="0"/>
        <w:spacing w:line="600" w:lineRule="exact"/>
        <w:ind w:firstLine="640"/>
      </w:pPr>
    </w:p>
    <w:p>
      <w:pPr>
        <w:pStyle w:val="3"/>
        <w:spacing w:before="217" w:after="217"/>
        <w:ind w:left="0"/>
      </w:pPr>
      <w:r>
        <w:rPr>
          <w:rFonts w:hint="eastAsia"/>
        </w:rPr>
        <w:t>法律责任</w:t>
      </w:r>
    </w:p>
    <w:p>
      <w:pPr>
        <w:pStyle w:val="5"/>
        <w:keepNext w:val="0"/>
        <w:keepLines w:val="0"/>
        <w:adjustRightInd/>
        <w:snapToGrid/>
        <w:ind w:firstLine="640"/>
        <w:rPr>
          <w:rFonts w:cs="Times New Roman"/>
          <w:b/>
          <w:bCs w:val="0"/>
          <w:color w:val="000000"/>
        </w:rPr>
      </w:pPr>
      <w:r>
        <w:rPr>
          <w:rFonts w:hint="eastAsia" w:cs="Times New Roman"/>
          <w:bCs w:val="0"/>
          <w:color w:val="000000"/>
        </w:rPr>
        <w:t>【登记主体法律责任】</w:t>
      </w:r>
    </w:p>
    <w:p>
      <w:pPr>
        <w:pStyle w:val="2"/>
        <w:spacing w:line="600" w:lineRule="exact"/>
        <w:ind w:firstLine="640"/>
        <w:rPr>
          <w:szCs w:val="32"/>
        </w:rPr>
      </w:pPr>
      <w:r>
        <w:rPr>
          <w:rFonts w:hint="eastAsia"/>
          <w:szCs w:val="32"/>
        </w:rPr>
        <w:t>登记主体应当按照登记平台提示项目如实登记，并对登记内容的真实性、完整性和合法性负责。办理登记时，存在提供虚假材料等行为给他人造成损害的，登记主体应当承担相应的法律责任。因登记主体填写错误等情形导致不能正确登记的，其后果由登记主体自行承担。</w:t>
      </w:r>
    </w:p>
    <w:p>
      <w:pPr>
        <w:pStyle w:val="5"/>
        <w:keepNext w:val="0"/>
        <w:keepLines w:val="0"/>
        <w:adjustRightInd/>
        <w:snapToGrid/>
        <w:ind w:firstLine="640"/>
        <w:rPr>
          <w:rFonts w:cs="Times New Roman"/>
          <w:b/>
          <w:bCs w:val="0"/>
          <w:color w:val="000000"/>
        </w:rPr>
      </w:pPr>
      <w:r>
        <w:rPr>
          <w:rFonts w:hint="eastAsia" w:cs="Times New Roman"/>
          <w:bCs w:val="0"/>
          <w:color w:val="000000"/>
        </w:rPr>
        <w:t xml:space="preserve">【登记机构及其工作人员法律责任】 </w:t>
      </w:r>
    </w:p>
    <w:p>
      <w:pPr>
        <w:pStyle w:val="2"/>
        <w:spacing w:line="600" w:lineRule="exact"/>
        <w:ind w:firstLine="640"/>
        <w:rPr>
          <w:szCs w:val="32"/>
        </w:rPr>
      </w:pPr>
      <w:r>
        <w:rPr>
          <w:rFonts w:hint="eastAsia"/>
          <w:szCs w:val="32"/>
        </w:rPr>
        <w:t>登记机构及其工作人员因登记错误给他人造成损害，应当承担相应的法律责任。登记机构工作人员进行虚假登记，损毁、伪造数据产权登记证明，擅自修改登记事项，泄露数据产权登记信息，利用数据产权登记信息进行不正当活动，或者有其他滥用职权、玩忽职守行为的，依法给予处分；给他人造成损害的，依法承担赔偿责任；构成犯罪的，依法追究刑事责任。</w:t>
      </w:r>
    </w:p>
    <w:p>
      <w:pPr>
        <w:pStyle w:val="5"/>
        <w:keepNext w:val="0"/>
        <w:keepLines w:val="0"/>
        <w:adjustRightInd/>
        <w:snapToGrid/>
        <w:ind w:firstLine="640"/>
        <w:rPr>
          <w:rFonts w:cs="Times New Roman"/>
          <w:b/>
          <w:bCs w:val="0"/>
          <w:color w:val="000000"/>
        </w:rPr>
      </w:pPr>
      <w:r>
        <w:rPr>
          <w:rFonts w:hint="eastAsia" w:cs="Times New Roman"/>
          <w:bCs w:val="0"/>
          <w:color w:val="000000"/>
        </w:rPr>
        <w:t>【第三方服务机构法律责任】</w:t>
      </w:r>
    </w:p>
    <w:p>
      <w:pPr>
        <w:pStyle w:val="2"/>
        <w:spacing w:line="600" w:lineRule="exact"/>
        <w:ind w:firstLine="640"/>
        <w:rPr>
          <w:szCs w:val="32"/>
        </w:rPr>
      </w:pPr>
      <w:r>
        <w:rPr>
          <w:rFonts w:hint="eastAsia"/>
          <w:szCs w:val="32"/>
        </w:rPr>
        <w:t>第三方服务机构出具评估报告或其它审查报告时，应当保证报告的客观性、真实性、准确性和完整性，因虚假记载、误导性陈述、信息泄露或其它违反法律法规、行业规则的情形给他人造成损害的，依法承担赔偿责任；构成犯罪的，依法追究刑事责任。</w:t>
      </w:r>
    </w:p>
    <w:p>
      <w:pPr>
        <w:pStyle w:val="2"/>
        <w:spacing w:line="600" w:lineRule="exact"/>
        <w:ind w:firstLine="640"/>
        <w:rPr>
          <w:szCs w:val="32"/>
        </w:rPr>
      </w:pPr>
    </w:p>
    <w:p>
      <w:pPr>
        <w:pStyle w:val="2"/>
        <w:spacing w:line="600" w:lineRule="exact"/>
        <w:ind w:firstLine="640"/>
        <w:rPr>
          <w:szCs w:val="32"/>
        </w:rPr>
      </w:pPr>
    </w:p>
    <w:p>
      <w:pPr>
        <w:pStyle w:val="3"/>
        <w:spacing w:before="217" w:after="217"/>
      </w:pPr>
      <w:r>
        <w:rPr>
          <w:rFonts w:hint="eastAsia"/>
        </w:rPr>
        <w:t>附则</w:t>
      </w:r>
    </w:p>
    <w:p>
      <w:pPr>
        <w:pStyle w:val="5"/>
        <w:keepNext w:val="0"/>
        <w:keepLines w:val="0"/>
        <w:adjustRightInd/>
        <w:snapToGrid/>
        <w:ind w:firstLine="640"/>
        <w:rPr>
          <w:rFonts w:cs="Times New Roman"/>
          <w:b/>
          <w:bCs w:val="0"/>
          <w:color w:val="000000"/>
        </w:rPr>
      </w:pPr>
      <w:r>
        <w:rPr>
          <w:rFonts w:hint="eastAsia" w:cs="Times New Roman"/>
          <w:bCs w:val="0"/>
          <w:color w:val="000000"/>
        </w:rPr>
        <w:t>【本办法指导效力】</w:t>
      </w:r>
    </w:p>
    <w:p>
      <w:pPr>
        <w:pStyle w:val="2"/>
        <w:spacing w:line="600" w:lineRule="exact"/>
        <w:ind w:firstLine="640"/>
        <w:rPr>
          <w:szCs w:val="32"/>
        </w:rPr>
      </w:pPr>
      <w:r>
        <w:rPr>
          <w:rFonts w:hint="eastAsia"/>
          <w:szCs w:val="32"/>
        </w:rPr>
        <w:t>登记机构可以依照本办法制定数据产权登记和监督管理的具体办法。</w:t>
      </w:r>
    </w:p>
    <w:p>
      <w:pPr>
        <w:pStyle w:val="5"/>
        <w:keepNext w:val="0"/>
        <w:keepLines w:val="0"/>
        <w:adjustRightInd/>
        <w:snapToGrid/>
        <w:ind w:firstLine="640"/>
        <w:rPr>
          <w:rFonts w:cs="Times New Roman"/>
          <w:b/>
          <w:bCs w:val="0"/>
          <w:color w:val="000000"/>
        </w:rPr>
      </w:pPr>
      <w:r>
        <w:rPr>
          <w:rFonts w:hint="eastAsia" w:cs="Times New Roman"/>
          <w:bCs w:val="0"/>
          <w:color w:val="000000"/>
        </w:rPr>
        <w:t>【本办法最终解释单位】</w:t>
      </w:r>
    </w:p>
    <w:p>
      <w:pPr>
        <w:pStyle w:val="2"/>
        <w:spacing w:line="600" w:lineRule="exact"/>
        <w:ind w:firstLine="640"/>
        <w:rPr>
          <w:szCs w:val="32"/>
        </w:rPr>
      </w:pPr>
      <w:r>
        <w:rPr>
          <w:rFonts w:hint="eastAsia"/>
          <w:szCs w:val="32"/>
        </w:rPr>
        <w:t>本办法由深圳市发展和改革委负责解释、修订。</w:t>
      </w:r>
    </w:p>
    <w:p>
      <w:pPr>
        <w:pStyle w:val="5"/>
        <w:keepNext w:val="0"/>
        <w:keepLines w:val="0"/>
        <w:adjustRightInd/>
        <w:snapToGrid/>
        <w:ind w:firstLine="640"/>
        <w:rPr>
          <w:rFonts w:cs="Times New Roman"/>
          <w:b/>
          <w:bCs w:val="0"/>
          <w:color w:val="000000"/>
        </w:rPr>
      </w:pPr>
      <w:r>
        <w:rPr>
          <w:rFonts w:hint="eastAsia" w:cs="Times New Roman"/>
          <w:bCs w:val="0"/>
          <w:color w:val="000000"/>
        </w:rPr>
        <w:t>【本办法实施日期】</w:t>
      </w:r>
    </w:p>
    <w:p>
      <w:pPr>
        <w:pStyle w:val="2"/>
        <w:spacing w:line="600" w:lineRule="exact"/>
        <w:ind w:firstLine="640"/>
        <w:rPr>
          <w:szCs w:val="32"/>
        </w:rPr>
      </w:pPr>
      <w:r>
        <w:rPr>
          <w:rFonts w:hint="eastAsia"/>
          <w:szCs w:val="32"/>
        </w:rPr>
        <w:t>本办法自2</w:t>
      </w:r>
      <w:r>
        <w:rPr>
          <w:szCs w:val="32"/>
        </w:rPr>
        <w:t>023</w:t>
      </w:r>
      <w:r>
        <w:rPr>
          <w:rFonts w:hint="eastAsia"/>
          <w:szCs w:val="32"/>
        </w:rPr>
        <w:t>年</w:t>
      </w:r>
      <w:r>
        <w:rPr>
          <w:szCs w:val="32"/>
        </w:rPr>
        <w:t>X</w:t>
      </w:r>
      <w:r>
        <w:rPr>
          <w:rFonts w:hint="eastAsia"/>
          <w:szCs w:val="32"/>
        </w:rPr>
        <w:t>月1日起施行，有效期三年。</w:t>
      </w:r>
    </w:p>
    <w:sectPr>
      <w:headerReference r:id="rId7" w:type="first"/>
      <w:footerReference r:id="rId10" w:type="first"/>
      <w:headerReference r:id="rId5" w:type="default"/>
      <w:footerReference r:id="rId8" w:type="default"/>
      <w:headerReference r:id="rId6" w:type="even"/>
      <w:footerReference r:id="rId9" w:type="even"/>
      <w:pgSz w:w="11906" w:h="16838"/>
      <w:pgMar w:top="1701" w:right="1474" w:bottom="992"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43288"/>
    <w:multiLevelType w:val="singleLevel"/>
    <w:tmpl w:val="B2943288"/>
    <w:lvl w:ilvl="0" w:tentative="0">
      <w:start w:val="1"/>
      <w:numFmt w:val="chineseCounting"/>
      <w:suff w:val="nothing"/>
      <w:lvlText w:val="（%1）"/>
      <w:lvlJc w:val="left"/>
      <w:rPr>
        <w:rFonts w:hint="eastAsia"/>
      </w:rPr>
    </w:lvl>
  </w:abstractNum>
  <w:abstractNum w:abstractNumId="1">
    <w:nsid w:val="02A074FD"/>
    <w:multiLevelType w:val="multilevel"/>
    <w:tmpl w:val="02A074FD"/>
    <w:lvl w:ilvl="0" w:tentative="0">
      <w:start w:val="1"/>
      <w:numFmt w:val="japaneseCounting"/>
      <w:lvlText w:val="（%1）"/>
      <w:lvlJc w:val="left"/>
      <w:pPr>
        <w:ind w:left="179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19F320B"/>
    <w:multiLevelType w:val="multilevel"/>
    <w:tmpl w:val="119F320B"/>
    <w:lvl w:ilvl="0" w:tentative="0">
      <w:start w:val="1"/>
      <w:numFmt w:val="decimal"/>
      <w:pStyle w:val="6"/>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
    <w:nsid w:val="132520F5"/>
    <w:multiLevelType w:val="multilevel"/>
    <w:tmpl w:val="132520F5"/>
    <w:lvl w:ilvl="0" w:tentative="0">
      <w:start w:val="1"/>
      <w:numFmt w:val="chineseCountingThousand"/>
      <w:pStyle w:val="3"/>
      <w:lvlText w:val="第%1章 "/>
      <w:lvlJc w:val="left"/>
      <w:pPr>
        <w:ind w:left="840" w:hanging="420"/>
      </w:pPr>
      <w:rPr>
        <w:rFonts w:hint="default" w:ascii="Times New Roman" w:hAnsi="Times New Roman"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D67F57"/>
    <w:multiLevelType w:val="multilevel"/>
    <w:tmpl w:val="39D67F57"/>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4B9E1E2A"/>
    <w:multiLevelType w:val="multilevel"/>
    <w:tmpl w:val="4B9E1E2A"/>
    <w:lvl w:ilvl="0" w:tentative="0">
      <w:start w:val="1"/>
      <w:numFmt w:val="chineseCountingThousand"/>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9192424"/>
    <w:multiLevelType w:val="multilevel"/>
    <w:tmpl w:val="69192424"/>
    <w:lvl w:ilvl="0" w:tentative="0">
      <w:start w:val="1"/>
      <w:numFmt w:val="japaneseCounting"/>
      <w:lvlText w:val="（%1）"/>
      <w:lvlJc w:val="left"/>
      <w:pPr>
        <w:ind w:left="2356" w:hanging="1080"/>
      </w:pPr>
      <w:rPr>
        <w:rFonts w:hint="default"/>
      </w:rPr>
    </w:lvl>
    <w:lvl w:ilvl="1" w:tentative="0">
      <w:start w:val="1"/>
      <w:numFmt w:val="lowerLetter"/>
      <w:lvlText w:val="%2)"/>
      <w:lvlJc w:val="left"/>
      <w:pPr>
        <w:ind w:left="-5608" w:hanging="420"/>
      </w:pPr>
    </w:lvl>
    <w:lvl w:ilvl="2" w:tentative="0">
      <w:start w:val="1"/>
      <w:numFmt w:val="lowerRoman"/>
      <w:lvlText w:val="%3."/>
      <w:lvlJc w:val="right"/>
      <w:pPr>
        <w:ind w:left="-5188" w:hanging="420"/>
      </w:pPr>
    </w:lvl>
    <w:lvl w:ilvl="3" w:tentative="0">
      <w:start w:val="1"/>
      <w:numFmt w:val="decimal"/>
      <w:lvlText w:val="%4."/>
      <w:lvlJc w:val="left"/>
      <w:pPr>
        <w:ind w:left="-4768" w:hanging="420"/>
      </w:pPr>
    </w:lvl>
    <w:lvl w:ilvl="4" w:tentative="0">
      <w:start w:val="1"/>
      <w:numFmt w:val="lowerLetter"/>
      <w:lvlText w:val="%5)"/>
      <w:lvlJc w:val="left"/>
      <w:pPr>
        <w:ind w:left="-4348" w:hanging="420"/>
      </w:pPr>
    </w:lvl>
    <w:lvl w:ilvl="5" w:tentative="0">
      <w:start w:val="1"/>
      <w:numFmt w:val="lowerRoman"/>
      <w:lvlText w:val="%6."/>
      <w:lvlJc w:val="right"/>
      <w:pPr>
        <w:ind w:left="-3928" w:hanging="420"/>
      </w:pPr>
    </w:lvl>
    <w:lvl w:ilvl="6" w:tentative="0">
      <w:start w:val="1"/>
      <w:numFmt w:val="decimal"/>
      <w:lvlText w:val="%7."/>
      <w:lvlJc w:val="left"/>
      <w:pPr>
        <w:ind w:left="-3508" w:hanging="420"/>
      </w:pPr>
    </w:lvl>
    <w:lvl w:ilvl="7" w:tentative="0">
      <w:start w:val="1"/>
      <w:numFmt w:val="lowerLetter"/>
      <w:lvlText w:val="%8)"/>
      <w:lvlJc w:val="left"/>
      <w:pPr>
        <w:ind w:left="-3088" w:hanging="420"/>
      </w:pPr>
    </w:lvl>
    <w:lvl w:ilvl="8" w:tentative="0">
      <w:start w:val="1"/>
      <w:numFmt w:val="lowerRoman"/>
      <w:lvlText w:val="%9."/>
      <w:lvlJc w:val="right"/>
      <w:pPr>
        <w:ind w:left="-2668" w:hanging="420"/>
      </w:pPr>
    </w:lvl>
  </w:abstractNum>
  <w:abstractNum w:abstractNumId="7">
    <w:nsid w:val="70DA195F"/>
    <w:multiLevelType w:val="multilevel"/>
    <w:tmpl w:val="70DA195F"/>
    <w:lvl w:ilvl="0" w:tentative="0">
      <w:start w:val="1"/>
      <w:numFmt w:val="chineseCountingThousand"/>
      <w:pStyle w:val="5"/>
      <w:lvlText w:val="第%1条 "/>
      <w:lvlJc w:val="left"/>
      <w:pPr>
        <w:ind w:left="1413" w:hanging="420"/>
      </w:pPr>
      <w:rPr>
        <w:rFonts w:hint="default" w:ascii="Times New Roman" w:hAnsi="Times New Roman" w:eastAsia="黑体"/>
        <w:b w:val="0"/>
        <w:i w:val="0"/>
        <w:sz w:val="3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C866CB0"/>
    <w:multiLevelType w:val="multilevel"/>
    <w:tmpl w:val="7C866CB0"/>
    <w:lvl w:ilvl="0" w:tentative="0">
      <w:start w:val="1"/>
      <w:numFmt w:val="japaneseCounting"/>
      <w:lvlText w:val="（%1）"/>
      <w:lvlJc w:val="left"/>
      <w:pPr>
        <w:ind w:left="7884" w:hanging="1080"/>
      </w:pPr>
      <w:rPr>
        <w:rFonts w:hint="default"/>
      </w:rPr>
    </w:lvl>
    <w:lvl w:ilvl="1" w:tentative="0">
      <w:start w:val="1"/>
      <w:numFmt w:val="lowerLetter"/>
      <w:lvlText w:val="%2)"/>
      <w:lvlJc w:val="left"/>
      <w:pPr>
        <w:ind w:left="7644" w:hanging="420"/>
      </w:pPr>
    </w:lvl>
    <w:lvl w:ilvl="2" w:tentative="0">
      <w:start w:val="1"/>
      <w:numFmt w:val="lowerRoman"/>
      <w:lvlText w:val="%3."/>
      <w:lvlJc w:val="right"/>
      <w:pPr>
        <w:ind w:left="8064" w:hanging="420"/>
      </w:pPr>
    </w:lvl>
    <w:lvl w:ilvl="3" w:tentative="0">
      <w:start w:val="1"/>
      <w:numFmt w:val="decimal"/>
      <w:lvlText w:val="%4."/>
      <w:lvlJc w:val="left"/>
      <w:pPr>
        <w:ind w:left="8484" w:hanging="420"/>
      </w:pPr>
    </w:lvl>
    <w:lvl w:ilvl="4" w:tentative="0">
      <w:start w:val="1"/>
      <w:numFmt w:val="lowerLetter"/>
      <w:lvlText w:val="%5)"/>
      <w:lvlJc w:val="left"/>
      <w:pPr>
        <w:ind w:left="8904" w:hanging="420"/>
      </w:pPr>
    </w:lvl>
    <w:lvl w:ilvl="5" w:tentative="0">
      <w:start w:val="1"/>
      <w:numFmt w:val="lowerRoman"/>
      <w:lvlText w:val="%6."/>
      <w:lvlJc w:val="right"/>
      <w:pPr>
        <w:ind w:left="9324" w:hanging="420"/>
      </w:pPr>
    </w:lvl>
    <w:lvl w:ilvl="6" w:tentative="0">
      <w:start w:val="1"/>
      <w:numFmt w:val="decimal"/>
      <w:lvlText w:val="%7."/>
      <w:lvlJc w:val="left"/>
      <w:pPr>
        <w:ind w:left="9744" w:hanging="420"/>
      </w:pPr>
    </w:lvl>
    <w:lvl w:ilvl="7" w:tentative="0">
      <w:start w:val="1"/>
      <w:numFmt w:val="lowerLetter"/>
      <w:lvlText w:val="%8)"/>
      <w:lvlJc w:val="left"/>
      <w:pPr>
        <w:ind w:left="10164" w:hanging="420"/>
      </w:pPr>
    </w:lvl>
    <w:lvl w:ilvl="8" w:tentative="0">
      <w:start w:val="1"/>
      <w:numFmt w:val="lowerRoman"/>
      <w:lvlText w:val="%9."/>
      <w:lvlJc w:val="right"/>
      <w:pPr>
        <w:ind w:left="10584" w:hanging="420"/>
      </w:pPr>
    </w:lvl>
  </w:abstractNum>
  <w:num w:numId="1">
    <w:abstractNumId w:val="3"/>
  </w:num>
  <w:num w:numId="2">
    <w:abstractNumId w:val="5"/>
  </w:num>
  <w:num w:numId="3">
    <w:abstractNumId w:val="7"/>
  </w:num>
  <w:num w:numId="4">
    <w:abstractNumId w:val="2"/>
  </w:num>
  <w:num w:numId="5">
    <w:abstractNumId w:val="8"/>
  </w:num>
  <w:num w:numId="6">
    <w:abstractNumId w:val="6"/>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attachedTemplate r:id="rId1"/>
  <w:trackRevisions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ZjllNWI0MTE2ZWQyNjk3MjdkMDA3MjZlMzhkMzEifQ=="/>
  </w:docVars>
  <w:rsids>
    <w:rsidRoot w:val="0041798D"/>
    <w:rsid w:val="000005C6"/>
    <w:rsid w:val="000014F7"/>
    <w:rsid w:val="000019B9"/>
    <w:rsid w:val="00001C31"/>
    <w:rsid w:val="00002A15"/>
    <w:rsid w:val="00002CFE"/>
    <w:rsid w:val="00003755"/>
    <w:rsid w:val="00003E42"/>
    <w:rsid w:val="00004B7E"/>
    <w:rsid w:val="00005072"/>
    <w:rsid w:val="00007B02"/>
    <w:rsid w:val="00010E26"/>
    <w:rsid w:val="00010F89"/>
    <w:rsid w:val="000119A2"/>
    <w:rsid w:val="00012CBC"/>
    <w:rsid w:val="0001542B"/>
    <w:rsid w:val="000161A6"/>
    <w:rsid w:val="00016569"/>
    <w:rsid w:val="00016DE8"/>
    <w:rsid w:val="00020C96"/>
    <w:rsid w:val="0002331D"/>
    <w:rsid w:val="00024F2D"/>
    <w:rsid w:val="00025C31"/>
    <w:rsid w:val="00025D69"/>
    <w:rsid w:val="00026FA1"/>
    <w:rsid w:val="00027CD0"/>
    <w:rsid w:val="0003050F"/>
    <w:rsid w:val="00031B3A"/>
    <w:rsid w:val="00032475"/>
    <w:rsid w:val="00032DB0"/>
    <w:rsid w:val="00033862"/>
    <w:rsid w:val="000338BF"/>
    <w:rsid w:val="00034979"/>
    <w:rsid w:val="00034B6E"/>
    <w:rsid w:val="00035345"/>
    <w:rsid w:val="000360AB"/>
    <w:rsid w:val="000363AC"/>
    <w:rsid w:val="0004074C"/>
    <w:rsid w:val="000417B6"/>
    <w:rsid w:val="000419BF"/>
    <w:rsid w:val="00041A8E"/>
    <w:rsid w:val="00041F81"/>
    <w:rsid w:val="00042787"/>
    <w:rsid w:val="0004343C"/>
    <w:rsid w:val="00045084"/>
    <w:rsid w:val="0004665C"/>
    <w:rsid w:val="00046E29"/>
    <w:rsid w:val="00050F7E"/>
    <w:rsid w:val="000526E2"/>
    <w:rsid w:val="000534C2"/>
    <w:rsid w:val="0005470F"/>
    <w:rsid w:val="00055337"/>
    <w:rsid w:val="00055FA4"/>
    <w:rsid w:val="0005659A"/>
    <w:rsid w:val="00056877"/>
    <w:rsid w:val="00057FA7"/>
    <w:rsid w:val="00060359"/>
    <w:rsid w:val="00060B16"/>
    <w:rsid w:val="00060FD0"/>
    <w:rsid w:val="0006311E"/>
    <w:rsid w:val="000632A4"/>
    <w:rsid w:val="000634D6"/>
    <w:rsid w:val="0006373B"/>
    <w:rsid w:val="000668AB"/>
    <w:rsid w:val="00067037"/>
    <w:rsid w:val="000677AA"/>
    <w:rsid w:val="000677AC"/>
    <w:rsid w:val="000704A3"/>
    <w:rsid w:val="00070E7E"/>
    <w:rsid w:val="00073184"/>
    <w:rsid w:val="00074169"/>
    <w:rsid w:val="000747CA"/>
    <w:rsid w:val="000749D8"/>
    <w:rsid w:val="0007554C"/>
    <w:rsid w:val="00075852"/>
    <w:rsid w:val="00075DF6"/>
    <w:rsid w:val="00077001"/>
    <w:rsid w:val="0007758B"/>
    <w:rsid w:val="00077FCD"/>
    <w:rsid w:val="0008020C"/>
    <w:rsid w:val="000805BB"/>
    <w:rsid w:val="000817D6"/>
    <w:rsid w:val="00082897"/>
    <w:rsid w:val="00083FC9"/>
    <w:rsid w:val="000842E6"/>
    <w:rsid w:val="00084B28"/>
    <w:rsid w:val="00084F7E"/>
    <w:rsid w:val="0008747A"/>
    <w:rsid w:val="0009000E"/>
    <w:rsid w:val="00090A36"/>
    <w:rsid w:val="000923EB"/>
    <w:rsid w:val="00092A7A"/>
    <w:rsid w:val="000944CB"/>
    <w:rsid w:val="000952E5"/>
    <w:rsid w:val="000953D7"/>
    <w:rsid w:val="00095934"/>
    <w:rsid w:val="00095F62"/>
    <w:rsid w:val="00096950"/>
    <w:rsid w:val="00097630"/>
    <w:rsid w:val="00097D7C"/>
    <w:rsid w:val="000A017E"/>
    <w:rsid w:val="000A0240"/>
    <w:rsid w:val="000A0741"/>
    <w:rsid w:val="000A092C"/>
    <w:rsid w:val="000A1B4E"/>
    <w:rsid w:val="000A1D78"/>
    <w:rsid w:val="000A2C14"/>
    <w:rsid w:val="000A3F57"/>
    <w:rsid w:val="000A47D1"/>
    <w:rsid w:val="000A4B84"/>
    <w:rsid w:val="000A54BF"/>
    <w:rsid w:val="000A720F"/>
    <w:rsid w:val="000B079F"/>
    <w:rsid w:val="000B2B64"/>
    <w:rsid w:val="000B2F85"/>
    <w:rsid w:val="000B3314"/>
    <w:rsid w:val="000B3B39"/>
    <w:rsid w:val="000B3FFE"/>
    <w:rsid w:val="000B4400"/>
    <w:rsid w:val="000B530B"/>
    <w:rsid w:val="000B5389"/>
    <w:rsid w:val="000B5A21"/>
    <w:rsid w:val="000B5F13"/>
    <w:rsid w:val="000B6782"/>
    <w:rsid w:val="000B6CF5"/>
    <w:rsid w:val="000B6F66"/>
    <w:rsid w:val="000B7380"/>
    <w:rsid w:val="000B73DB"/>
    <w:rsid w:val="000B7C1B"/>
    <w:rsid w:val="000C06D6"/>
    <w:rsid w:val="000C0926"/>
    <w:rsid w:val="000C0DF9"/>
    <w:rsid w:val="000C0FC3"/>
    <w:rsid w:val="000C21B9"/>
    <w:rsid w:val="000C2373"/>
    <w:rsid w:val="000C29D7"/>
    <w:rsid w:val="000C458C"/>
    <w:rsid w:val="000C47BA"/>
    <w:rsid w:val="000C5980"/>
    <w:rsid w:val="000C659F"/>
    <w:rsid w:val="000C65CA"/>
    <w:rsid w:val="000C6EDF"/>
    <w:rsid w:val="000C75A7"/>
    <w:rsid w:val="000D068E"/>
    <w:rsid w:val="000D097B"/>
    <w:rsid w:val="000D2786"/>
    <w:rsid w:val="000D39E3"/>
    <w:rsid w:val="000D529E"/>
    <w:rsid w:val="000D5722"/>
    <w:rsid w:val="000D5C3A"/>
    <w:rsid w:val="000D669A"/>
    <w:rsid w:val="000D6800"/>
    <w:rsid w:val="000D7B8A"/>
    <w:rsid w:val="000E0B68"/>
    <w:rsid w:val="000E12AE"/>
    <w:rsid w:val="000E25BF"/>
    <w:rsid w:val="000E2C6E"/>
    <w:rsid w:val="000E31AC"/>
    <w:rsid w:val="000E4089"/>
    <w:rsid w:val="000E4E6B"/>
    <w:rsid w:val="000E5350"/>
    <w:rsid w:val="000E7269"/>
    <w:rsid w:val="000F1455"/>
    <w:rsid w:val="000F1D26"/>
    <w:rsid w:val="000F333E"/>
    <w:rsid w:val="000F344C"/>
    <w:rsid w:val="000F3C88"/>
    <w:rsid w:val="000F425C"/>
    <w:rsid w:val="000F4ED5"/>
    <w:rsid w:val="000F74F2"/>
    <w:rsid w:val="000F7779"/>
    <w:rsid w:val="00100482"/>
    <w:rsid w:val="0010063A"/>
    <w:rsid w:val="00100DBE"/>
    <w:rsid w:val="00101697"/>
    <w:rsid w:val="00101ACC"/>
    <w:rsid w:val="00101CA4"/>
    <w:rsid w:val="001022F9"/>
    <w:rsid w:val="00102F1F"/>
    <w:rsid w:val="00103EA4"/>
    <w:rsid w:val="00104AD9"/>
    <w:rsid w:val="00105C36"/>
    <w:rsid w:val="00106116"/>
    <w:rsid w:val="00106F94"/>
    <w:rsid w:val="00110C67"/>
    <w:rsid w:val="00112969"/>
    <w:rsid w:val="0011355B"/>
    <w:rsid w:val="0011588F"/>
    <w:rsid w:val="00116000"/>
    <w:rsid w:val="0011612A"/>
    <w:rsid w:val="00116959"/>
    <w:rsid w:val="00116C4D"/>
    <w:rsid w:val="001207B3"/>
    <w:rsid w:val="00121D2F"/>
    <w:rsid w:val="0012204F"/>
    <w:rsid w:val="00123DA7"/>
    <w:rsid w:val="001248B5"/>
    <w:rsid w:val="00124BD9"/>
    <w:rsid w:val="001256F2"/>
    <w:rsid w:val="0012700E"/>
    <w:rsid w:val="00132521"/>
    <w:rsid w:val="00132BAC"/>
    <w:rsid w:val="00134DA0"/>
    <w:rsid w:val="00134FAF"/>
    <w:rsid w:val="001355F0"/>
    <w:rsid w:val="00137034"/>
    <w:rsid w:val="00137139"/>
    <w:rsid w:val="001375AA"/>
    <w:rsid w:val="0014026B"/>
    <w:rsid w:val="00140722"/>
    <w:rsid w:val="001409B1"/>
    <w:rsid w:val="00140CFC"/>
    <w:rsid w:val="001417E7"/>
    <w:rsid w:val="00141B8D"/>
    <w:rsid w:val="00141BE1"/>
    <w:rsid w:val="00142D9E"/>
    <w:rsid w:val="00144683"/>
    <w:rsid w:val="00146B60"/>
    <w:rsid w:val="001506ED"/>
    <w:rsid w:val="00150DC2"/>
    <w:rsid w:val="001517BB"/>
    <w:rsid w:val="0015330A"/>
    <w:rsid w:val="001568C7"/>
    <w:rsid w:val="00156925"/>
    <w:rsid w:val="00157121"/>
    <w:rsid w:val="001623FD"/>
    <w:rsid w:val="00162C3D"/>
    <w:rsid w:val="00164AB1"/>
    <w:rsid w:val="00167585"/>
    <w:rsid w:val="0016792F"/>
    <w:rsid w:val="00167E52"/>
    <w:rsid w:val="001753FA"/>
    <w:rsid w:val="00177BA4"/>
    <w:rsid w:val="001818B7"/>
    <w:rsid w:val="00182FA4"/>
    <w:rsid w:val="00185A2F"/>
    <w:rsid w:val="00186756"/>
    <w:rsid w:val="00186FE2"/>
    <w:rsid w:val="00190632"/>
    <w:rsid w:val="001913F5"/>
    <w:rsid w:val="00191B80"/>
    <w:rsid w:val="00192036"/>
    <w:rsid w:val="001924D4"/>
    <w:rsid w:val="00193200"/>
    <w:rsid w:val="00193DC2"/>
    <w:rsid w:val="001944C2"/>
    <w:rsid w:val="00195337"/>
    <w:rsid w:val="0019603E"/>
    <w:rsid w:val="001971F5"/>
    <w:rsid w:val="001A0716"/>
    <w:rsid w:val="001A2150"/>
    <w:rsid w:val="001A229A"/>
    <w:rsid w:val="001A282F"/>
    <w:rsid w:val="001A3F66"/>
    <w:rsid w:val="001A42CF"/>
    <w:rsid w:val="001A4A59"/>
    <w:rsid w:val="001A69D1"/>
    <w:rsid w:val="001B14CB"/>
    <w:rsid w:val="001B17E4"/>
    <w:rsid w:val="001B32E7"/>
    <w:rsid w:val="001B45E7"/>
    <w:rsid w:val="001B4DE7"/>
    <w:rsid w:val="001B5F33"/>
    <w:rsid w:val="001B61CD"/>
    <w:rsid w:val="001B739F"/>
    <w:rsid w:val="001C0592"/>
    <w:rsid w:val="001C10A5"/>
    <w:rsid w:val="001C13FA"/>
    <w:rsid w:val="001C4822"/>
    <w:rsid w:val="001C5480"/>
    <w:rsid w:val="001C6E94"/>
    <w:rsid w:val="001C7297"/>
    <w:rsid w:val="001C76D8"/>
    <w:rsid w:val="001D0833"/>
    <w:rsid w:val="001D132E"/>
    <w:rsid w:val="001D169F"/>
    <w:rsid w:val="001D1AED"/>
    <w:rsid w:val="001D1DEF"/>
    <w:rsid w:val="001D22A1"/>
    <w:rsid w:val="001D2358"/>
    <w:rsid w:val="001D2576"/>
    <w:rsid w:val="001D2B9B"/>
    <w:rsid w:val="001D517C"/>
    <w:rsid w:val="001D53A4"/>
    <w:rsid w:val="001D7148"/>
    <w:rsid w:val="001E106D"/>
    <w:rsid w:val="001E1219"/>
    <w:rsid w:val="001E6858"/>
    <w:rsid w:val="001E78FA"/>
    <w:rsid w:val="001F0E73"/>
    <w:rsid w:val="001F10C7"/>
    <w:rsid w:val="001F11A2"/>
    <w:rsid w:val="001F12C9"/>
    <w:rsid w:val="001F2F3E"/>
    <w:rsid w:val="001F34C4"/>
    <w:rsid w:val="001F4922"/>
    <w:rsid w:val="001F5832"/>
    <w:rsid w:val="001F6272"/>
    <w:rsid w:val="001F7D7B"/>
    <w:rsid w:val="00200590"/>
    <w:rsid w:val="00200A16"/>
    <w:rsid w:val="00201206"/>
    <w:rsid w:val="00201788"/>
    <w:rsid w:val="00201A2C"/>
    <w:rsid w:val="002028E1"/>
    <w:rsid w:val="002032A9"/>
    <w:rsid w:val="0020475F"/>
    <w:rsid w:val="00207BEC"/>
    <w:rsid w:val="00210197"/>
    <w:rsid w:val="00212E45"/>
    <w:rsid w:val="00213E58"/>
    <w:rsid w:val="00215C68"/>
    <w:rsid w:val="00216A59"/>
    <w:rsid w:val="00216BB0"/>
    <w:rsid w:val="002205FD"/>
    <w:rsid w:val="00221B12"/>
    <w:rsid w:val="00223100"/>
    <w:rsid w:val="00223D09"/>
    <w:rsid w:val="002240FF"/>
    <w:rsid w:val="0022488E"/>
    <w:rsid w:val="002259EF"/>
    <w:rsid w:val="00227181"/>
    <w:rsid w:val="002271AB"/>
    <w:rsid w:val="002275CB"/>
    <w:rsid w:val="00227E0D"/>
    <w:rsid w:val="00230B11"/>
    <w:rsid w:val="00230EA0"/>
    <w:rsid w:val="00232C61"/>
    <w:rsid w:val="0023362A"/>
    <w:rsid w:val="00234C20"/>
    <w:rsid w:val="00235693"/>
    <w:rsid w:val="00235C4A"/>
    <w:rsid w:val="00235FBC"/>
    <w:rsid w:val="002371C4"/>
    <w:rsid w:val="00240AFE"/>
    <w:rsid w:val="0024118A"/>
    <w:rsid w:val="00241192"/>
    <w:rsid w:val="00241413"/>
    <w:rsid w:val="00241A6D"/>
    <w:rsid w:val="00241F42"/>
    <w:rsid w:val="0024400B"/>
    <w:rsid w:val="0024567C"/>
    <w:rsid w:val="002471C7"/>
    <w:rsid w:val="00247354"/>
    <w:rsid w:val="002474D4"/>
    <w:rsid w:val="00250DEB"/>
    <w:rsid w:val="002512B2"/>
    <w:rsid w:val="00251FF9"/>
    <w:rsid w:val="00252BC5"/>
    <w:rsid w:val="00252E0D"/>
    <w:rsid w:val="00253F27"/>
    <w:rsid w:val="00256A4E"/>
    <w:rsid w:val="00260152"/>
    <w:rsid w:val="0026113D"/>
    <w:rsid w:val="00262AEC"/>
    <w:rsid w:val="002634DD"/>
    <w:rsid w:val="002638FF"/>
    <w:rsid w:val="00263E57"/>
    <w:rsid w:val="00266145"/>
    <w:rsid w:val="00267F36"/>
    <w:rsid w:val="0027085E"/>
    <w:rsid w:val="00270ABC"/>
    <w:rsid w:val="00272CB6"/>
    <w:rsid w:val="00274186"/>
    <w:rsid w:val="0027541E"/>
    <w:rsid w:val="00275BF6"/>
    <w:rsid w:val="00275C68"/>
    <w:rsid w:val="00276652"/>
    <w:rsid w:val="002772F7"/>
    <w:rsid w:val="00281045"/>
    <w:rsid w:val="00282948"/>
    <w:rsid w:val="0028306D"/>
    <w:rsid w:val="00283791"/>
    <w:rsid w:val="00285656"/>
    <w:rsid w:val="00287EA8"/>
    <w:rsid w:val="002909E6"/>
    <w:rsid w:val="00291F1A"/>
    <w:rsid w:val="0029200E"/>
    <w:rsid w:val="00292202"/>
    <w:rsid w:val="00294C91"/>
    <w:rsid w:val="00295A17"/>
    <w:rsid w:val="00296AB2"/>
    <w:rsid w:val="002A07BD"/>
    <w:rsid w:val="002A0960"/>
    <w:rsid w:val="002A0FC3"/>
    <w:rsid w:val="002A1177"/>
    <w:rsid w:val="002A2154"/>
    <w:rsid w:val="002A2604"/>
    <w:rsid w:val="002A3C68"/>
    <w:rsid w:val="002A68E9"/>
    <w:rsid w:val="002A6D0F"/>
    <w:rsid w:val="002B1284"/>
    <w:rsid w:val="002B21FB"/>
    <w:rsid w:val="002B4925"/>
    <w:rsid w:val="002B5C98"/>
    <w:rsid w:val="002B65A0"/>
    <w:rsid w:val="002B6962"/>
    <w:rsid w:val="002B6A6F"/>
    <w:rsid w:val="002B732A"/>
    <w:rsid w:val="002B7655"/>
    <w:rsid w:val="002B7A55"/>
    <w:rsid w:val="002B7BAB"/>
    <w:rsid w:val="002B7D18"/>
    <w:rsid w:val="002C3046"/>
    <w:rsid w:val="002C3815"/>
    <w:rsid w:val="002C68DB"/>
    <w:rsid w:val="002C6D17"/>
    <w:rsid w:val="002C6F04"/>
    <w:rsid w:val="002C73FB"/>
    <w:rsid w:val="002D0180"/>
    <w:rsid w:val="002D0AB7"/>
    <w:rsid w:val="002D1618"/>
    <w:rsid w:val="002D34AF"/>
    <w:rsid w:val="002D372D"/>
    <w:rsid w:val="002D6A40"/>
    <w:rsid w:val="002D77A8"/>
    <w:rsid w:val="002E098A"/>
    <w:rsid w:val="002E0A61"/>
    <w:rsid w:val="002E26D6"/>
    <w:rsid w:val="002E32BD"/>
    <w:rsid w:val="002E3DC2"/>
    <w:rsid w:val="002E4111"/>
    <w:rsid w:val="002E4BD2"/>
    <w:rsid w:val="002E7922"/>
    <w:rsid w:val="002F0BED"/>
    <w:rsid w:val="002F0E1A"/>
    <w:rsid w:val="002F100E"/>
    <w:rsid w:val="002F1A8D"/>
    <w:rsid w:val="002F2C85"/>
    <w:rsid w:val="002F446F"/>
    <w:rsid w:val="002F5AAC"/>
    <w:rsid w:val="002F68E9"/>
    <w:rsid w:val="002F7D7F"/>
    <w:rsid w:val="003002FB"/>
    <w:rsid w:val="00300342"/>
    <w:rsid w:val="0030044C"/>
    <w:rsid w:val="0030110A"/>
    <w:rsid w:val="003013AE"/>
    <w:rsid w:val="00302094"/>
    <w:rsid w:val="0030281F"/>
    <w:rsid w:val="0030326B"/>
    <w:rsid w:val="00303617"/>
    <w:rsid w:val="0030480F"/>
    <w:rsid w:val="00306207"/>
    <w:rsid w:val="003100C6"/>
    <w:rsid w:val="00310658"/>
    <w:rsid w:val="00310B31"/>
    <w:rsid w:val="00312048"/>
    <w:rsid w:val="00312842"/>
    <w:rsid w:val="00314B71"/>
    <w:rsid w:val="00314F43"/>
    <w:rsid w:val="00315CD4"/>
    <w:rsid w:val="00316AB2"/>
    <w:rsid w:val="0032159B"/>
    <w:rsid w:val="00321EB6"/>
    <w:rsid w:val="00322677"/>
    <w:rsid w:val="0032272E"/>
    <w:rsid w:val="00323C65"/>
    <w:rsid w:val="00325648"/>
    <w:rsid w:val="0032665E"/>
    <w:rsid w:val="003267F6"/>
    <w:rsid w:val="003276F9"/>
    <w:rsid w:val="003309FD"/>
    <w:rsid w:val="00331BD2"/>
    <w:rsid w:val="00331DF2"/>
    <w:rsid w:val="00333911"/>
    <w:rsid w:val="00334021"/>
    <w:rsid w:val="00334A5B"/>
    <w:rsid w:val="00335397"/>
    <w:rsid w:val="00335FEA"/>
    <w:rsid w:val="00336E7C"/>
    <w:rsid w:val="00341261"/>
    <w:rsid w:val="00342276"/>
    <w:rsid w:val="00342EE3"/>
    <w:rsid w:val="00343728"/>
    <w:rsid w:val="00343BE4"/>
    <w:rsid w:val="003445CA"/>
    <w:rsid w:val="003448E7"/>
    <w:rsid w:val="00344F02"/>
    <w:rsid w:val="00345497"/>
    <w:rsid w:val="00345603"/>
    <w:rsid w:val="0034634B"/>
    <w:rsid w:val="0035011C"/>
    <w:rsid w:val="00352E78"/>
    <w:rsid w:val="00354C0F"/>
    <w:rsid w:val="00355931"/>
    <w:rsid w:val="00355DB6"/>
    <w:rsid w:val="00357921"/>
    <w:rsid w:val="003603B6"/>
    <w:rsid w:val="00360DC8"/>
    <w:rsid w:val="00360F3E"/>
    <w:rsid w:val="00363064"/>
    <w:rsid w:val="003632C7"/>
    <w:rsid w:val="0036422B"/>
    <w:rsid w:val="003642CD"/>
    <w:rsid w:val="00365ADE"/>
    <w:rsid w:val="00366AE4"/>
    <w:rsid w:val="003673F5"/>
    <w:rsid w:val="00367D02"/>
    <w:rsid w:val="00370586"/>
    <w:rsid w:val="00370D04"/>
    <w:rsid w:val="003710F1"/>
    <w:rsid w:val="003714E9"/>
    <w:rsid w:val="00372292"/>
    <w:rsid w:val="003752DB"/>
    <w:rsid w:val="00376E64"/>
    <w:rsid w:val="003803D5"/>
    <w:rsid w:val="00380BBC"/>
    <w:rsid w:val="00381077"/>
    <w:rsid w:val="00381747"/>
    <w:rsid w:val="003817EF"/>
    <w:rsid w:val="00381F27"/>
    <w:rsid w:val="00382949"/>
    <w:rsid w:val="00383BFA"/>
    <w:rsid w:val="0038416C"/>
    <w:rsid w:val="00390090"/>
    <w:rsid w:val="003906D7"/>
    <w:rsid w:val="0039200E"/>
    <w:rsid w:val="003931C6"/>
    <w:rsid w:val="0039334A"/>
    <w:rsid w:val="00393609"/>
    <w:rsid w:val="0039477B"/>
    <w:rsid w:val="003951D1"/>
    <w:rsid w:val="0039650E"/>
    <w:rsid w:val="00397E2B"/>
    <w:rsid w:val="003A08D9"/>
    <w:rsid w:val="003A2D51"/>
    <w:rsid w:val="003A337A"/>
    <w:rsid w:val="003A3AE3"/>
    <w:rsid w:val="003A5251"/>
    <w:rsid w:val="003A624D"/>
    <w:rsid w:val="003A7398"/>
    <w:rsid w:val="003A7A1F"/>
    <w:rsid w:val="003B0A6D"/>
    <w:rsid w:val="003B1F95"/>
    <w:rsid w:val="003B20A5"/>
    <w:rsid w:val="003B2ED6"/>
    <w:rsid w:val="003B3538"/>
    <w:rsid w:val="003B4B8C"/>
    <w:rsid w:val="003B57A1"/>
    <w:rsid w:val="003B60AD"/>
    <w:rsid w:val="003B618C"/>
    <w:rsid w:val="003B630C"/>
    <w:rsid w:val="003B6E53"/>
    <w:rsid w:val="003B77E7"/>
    <w:rsid w:val="003B7907"/>
    <w:rsid w:val="003B7F41"/>
    <w:rsid w:val="003C499D"/>
    <w:rsid w:val="003C5B21"/>
    <w:rsid w:val="003D164C"/>
    <w:rsid w:val="003D19D5"/>
    <w:rsid w:val="003D1FD9"/>
    <w:rsid w:val="003D31BA"/>
    <w:rsid w:val="003D3B63"/>
    <w:rsid w:val="003D650A"/>
    <w:rsid w:val="003D7499"/>
    <w:rsid w:val="003E38A3"/>
    <w:rsid w:val="003E4F5C"/>
    <w:rsid w:val="003E5529"/>
    <w:rsid w:val="003E58E1"/>
    <w:rsid w:val="003E5D84"/>
    <w:rsid w:val="003F06FF"/>
    <w:rsid w:val="003F0DD2"/>
    <w:rsid w:val="003F0E95"/>
    <w:rsid w:val="003F1C08"/>
    <w:rsid w:val="003F219C"/>
    <w:rsid w:val="003F3134"/>
    <w:rsid w:val="003F517F"/>
    <w:rsid w:val="003F7867"/>
    <w:rsid w:val="0040024E"/>
    <w:rsid w:val="00400CF0"/>
    <w:rsid w:val="00401957"/>
    <w:rsid w:val="004019F6"/>
    <w:rsid w:val="00403BBB"/>
    <w:rsid w:val="00404B05"/>
    <w:rsid w:val="00404E9B"/>
    <w:rsid w:val="0040510B"/>
    <w:rsid w:val="00405B51"/>
    <w:rsid w:val="00411A91"/>
    <w:rsid w:val="00411D33"/>
    <w:rsid w:val="00411F74"/>
    <w:rsid w:val="00414FA5"/>
    <w:rsid w:val="00415207"/>
    <w:rsid w:val="004159FA"/>
    <w:rsid w:val="00417684"/>
    <w:rsid w:val="0041798D"/>
    <w:rsid w:val="00417DCD"/>
    <w:rsid w:val="00417F66"/>
    <w:rsid w:val="004200FF"/>
    <w:rsid w:val="004206AE"/>
    <w:rsid w:val="004215A1"/>
    <w:rsid w:val="00421623"/>
    <w:rsid w:val="004224F7"/>
    <w:rsid w:val="004230B0"/>
    <w:rsid w:val="0042335B"/>
    <w:rsid w:val="004308CE"/>
    <w:rsid w:val="0043112F"/>
    <w:rsid w:val="0043374C"/>
    <w:rsid w:val="00434691"/>
    <w:rsid w:val="00434A8B"/>
    <w:rsid w:val="00434ACD"/>
    <w:rsid w:val="00434F7B"/>
    <w:rsid w:val="00434FE0"/>
    <w:rsid w:val="00435937"/>
    <w:rsid w:val="00435D55"/>
    <w:rsid w:val="0043652F"/>
    <w:rsid w:val="00437BFF"/>
    <w:rsid w:val="00440625"/>
    <w:rsid w:val="00442C23"/>
    <w:rsid w:val="00442CA6"/>
    <w:rsid w:val="004434C2"/>
    <w:rsid w:val="00445396"/>
    <w:rsid w:val="00445D4B"/>
    <w:rsid w:val="00446B26"/>
    <w:rsid w:val="004479C4"/>
    <w:rsid w:val="00450090"/>
    <w:rsid w:val="004504DD"/>
    <w:rsid w:val="00451432"/>
    <w:rsid w:val="0045294C"/>
    <w:rsid w:val="00452B18"/>
    <w:rsid w:val="00453094"/>
    <w:rsid w:val="00453672"/>
    <w:rsid w:val="004540C9"/>
    <w:rsid w:val="00455D58"/>
    <w:rsid w:val="0045673E"/>
    <w:rsid w:val="0045793A"/>
    <w:rsid w:val="004603CB"/>
    <w:rsid w:val="004617DE"/>
    <w:rsid w:val="00461D22"/>
    <w:rsid w:val="004626F3"/>
    <w:rsid w:val="00462D59"/>
    <w:rsid w:val="00463039"/>
    <w:rsid w:val="004631D0"/>
    <w:rsid w:val="00464520"/>
    <w:rsid w:val="004653BF"/>
    <w:rsid w:val="0046566D"/>
    <w:rsid w:val="00466F2C"/>
    <w:rsid w:val="0046703B"/>
    <w:rsid w:val="00467248"/>
    <w:rsid w:val="00471AB7"/>
    <w:rsid w:val="00473926"/>
    <w:rsid w:val="00473C7E"/>
    <w:rsid w:val="00474BFB"/>
    <w:rsid w:val="004752A1"/>
    <w:rsid w:val="004752E8"/>
    <w:rsid w:val="00475602"/>
    <w:rsid w:val="00475702"/>
    <w:rsid w:val="004762A9"/>
    <w:rsid w:val="00476C53"/>
    <w:rsid w:val="004813FC"/>
    <w:rsid w:val="0048242B"/>
    <w:rsid w:val="00483A35"/>
    <w:rsid w:val="00484527"/>
    <w:rsid w:val="00485422"/>
    <w:rsid w:val="00486EAF"/>
    <w:rsid w:val="0048770D"/>
    <w:rsid w:val="0049009C"/>
    <w:rsid w:val="00490316"/>
    <w:rsid w:val="00490844"/>
    <w:rsid w:val="00490D55"/>
    <w:rsid w:val="00490DB2"/>
    <w:rsid w:val="004911C5"/>
    <w:rsid w:val="00492749"/>
    <w:rsid w:val="0049341B"/>
    <w:rsid w:val="00493B4C"/>
    <w:rsid w:val="0049428D"/>
    <w:rsid w:val="00494F7B"/>
    <w:rsid w:val="00496226"/>
    <w:rsid w:val="004A010A"/>
    <w:rsid w:val="004A2B01"/>
    <w:rsid w:val="004A33FB"/>
    <w:rsid w:val="004A39DA"/>
    <w:rsid w:val="004A3DD3"/>
    <w:rsid w:val="004A3EDA"/>
    <w:rsid w:val="004A5505"/>
    <w:rsid w:val="004A5A18"/>
    <w:rsid w:val="004B0F4B"/>
    <w:rsid w:val="004B1342"/>
    <w:rsid w:val="004B1CF6"/>
    <w:rsid w:val="004B25E1"/>
    <w:rsid w:val="004B3933"/>
    <w:rsid w:val="004B3C2B"/>
    <w:rsid w:val="004B3FF2"/>
    <w:rsid w:val="004B47EC"/>
    <w:rsid w:val="004B4F75"/>
    <w:rsid w:val="004B68AA"/>
    <w:rsid w:val="004B692E"/>
    <w:rsid w:val="004B70B8"/>
    <w:rsid w:val="004B79C2"/>
    <w:rsid w:val="004C1222"/>
    <w:rsid w:val="004C227F"/>
    <w:rsid w:val="004C27F7"/>
    <w:rsid w:val="004C2B7A"/>
    <w:rsid w:val="004C32FF"/>
    <w:rsid w:val="004C3479"/>
    <w:rsid w:val="004C36BB"/>
    <w:rsid w:val="004C405A"/>
    <w:rsid w:val="004C42B2"/>
    <w:rsid w:val="004C438A"/>
    <w:rsid w:val="004C44AD"/>
    <w:rsid w:val="004C5D90"/>
    <w:rsid w:val="004D1227"/>
    <w:rsid w:val="004D193C"/>
    <w:rsid w:val="004D19D1"/>
    <w:rsid w:val="004D2145"/>
    <w:rsid w:val="004D3EDA"/>
    <w:rsid w:val="004D4B24"/>
    <w:rsid w:val="004D6BB9"/>
    <w:rsid w:val="004D737A"/>
    <w:rsid w:val="004D7F9B"/>
    <w:rsid w:val="004E086D"/>
    <w:rsid w:val="004E141B"/>
    <w:rsid w:val="004E1463"/>
    <w:rsid w:val="004E170C"/>
    <w:rsid w:val="004E2F26"/>
    <w:rsid w:val="004E4A02"/>
    <w:rsid w:val="004E5254"/>
    <w:rsid w:val="004E6874"/>
    <w:rsid w:val="004E6A76"/>
    <w:rsid w:val="004E6F08"/>
    <w:rsid w:val="004F0610"/>
    <w:rsid w:val="004F147A"/>
    <w:rsid w:val="004F1942"/>
    <w:rsid w:val="004F2E5C"/>
    <w:rsid w:val="004F3A0D"/>
    <w:rsid w:val="004F3BF3"/>
    <w:rsid w:val="004F415F"/>
    <w:rsid w:val="004F4367"/>
    <w:rsid w:val="004F45F0"/>
    <w:rsid w:val="004F46A6"/>
    <w:rsid w:val="004F4D0A"/>
    <w:rsid w:val="004F550C"/>
    <w:rsid w:val="004F56A9"/>
    <w:rsid w:val="004F6492"/>
    <w:rsid w:val="004F6ED7"/>
    <w:rsid w:val="004F7664"/>
    <w:rsid w:val="004F7CA1"/>
    <w:rsid w:val="004F7F8C"/>
    <w:rsid w:val="00500AC0"/>
    <w:rsid w:val="00503F0D"/>
    <w:rsid w:val="00504C94"/>
    <w:rsid w:val="00505042"/>
    <w:rsid w:val="005050C2"/>
    <w:rsid w:val="005054E6"/>
    <w:rsid w:val="00505528"/>
    <w:rsid w:val="00505913"/>
    <w:rsid w:val="00506357"/>
    <w:rsid w:val="005063FC"/>
    <w:rsid w:val="005067CB"/>
    <w:rsid w:val="00506A5D"/>
    <w:rsid w:val="00506FA4"/>
    <w:rsid w:val="0051007A"/>
    <w:rsid w:val="00510ED4"/>
    <w:rsid w:val="00511897"/>
    <w:rsid w:val="00512585"/>
    <w:rsid w:val="005145A0"/>
    <w:rsid w:val="005146B5"/>
    <w:rsid w:val="005149C3"/>
    <w:rsid w:val="00514BA6"/>
    <w:rsid w:val="005159B2"/>
    <w:rsid w:val="00515B3B"/>
    <w:rsid w:val="005163BD"/>
    <w:rsid w:val="00516890"/>
    <w:rsid w:val="00517111"/>
    <w:rsid w:val="005205DB"/>
    <w:rsid w:val="00520766"/>
    <w:rsid w:val="00522DC2"/>
    <w:rsid w:val="0052340A"/>
    <w:rsid w:val="005234E3"/>
    <w:rsid w:val="00524239"/>
    <w:rsid w:val="0052426F"/>
    <w:rsid w:val="00525290"/>
    <w:rsid w:val="0052591D"/>
    <w:rsid w:val="00525923"/>
    <w:rsid w:val="00527DC3"/>
    <w:rsid w:val="00527E2B"/>
    <w:rsid w:val="00530F9E"/>
    <w:rsid w:val="0053118F"/>
    <w:rsid w:val="00535DC2"/>
    <w:rsid w:val="00537AEC"/>
    <w:rsid w:val="00540655"/>
    <w:rsid w:val="00540B28"/>
    <w:rsid w:val="00541268"/>
    <w:rsid w:val="00541432"/>
    <w:rsid w:val="00541FC4"/>
    <w:rsid w:val="0054271B"/>
    <w:rsid w:val="00543BBA"/>
    <w:rsid w:val="0054652D"/>
    <w:rsid w:val="005466C1"/>
    <w:rsid w:val="00552261"/>
    <w:rsid w:val="00555C08"/>
    <w:rsid w:val="00556197"/>
    <w:rsid w:val="00556997"/>
    <w:rsid w:val="00557325"/>
    <w:rsid w:val="00557F3C"/>
    <w:rsid w:val="00561717"/>
    <w:rsid w:val="0056196E"/>
    <w:rsid w:val="00561A4C"/>
    <w:rsid w:val="00562A4B"/>
    <w:rsid w:val="00562BA7"/>
    <w:rsid w:val="00563811"/>
    <w:rsid w:val="00567BC8"/>
    <w:rsid w:val="00570254"/>
    <w:rsid w:val="005713BD"/>
    <w:rsid w:val="00571BF7"/>
    <w:rsid w:val="00572686"/>
    <w:rsid w:val="00573530"/>
    <w:rsid w:val="00573CD0"/>
    <w:rsid w:val="0057465B"/>
    <w:rsid w:val="0058140E"/>
    <w:rsid w:val="00581674"/>
    <w:rsid w:val="00581A74"/>
    <w:rsid w:val="00581F5A"/>
    <w:rsid w:val="00584583"/>
    <w:rsid w:val="00584D73"/>
    <w:rsid w:val="00584EE5"/>
    <w:rsid w:val="0058584F"/>
    <w:rsid w:val="00590862"/>
    <w:rsid w:val="00590FBE"/>
    <w:rsid w:val="0059143C"/>
    <w:rsid w:val="00592C4B"/>
    <w:rsid w:val="00593539"/>
    <w:rsid w:val="00593811"/>
    <w:rsid w:val="00593FE9"/>
    <w:rsid w:val="00595DE5"/>
    <w:rsid w:val="00595E82"/>
    <w:rsid w:val="00596475"/>
    <w:rsid w:val="00597725"/>
    <w:rsid w:val="005A3B22"/>
    <w:rsid w:val="005A4805"/>
    <w:rsid w:val="005A4FCF"/>
    <w:rsid w:val="005A7C17"/>
    <w:rsid w:val="005B19FA"/>
    <w:rsid w:val="005B1DBD"/>
    <w:rsid w:val="005B1E0F"/>
    <w:rsid w:val="005B2C6B"/>
    <w:rsid w:val="005B6595"/>
    <w:rsid w:val="005B68B1"/>
    <w:rsid w:val="005C0560"/>
    <w:rsid w:val="005C0583"/>
    <w:rsid w:val="005C0585"/>
    <w:rsid w:val="005C0FAB"/>
    <w:rsid w:val="005C1B0F"/>
    <w:rsid w:val="005C2583"/>
    <w:rsid w:val="005C40AB"/>
    <w:rsid w:val="005C5034"/>
    <w:rsid w:val="005C54A0"/>
    <w:rsid w:val="005C5F00"/>
    <w:rsid w:val="005C665B"/>
    <w:rsid w:val="005D05D5"/>
    <w:rsid w:val="005D0ABF"/>
    <w:rsid w:val="005D0BEC"/>
    <w:rsid w:val="005D13C2"/>
    <w:rsid w:val="005D3549"/>
    <w:rsid w:val="005D3F5B"/>
    <w:rsid w:val="005D54D8"/>
    <w:rsid w:val="005D7321"/>
    <w:rsid w:val="005D7AAE"/>
    <w:rsid w:val="005E0DF4"/>
    <w:rsid w:val="005E0E0A"/>
    <w:rsid w:val="005E267A"/>
    <w:rsid w:val="005E2939"/>
    <w:rsid w:val="005E3C5F"/>
    <w:rsid w:val="005E4C2E"/>
    <w:rsid w:val="005E58FE"/>
    <w:rsid w:val="005E5D71"/>
    <w:rsid w:val="005E69E8"/>
    <w:rsid w:val="005F0D6D"/>
    <w:rsid w:val="005F1783"/>
    <w:rsid w:val="005F19A7"/>
    <w:rsid w:val="005F2AE4"/>
    <w:rsid w:val="005F31BC"/>
    <w:rsid w:val="005F37FF"/>
    <w:rsid w:val="005F45E1"/>
    <w:rsid w:val="005F4D2E"/>
    <w:rsid w:val="005F53AA"/>
    <w:rsid w:val="005F5762"/>
    <w:rsid w:val="005F5B2B"/>
    <w:rsid w:val="005F68FC"/>
    <w:rsid w:val="005F7822"/>
    <w:rsid w:val="006012FC"/>
    <w:rsid w:val="00604000"/>
    <w:rsid w:val="0060444E"/>
    <w:rsid w:val="00604E9F"/>
    <w:rsid w:val="00604EEE"/>
    <w:rsid w:val="00605A6E"/>
    <w:rsid w:val="006068C8"/>
    <w:rsid w:val="006070B2"/>
    <w:rsid w:val="006075C9"/>
    <w:rsid w:val="0060797F"/>
    <w:rsid w:val="0061090E"/>
    <w:rsid w:val="00610B38"/>
    <w:rsid w:val="00611FA0"/>
    <w:rsid w:val="00612931"/>
    <w:rsid w:val="00612D42"/>
    <w:rsid w:val="0061391F"/>
    <w:rsid w:val="00613C84"/>
    <w:rsid w:val="0061509F"/>
    <w:rsid w:val="006152A9"/>
    <w:rsid w:val="006159F8"/>
    <w:rsid w:val="00615B20"/>
    <w:rsid w:val="0061680B"/>
    <w:rsid w:val="00616B08"/>
    <w:rsid w:val="00616EC5"/>
    <w:rsid w:val="00621672"/>
    <w:rsid w:val="006232C5"/>
    <w:rsid w:val="00623FC9"/>
    <w:rsid w:val="006255D3"/>
    <w:rsid w:val="006255F6"/>
    <w:rsid w:val="006278F4"/>
    <w:rsid w:val="00627D7E"/>
    <w:rsid w:val="0063092D"/>
    <w:rsid w:val="00632DE5"/>
    <w:rsid w:val="00633796"/>
    <w:rsid w:val="00634058"/>
    <w:rsid w:val="006346AF"/>
    <w:rsid w:val="00634F5F"/>
    <w:rsid w:val="00635A11"/>
    <w:rsid w:val="00636CEF"/>
    <w:rsid w:val="00640442"/>
    <w:rsid w:val="0064165D"/>
    <w:rsid w:val="00643F96"/>
    <w:rsid w:val="00644CA7"/>
    <w:rsid w:val="00645694"/>
    <w:rsid w:val="00646D69"/>
    <w:rsid w:val="00651B38"/>
    <w:rsid w:val="00651E0B"/>
    <w:rsid w:val="00653D07"/>
    <w:rsid w:val="00654428"/>
    <w:rsid w:val="00657282"/>
    <w:rsid w:val="0066159E"/>
    <w:rsid w:val="00661603"/>
    <w:rsid w:val="00663E6B"/>
    <w:rsid w:val="00665C3E"/>
    <w:rsid w:val="0066621D"/>
    <w:rsid w:val="006662FF"/>
    <w:rsid w:val="006675B9"/>
    <w:rsid w:val="0067008E"/>
    <w:rsid w:val="006714A5"/>
    <w:rsid w:val="006714BE"/>
    <w:rsid w:val="006736F8"/>
    <w:rsid w:val="00674E8B"/>
    <w:rsid w:val="00675380"/>
    <w:rsid w:val="00675CF7"/>
    <w:rsid w:val="0067606F"/>
    <w:rsid w:val="0067617E"/>
    <w:rsid w:val="00677085"/>
    <w:rsid w:val="00677AD7"/>
    <w:rsid w:val="00680FE3"/>
    <w:rsid w:val="006814AE"/>
    <w:rsid w:val="00682ECE"/>
    <w:rsid w:val="00682F4C"/>
    <w:rsid w:val="0068371E"/>
    <w:rsid w:val="00683889"/>
    <w:rsid w:val="00683D33"/>
    <w:rsid w:val="00685CCE"/>
    <w:rsid w:val="006873C2"/>
    <w:rsid w:val="006918D8"/>
    <w:rsid w:val="00691A38"/>
    <w:rsid w:val="00692269"/>
    <w:rsid w:val="00694DF1"/>
    <w:rsid w:val="0069691F"/>
    <w:rsid w:val="006975E6"/>
    <w:rsid w:val="006A000C"/>
    <w:rsid w:val="006A1273"/>
    <w:rsid w:val="006A24BA"/>
    <w:rsid w:val="006A25E3"/>
    <w:rsid w:val="006A2DBA"/>
    <w:rsid w:val="006A3BAA"/>
    <w:rsid w:val="006A4646"/>
    <w:rsid w:val="006A5E76"/>
    <w:rsid w:val="006A611C"/>
    <w:rsid w:val="006A66D7"/>
    <w:rsid w:val="006B10BC"/>
    <w:rsid w:val="006B1AA8"/>
    <w:rsid w:val="006B2AE4"/>
    <w:rsid w:val="006B2B48"/>
    <w:rsid w:val="006B4104"/>
    <w:rsid w:val="006B4B37"/>
    <w:rsid w:val="006B5BFC"/>
    <w:rsid w:val="006B7B4F"/>
    <w:rsid w:val="006B7EBE"/>
    <w:rsid w:val="006C0F5F"/>
    <w:rsid w:val="006C35C0"/>
    <w:rsid w:val="006C3C3A"/>
    <w:rsid w:val="006C4FC4"/>
    <w:rsid w:val="006C53D9"/>
    <w:rsid w:val="006C775F"/>
    <w:rsid w:val="006D127B"/>
    <w:rsid w:val="006D2213"/>
    <w:rsid w:val="006D37CD"/>
    <w:rsid w:val="006D4F14"/>
    <w:rsid w:val="006D5B1D"/>
    <w:rsid w:val="006D6081"/>
    <w:rsid w:val="006D60DD"/>
    <w:rsid w:val="006D6143"/>
    <w:rsid w:val="006D72A3"/>
    <w:rsid w:val="006D7DA8"/>
    <w:rsid w:val="006E090E"/>
    <w:rsid w:val="006E2E28"/>
    <w:rsid w:val="006E342A"/>
    <w:rsid w:val="006E3F3D"/>
    <w:rsid w:val="006E5E15"/>
    <w:rsid w:val="006E5F89"/>
    <w:rsid w:val="006E7368"/>
    <w:rsid w:val="006E7A4C"/>
    <w:rsid w:val="006F2706"/>
    <w:rsid w:val="006F32FA"/>
    <w:rsid w:val="006F3A3A"/>
    <w:rsid w:val="006F4104"/>
    <w:rsid w:val="006F516D"/>
    <w:rsid w:val="006F6805"/>
    <w:rsid w:val="006F6DB2"/>
    <w:rsid w:val="00700466"/>
    <w:rsid w:val="00701BC9"/>
    <w:rsid w:val="00701BCA"/>
    <w:rsid w:val="007021BD"/>
    <w:rsid w:val="00702A94"/>
    <w:rsid w:val="00703167"/>
    <w:rsid w:val="00703A61"/>
    <w:rsid w:val="00704E9A"/>
    <w:rsid w:val="0070581D"/>
    <w:rsid w:val="00706564"/>
    <w:rsid w:val="0070699D"/>
    <w:rsid w:val="0071048A"/>
    <w:rsid w:val="00710DF2"/>
    <w:rsid w:val="00711F2A"/>
    <w:rsid w:val="00712080"/>
    <w:rsid w:val="007122A9"/>
    <w:rsid w:val="0071424E"/>
    <w:rsid w:val="00714B1A"/>
    <w:rsid w:val="00720256"/>
    <w:rsid w:val="00720D89"/>
    <w:rsid w:val="00720EAC"/>
    <w:rsid w:val="007225A8"/>
    <w:rsid w:val="00723BCB"/>
    <w:rsid w:val="007240B8"/>
    <w:rsid w:val="00724986"/>
    <w:rsid w:val="00725D19"/>
    <w:rsid w:val="00725EA5"/>
    <w:rsid w:val="007269D4"/>
    <w:rsid w:val="00727F26"/>
    <w:rsid w:val="0073061A"/>
    <w:rsid w:val="00730B2E"/>
    <w:rsid w:val="00731280"/>
    <w:rsid w:val="007315A4"/>
    <w:rsid w:val="007333CB"/>
    <w:rsid w:val="00735E18"/>
    <w:rsid w:val="007373E6"/>
    <w:rsid w:val="007376A4"/>
    <w:rsid w:val="00741497"/>
    <w:rsid w:val="007422E9"/>
    <w:rsid w:val="0075033D"/>
    <w:rsid w:val="00750836"/>
    <w:rsid w:val="00752DC1"/>
    <w:rsid w:val="00753B21"/>
    <w:rsid w:val="00756110"/>
    <w:rsid w:val="00756793"/>
    <w:rsid w:val="00757E80"/>
    <w:rsid w:val="0076014F"/>
    <w:rsid w:val="00760D72"/>
    <w:rsid w:val="0076104B"/>
    <w:rsid w:val="007635D6"/>
    <w:rsid w:val="00764BC2"/>
    <w:rsid w:val="007654C7"/>
    <w:rsid w:val="00765CFA"/>
    <w:rsid w:val="0076629B"/>
    <w:rsid w:val="00771B83"/>
    <w:rsid w:val="00772D0B"/>
    <w:rsid w:val="0077341A"/>
    <w:rsid w:val="007734D7"/>
    <w:rsid w:val="007750EB"/>
    <w:rsid w:val="00775F27"/>
    <w:rsid w:val="00776709"/>
    <w:rsid w:val="00777E38"/>
    <w:rsid w:val="00780E72"/>
    <w:rsid w:val="007813D4"/>
    <w:rsid w:val="007818B0"/>
    <w:rsid w:val="00781F83"/>
    <w:rsid w:val="00783985"/>
    <w:rsid w:val="00783DDB"/>
    <w:rsid w:val="00783E98"/>
    <w:rsid w:val="00784667"/>
    <w:rsid w:val="00784964"/>
    <w:rsid w:val="007857CC"/>
    <w:rsid w:val="0078649D"/>
    <w:rsid w:val="007872D6"/>
    <w:rsid w:val="0078760B"/>
    <w:rsid w:val="00787988"/>
    <w:rsid w:val="007911C8"/>
    <w:rsid w:val="00791A45"/>
    <w:rsid w:val="00791C01"/>
    <w:rsid w:val="0079341A"/>
    <w:rsid w:val="0079418D"/>
    <w:rsid w:val="00795304"/>
    <w:rsid w:val="00795378"/>
    <w:rsid w:val="00795708"/>
    <w:rsid w:val="007972D2"/>
    <w:rsid w:val="007A00D1"/>
    <w:rsid w:val="007A0808"/>
    <w:rsid w:val="007A0DD8"/>
    <w:rsid w:val="007A1127"/>
    <w:rsid w:val="007A174A"/>
    <w:rsid w:val="007A320A"/>
    <w:rsid w:val="007A333D"/>
    <w:rsid w:val="007A5453"/>
    <w:rsid w:val="007A5BE9"/>
    <w:rsid w:val="007A5CA5"/>
    <w:rsid w:val="007A5D79"/>
    <w:rsid w:val="007A755E"/>
    <w:rsid w:val="007A7604"/>
    <w:rsid w:val="007A7CE3"/>
    <w:rsid w:val="007B0FB1"/>
    <w:rsid w:val="007B17D7"/>
    <w:rsid w:val="007B17EF"/>
    <w:rsid w:val="007B1AF0"/>
    <w:rsid w:val="007B22AC"/>
    <w:rsid w:val="007B6385"/>
    <w:rsid w:val="007B64E9"/>
    <w:rsid w:val="007B6935"/>
    <w:rsid w:val="007B7964"/>
    <w:rsid w:val="007B7F64"/>
    <w:rsid w:val="007B7F69"/>
    <w:rsid w:val="007C02AC"/>
    <w:rsid w:val="007C0C40"/>
    <w:rsid w:val="007C37F9"/>
    <w:rsid w:val="007C6042"/>
    <w:rsid w:val="007C76A0"/>
    <w:rsid w:val="007C7AF0"/>
    <w:rsid w:val="007D0460"/>
    <w:rsid w:val="007D06A5"/>
    <w:rsid w:val="007D1EBA"/>
    <w:rsid w:val="007D25C2"/>
    <w:rsid w:val="007D2C9E"/>
    <w:rsid w:val="007D31FC"/>
    <w:rsid w:val="007D6F4C"/>
    <w:rsid w:val="007E1E5A"/>
    <w:rsid w:val="007E2577"/>
    <w:rsid w:val="007E2D92"/>
    <w:rsid w:val="007E356F"/>
    <w:rsid w:val="007E56F6"/>
    <w:rsid w:val="007E588A"/>
    <w:rsid w:val="007E5BD4"/>
    <w:rsid w:val="007E6663"/>
    <w:rsid w:val="007E780E"/>
    <w:rsid w:val="007E7859"/>
    <w:rsid w:val="007F011E"/>
    <w:rsid w:val="007F0353"/>
    <w:rsid w:val="007F0699"/>
    <w:rsid w:val="007F0B6D"/>
    <w:rsid w:val="007F1D21"/>
    <w:rsid w:val="007F1DB7"/>
    <w:rsid w:val="007F22B8"/>
    <w:rsid w:val="007F3B52"/>
    <w:rsid w:val="007F41E8"/>
    <w:rsid w:val="007F4CC2"/>
    <w:rsid w:val="007F4D76"/>
    <w:rsid w:val="007F65CD"/>
    <w:rsid w:val="007F7EF6"/>
    <w:rsid w:val="008002DB"/>
    <w:rsid w:val="00802CAE"/>
    <w:rsid w:val="00803AD9"/>
    <w:rsid w:val="00805754"/>
    <w:rsid w:val="00805CDD"/>
    <w:rsid w:val="00806788"/>
    <w:rsid w:val="00810009"/>
    <w:rsid w:val="00810E26"/>
    <w:rsid w:val="00811B93"/>
    <w:rsid w:val="00812AA6"/>
    <w:rsid w:val="00812D83"/>
    <w:rsid w:val="00813751"/>
    <w:rsid w:val="00814EE9"/>
    <w:rsid w:val="008152B0"/>
    <w:rsid w:val="0081588F"/>
    <w:rsid w:val="0081592E"/>
    <w:rsid w:val="00815B34"/>
    <w:rsid w:val="008169F7"/>
    <w:rsid w:val="00817CC2"/>
    <w:rsid w:val="0082026D"/>
    <w:rsid w:val="0082217E"/>
    <w:rsid w:val="00823AAA"/>
    <w:rsid w:val="00823B94"/>
    <w:rsid w:val="00824C7C"/>
    <w:rsid w:val="00825598"/>
    <w:rsid w:val="00825A77"/>
    <w:rsid w:val="00826FA0"/>
    <w:rsid w:val="00830B98"/>
    <w:rsid w:val="00835594"/>
    <w:rsid w:val="00836896"/>
    <w:rsid w:val="00836BB3"/>
    <w:rsid w:val="00837229"/>
    <w:rsid w:val="00840B84"/>
    <w:rsid w:val="00841504"/>
    <w:rsid w:val="008429C7"/>
    <w:rsid w:val="0084316D"/>
    <w:rsid w:val="00843BD1"/>
    <w:rsid w:val="00843E38"/>
    <w:rsid w:val="00844189"/>
    <w:rsid w:val="00844B46"/>
    <w:rsid w:val="00845D89"/>
    <w:rsid w:val="00845F37"/>
    <w:rsid w:val="008463E1"/>
    <w:rsid w:val="00846426"/>
    <w:rsid w:val="00846AC2"/>
    <w:rsid w:val="00846B28"/>
    <w:rsid w:val="00847EA5"/>
    <w:rsid w:val="00852663"/>
    <w:rsid w:val="00852987"/>
    <w:rsid w:val="00852CB9"/>
    <w:rsid w:val="00854E68"/>
    <w:rsid w:val="00855AAC"/>
    <w:rsid w:val="00856221"/>
    <w:rsid w:val="00863104"/>
    <w:rsid w:val="00863F67"/>
    <w:rsid w:val="008640DE"/>
    <w:rsid w:val="0086472B"/>
    <w:rsid w:val="008652A3"/>
    <w:rsid w:val="008656B1"/>
    <w:rsid w:val="0086589B"/>
    <w:rsid w:val="00865A81"/>
    <w:rsid w:val="00866B8C"/>
    <w:rsid w:val="00866D7F"/>
    <w:rsid w:val="00867DF8"/>
    <w:rsid w:val="00870BD8"/>
    <w:rsid w:val="00870E65"/>
    <w:rsid w:val="008717F4"/>
    <w:rsid w:val="008735A6"/>
    <w:rsid w:val="00873B8A"/>
    <w:rsid w:val="00875FC1"/>
    <w:rsid w:val="008764F6"/>
    <w:rsid w:val="00877924"/>
    <w:rsid w:val="00877FBF"/>
    <w:rsid w:val="0088240A"/>
    <w:rsid w:val="00883873"/>
    <w:rsid w:val="00885A13"/>
    <w:rsid w:val="00886122"/>
    <w:rsid w:val="00887332"/>
    <w:rsid w:val="008879CF"/>
    <w:rsid w:val="00890216"/>
    <w:rsid w:val="0089171E"/>
    <w:rsid w:val="008924AD"/>
    <w:rsid w:val="00892C96"/>
    <w:rsid w:val="00893232"/>
    <w:rsid w:val="0089384A"/>
    <w:rsid w:val="00896644"/>
    <w:rsid w:val="00896B52"/>
    <w:rsid w:val="00896D6B"/>
    <w:rsid w:val="00896F0B"/>
    <w:rsid w:val="00897D11"/>
    <w:rsid w:val="008A0EB6"/>
    <w:rsid w:val="008A0F8F"/>
    <w:rsid w:val="008A144F"/>
    <w:rsid w:val="008A2030"/>
    <w:rsid w:val="008A227A"/>
    <w:rsid w:val="008A22E3"/>
    <w:rsid w:val="008A3057"/>
    <w:rsid w:val="008A385B"/>
    <w:rsid w:val="008A38D5"/>
    <w:rsid w:val="008A5661"/>
    <w:rsid w:val="008A5BA2"/>
    <w:rsid w:val="008A5DEA"/>
    <w:rsid w:val="008A5F03"/>
    <w:rsid w:val="008A7885"/>
    <w:rsid w:val="008B2992"/>
    <w:rsid w:val="008B549F"/>
    <w:rsid w:val="008B59B0"/>
    <w:rsid w:val="008C0494"/>
    <w:rsid w:val="008C0946"/>
    <w:rsid w:val="008C0F55"/>
    <w:rsid w:val="008C1B09"/>
    <w:rsid w:val="008C2EBE"/>
    <w:rsid w:val="008C4216"/>
    <w:rsid w:val="008C47BE"/>
    <w:rsid w:val="008C5043"/>
    <w:rsid w:val="008C68FC"/>
    <w:rsid w:val="008D1F10"/>
    <w:rsid w:val="008D263F"/>
    <w:rsid w:val="008D4EC0"/>
    <w:rsid w:val="008D55ED"/>
    <w:rsid w:val="008D657E"/>
    <w:rsid w:val="008D70E3"/>
    <w:rsid w:val="008D7CB0"/>
    <w:rsid w:val="008E108A"/>
    <w:rsid w:val="008E14CF"/>
    <w:rsid w:val="008E1FCA"/>
    <w:rsid w:val="008E3267"/>
    <w:rsid w:val="008E3791"/>
    <w:rsid w:val="008E41D4"/>
    <w:rsid w:val="008E451F"/>
    <w:rsid w:val="008E5488"/>
    <w:rsid w:val="008E6C8B"/>
    <w:rsid w:val="008F1A73"/>
    <w:rsid w:val="008F1A91"/>
    <w:rsid w:val="008F1D48"/>
    <w:rsid w:val="008F3002"/>
    <w:rsid w:val="008F772C"/>
    <w:rsid w:val="008F7BC3"/>
    <w:rsid w:val="009011B7"/>
    <w:rsid w:val="00901AC9"/>
    <w:rsid w:val="0090210B"/>
    <w:rsid w:val="009023BF"/>
    <w:rsid w:val="009025FD"/>
    <w:rsid w:val="00902B32"/>
    <w:rsid w:val="00905D0F"/>
    <w:rsid w:val="00905F7D"/>
    <w:rsid w:val="00906B10"/>
    <w:rsid w:val="00907826"/>
    <w:rsid w:val="00910B3B"/>
    <w:rsid w:val="00910F69"/>
    <w:rsid w:val="009132C7"/>
    <w:rsid w:val="00913BFD"/>
    <w:rsid w:val="0091460A"/>
    <w:rsid w:val="00914722"/>
    <w:rsid w:val="0091679D"/>
    <w:rsid w:val="00916ED4"/>
    <w:rsid w:val="00920FED"/>
    <w:rsid w:val="009213E6"/>
    <w:rsid w:val="0092158C"/>
    <w:rsid w:val="00921F2A"/>
    <w:rsid w:val="009221DB"/>
    <w:rsid w:val="0092428A"/>
    <w:rsid w:val="00925AAF"/>
    <w:rsid w:val="00925C70"/>
    <w:rsid w:val="009262BD"/>
    <w:rsid w:val="0092661D"/>
    <w:rsid w:val="00926D3C"/>
    <w:rsid w:val="0092742D"/>
    <w:rsid w:val="00927911"/>
    <w:rsid w:val="009303FC"/>
    <w:rsid w:val="0093042B"/>
    <w:rsid w:val="009318BB"/>
    <w:rsid w:val="00931FEA"/>
    <w:rsid w:val="00932031"/>
    <w:rsid w:val="00932FFB"/>
    <w:rsid w:val="009340CC"/>
    <w:rsid w:val="00936D95"/>
    <w:rsid w:val="00936F11"/>
    <w:rsid w:val="009405B8"/>
    <w:rsid w:val="009406A9"/>
    <w:rsid w:val="00940A0B"/>
    <w:rsid w:val="00940A33"/>
    <w:rsid w:val="00940F3D"/>
    <w:rsid w:val="0094157C"/>
    <w:rsid w:val="00942089"/>
    <w:rsid w:val="009421FF"/>
    <w:rsid w:val="009437C4"/>
    <w:rsid w:val="00944955"/>
    <w:rsid w:val="009449E4"/>
    <w:rsid w:val="00944F6C"/>
    <w:rsid w:val="009450B9"/>
    <w:rsid w:val="009452F0"/>
    <w:rsid w:val="00945D9B"/>
    <w:rsid w:val="0094610B"/>
    <w:rsid w:val="00946CB1"/>
    <w:rsid w:val="00947FD2"/>
    <w:rsid w:val="00950A2B"/>
    <w:rsid w:val="0095158C"/>
    <w:rsid w:val="00951B3A"/>
    <w:rsid w:val="00952229"/>
    <w:rsid w:val="00953849"/>
    <w:rsid w:val="0095430B"/>
    <w:rsid w:val="00954388"/>
    <w:rsid w:val="00954D25"/>
    <w:rsid w:val="009559ED"/>
    <w:rsid w:val="00955EAD"/>
    <w:rsid w:val="00955F05"/>
    <w:rsid w:val="00960022"/>
    <w:rsid w:val="0096079A"/>
    <w:rsid w:val="00961137"/>
    <w:rsid w:val="00961DE0"/>
    <w:rsid w:val="00962193"/>
    <w:rsid w:val="0096486D"/>
    <w:rsid w:val="00965463"/>
    <w:rsid w:val="00966A1F"/>
    <w:rsid w:val="00967302"/>
    <w:rsid w:val="0097091A"/>
    <w:rsid w:val="00970C8C"/>
    <w:rsid w:val="00971107"/>
    <w:rsid w:val="0097114C"/>
    <w:rsid w:val="009716D3"/>
    <w:rsid w:val="00972222"/>
    <w:rsid w:val="00972390"/>
    <w:rsid w:val="009759A8"/>
    <w:rsid w:val="00976185"/>
    <w:rsid w:val="009771D2"/>
    <w:rsid w:val="0098321E"/>
    <w:rsid w:val="00983B56"/>
    <w:rsid w:val="00984A6C"/>
    <w:rsid w:val="009850F1"/>
    <w:rsid w:val="009865E8"/>
    <w:rsid w:val="00986B8D"/>
    <w:rsid w:val="00987434"/>
    <w:rsid w:val="009900DA"/>
    <w:rsid w:val="0099169C"/>
    <w:rsid w:val="009917C5"/>
    <w:rsid w:val="009918B1"/>
    <w:rsid w:val="00991B37"/>
    <w:rsid w:val="009924DC"/>
    <w:rsid w:val="00994505"/>
    <w:rsid w:val="009955E5"/>
    <w:rsid w:val="0099676B"/>
    <w:rsid w:val="00996E6A"/>
    <w:rsid w:val="00997871"/>
    <w:rsid w:val="00997AF1"/>
    <w:rsid w:val="00997C42"/>
    <w:rsid w:val="00997E57"/>
    <w:rsid w:val="009A06EB"/>
    <w:rsid w:val="009A0E24"/>
    <w:rsid w:val="009A340B"/>
    <w:rsid w:val="009A3C57"/>
    <w:rsid w:val="009A488D"/>
    <w:rsid w:val="009A5187"/>
    <w:rsid w:val="009A5432"/>
    <w:rsid w:val="009A55DB"/>
    <w:rsid w:val="009A69D1"/>
    <w:rsid w:val="009A7631"/>
    <w:rsid w:val="009A7B22"/>
    <w:rsid w:val="009A7E14"/>
    <w:rsid w:val="009B025C"/>
    <w:rsid w:val="009B090B"/>
    <w:rsid w:val="009B2301"/>
    <w:rsid w:val="009B40AA"/>
    <w:rsid w:val="009B5F69"/>
    <w:rsid w:val="009B6367"/>
    <w:rsid w:val="009B709F"/>
    <w:rsid w:val="009B7164"/>
    <w:rsid w:val="009B7931"/>
    <w:rsid w:val="009B7E0E"/>
    <w:rsid w:val="009B7FCE"/>
    <w:rsid w:val="009C0913"/>
    <w:rsid w:val="009C1370"/>
    <w:rsid w:val="009C1C86"/>
    <w:rsid w:val="009C38AA"/>
    <w:rsid w:val="009C4A9E"/>
    <w:rsid w:val="009C4FB0"/>
    <w:rsid w:val="009C5035"/>
    <w:rsid w:val="009C5AE0"/>
    <w:rsid w:val="009C6934"/>
    <w:rsid w:val="009C7ACE"/>
    <w:rsid w:val="009D158F"/>
    <w:rsid w:val="009D2DF3"/>
    <w:rsid w:val="009D356B"/>
    <w:rsid w:val="009D5021"/>
    <w:rsid w:val="009D5C01"/>
    <w:rsid w:val="009D6246"/>
    <w:rsid w:val="009D6B3E"/>
    <w:rsid w:val="009D6C9C"/>
    <w:rsid w:val="009D6F90"/>
    <w:rsid w:val="009E0806"/>
    <w:rsid w:val="009E0AE8"/>
    <w:rsid w:val="009E0B58"/>
    <w:rsid w:val="009E0D19"/>
    <w:rsid w:val="009E1A3F"/>
    <w:rsid w:val="009E1DB0"/>
    <w:rsid w:val="009E2084"/>
    <w:rsid w:val="009E321B"/>
    <w:rsid w:val="009E3CFE"/>
    <w:rsid w:val="009E4620"/>
    <w:rsid w:val="009E47A8"/>
    <w:rsid w:val="009E4DD6"/>
    <w:rsid w:val="009E51D7"/>
    <w:rsid w:val="009E6135"/>
    <w:rsid w:val="009F0DEB"/>
    <w:rsid w:val="009F4275"/>
    <w:rsid w:val="009F4A22"/>
    <w:rsid w:val="009F559E"/>
    <w:rsid w:val="009F6657"/>
    <w:rsid w:val="009F7219"/>
    <w:rsid w:val="00A01E05"/>
    <w:rsid w:val="00A023B1"/>
    <w:rsid w:val="00A0494A"/>
    <w:rsid w:val="00A04C5E"/>
    <w:rsid w:val="00A053FF"/>
    <w:rsid w:val="00A056F5"/>
    <w:rsid w:val="00A06444"/>
    <w:rsid w:val="00A06DE1"/>
    <w:rsid w:val="00A1139B"/>
    <w:rsid w:val="00A11835"/>
    <w:rsid w:val="00A16ABE"/>
    <w:rsid w:val="00A16E15"/>
    <w:rsid w:val="00A17C32"/>
    <w:rsid w:val="00A21153"/>
    <w:rsid w:val="00A2162A"/>
    <w:rsid w:val="00A21B30"/>
    <w:rsid w:val="00A22279"/>
    <w:rsid w:val="00A22C85"/>
    <w:rsid w:val="00A24360"/>
    <w:rsid w:val="00A24A72"/>
    <w:rsid w:val="00A24A75"/>
    <w:rsid w:val="00A24C53"/>
    <w:rsid w:val="00A24F6E"/>
    <w:rsid w:val="00A2790E"/>
    <w:rsid w:val="00A30A48"/>
    <w:rsid w:val="00A32182"/>
    <w:rsid w:val="00A334EB"/>
    <w:rsid w:val="00A34D92"/>
    <w:rsid w:val="00A376C5"/>
    <w:rsid w:val="00A377A9"/>
    <w:rsid w:val="00A40551"/>
    <w:rsid w:val="00A40C36"/>
    <w:rsid w:val="00A40D02"/>
    <w:rsid w:val="00A41E4B"/>
    <w:rsid w:val="00A428A5"/>
    <w:rsid w:val="00A43DCC"/>
    <w:rsid w:val="00A44B07"/>
    <w:rsid w:val="00A457D3"/>
    <w:rsid w:val="00A46521"/>
    <w:rsid w:val="00A5018F"/>
    <w:rsid w:val="00A5091A"/>
    <w:rsid w:val="00A530D5"/>
    <w:rsid w:val="00A533B0"/>
    <w:rsid w:val="00A54C2C"/>
    <w:rsid w:val="00A55817"/>
    <w:rsid w:val="00A55B64"/>
    <w:rsid w:val="00A565D5"/>
    <w:rsid w:val="00A57F92"/>
    <w:rsid w:val="00A60A7A"/>
    <w:rsid w:val="00A61903"/>
    <w:rsid w:val="00A619EA"/>
    <w:rsid w:val="00A6210C"/>
    <w:rsid w:val="00A6299C"/>
    <w:rsid w:val="00A637B1"/>
    <w:rsid w:val="00A640D0"/>
    <w:rsid w:val="00A64264"/>
    <w:rsid w:val="00A65E91"/>
    <w:rsid w:val="00A65F3C"/>
    <w:rsid w:val="00A67FF3"/>
    <w:rsid w:val="00A723E9"/>
    <w:rsid w:val="00A73C51"/>
    <w:rsid w:val="00A74AB8"/>
    <w:rsid w:val="00A74B27"/>
    <w:rsid w:val="00A753CB"/>
    <w:rsid w:val="00A80308"/>
    <w:rsid w:val="00A80B68"/>
    <w:rsid w:val="00A80D55"/>
    <w:rsid w:val="00A81799"/>
    <w:rsid w:val="00A81BAB"/>
    <w:rsid w:val="00A81F46"/>
    <w:rsid w:val="00A82DA0"/>
    <w:rsid w:val="00A83573"/>
    <w:rsid w:val="00A8367A"/>
    <w:rsid w:val="00A845BA"/>
    <w:rsid w:val="00A8573D"/>
    <w:rsid w:val="00A86068"/>
    <w:rsid w:val="00A90479"/>
    <w:rsid w:val="00A910D2"/>
    <w:rsid w:val="00A91515"/>
    <w:rsid w:val="00A9300A"/>
    <w:rsid w:val="00A9509A"/>
    <w:rsid w:val="00A96FFA"/>
    <w:rsid w:val="00A97992"/>
    <w:rsid w:val="00AA053C"/>
    <w:rsid w:val="00AA0AED"/>
    <w:rsid w:val="00AA1CCE"/>
    <w:rsid w:val="00AA20F9"/>
    <w:rsid w:val="00AA3AD6"/>
    <w:rsid w:val="00AA3DA5"/>
    <w:rsid w:val="00AA5FA8"/>
    <w:rsid w:val="00AA7247"/>
    <w:rsid w:val="00AB188A"/>
    <w:rsid w:val="00AB2E1F"/>
    <w:rsid w:val="00AB36ED"/>
    <w:rsid w:val="00AB3A2F"/>
    <w:rsid w:val="00AB416C"/>
    <w:rsid w:val="00AB60C4"/>
    <w:rsid w:val="00AB63DB"/>
    <w:rsid w:val="00AC00D9"/>
    <w:rsid w:val="00AC06CC"/>
    <w:rsid w:val="00AC09C5"/>
    <w:rsid w:val="00AC16F0"/>
    <w:rsid w:val="00AC1E4E"/>
    <w:rsid w:val="00AC2303"/>
    <w:rsid w:val="00AC2A0F"/>
    <w:rsid w:val="00AC32BD"/>
    <w:rsid w:val="00AC3A47"/>
    <w:rsid w:val="00AC3BE0"/>
    <w:rsid w:val="00AC711B"/>
    <w:rsid w:val="00AC76D2"/>
    <w:rsid w:val="00AC7828"/>
    <w:rsid w:val="00AC7D01"/>
    <w:rsid w:val="00AC7E17"/>
    <w:rsid w:val="00AC7F9C"/>
    <w:rsid w:val="00AD0813"/>
    <w:rsid w:val="00AD1AAC"/>
    <w:rsid w:val="00AD1D65"/>
    <w:rsid w:val="00AD484C"/>
    <w:rsid w:val="00AD59E8"/>
    <w:rsid w:val="00AD63D2"/>
    <w:rsid w:val="00AD694A"/>
    <w:rsid w:val="00AD727D"/>
    <w:rsid w:val="00AE0B21"/>
    <w:rsid w:val="00AE113E"/>
    <w:rsid w:val="00AE17DA"/>
    <w:rsid w:val="00AE2AE8"/>
    <w:rsid w:val="00AE3119"/>
    <w:rsid w:val="00AE4132"/>
    <w:rsid w:val="00AE54A5"/>
    <w:rsid w:val="00AE6C67"/>
    <w:rsid w:val="00AF15A7"/>
    <w:rsid w:val="00AF18D0"/>
    <w:rsid w:val="00AF1AED"/>
    <w:rsid w:val="00AF30CC"/>
    <w:rsid w:val="00AF3AA6"/>
    <w:rsid w:val="00AF4502"/>
    <w:rsid w:val="00AF46CE"/>
    <w:rsid w:val="00AF6A68"/>
    <w:rsid w:val="00AF6C4E"/>
    <w:rsid w:val="00B00913"/>
    <w:rsid w:val="00B00B32"/>
    <w:rsid w:val="00B035A5"/>
    <w:rsid w:val="00B0638C"/>
    <w:rsid w:val="00B07B68"/>
    <w:rsid w:val="00B10D06"/>
    <w:rsid w:val="00B11DDF"/>
    <w:rsid w:val="00B125C1"/>
    <w:rsid w:val="00B1354C"/>
    <w:rsid w:val="00B145BB"/>
    <w:rsid w:val="00B172D7"/>
    <w:rsid w:val="00B17B8B"/>
    <w:rsid w:val="00B20D4E"/>
    <w:rsid w:val="00B215DE"/>
    <w:rsid w:val="00B21A02"/>
    <w:rsid w:val="00B26467"/>
    <w:rsid w:val="00B26CB3"/>
    <w:rsid w:val="00B27E8D"/>
    <w:rsid w:val="00B31D69"/>
    <w:rsid w:val="00B325A9"/>
    <w:rsid w:val="00B327F1"/>
    <w:rsid w:val="00B33926"/>
    <w:rsid w:val="00B346FD"/>
    <w:rsid w:val="00B348BB"/>
    <w:rsid w:val="00B353BE"/>
    <w:rsid w:val="00B36E15"/>
    <w:rsid w:val="00B37F62"/>
    <w:rsid w:val="00B40004"/>
    <w:rsid w:val="00B4308A"/>
    <w:rsid w:val="00B43346"/>
    <w:rsid w:val="00B43568"/>
    <w:rsid w:val="00B436C8"/>
    <w:rsid w:val="00B43C0A"/>
    <w:rsid w:val="00B44226"/>
    <w:rsid w:val="00B445B4"/>
    <w:rsid w:val="00B4546E"/>
    <w:rsid w:val="00B45E5D"/>
    <w:rsid w:val="00B46A2B"/>
    <w:rsid w:val="00B50490"/>
    <w:rsid w:val="00B5062F"/>
    <w:rsid w:val="00B51AEA"/>
    <w:rsid w:val="00B51DA0"/>
    <w:rsid w:val="00B5230A"/>
    <w:rsid w:val="00B53379"/>
    <w:rsid w:val="00B53BE8"/>
    <w:rsid w:val="00B556A3"/>
    <w:rsid w:val="00B55D7A"/>
    <w:rsid w:val="00B56F4B"/>
    <w:rsid w:val="00B572CC"/>
    <w:rsid w:val="00B601AF"/>
    <w:rsid w:val="00B61430"/>
    <w:rsid w:val="00B62453"/>
    <w:rsid w:val="00B626FA"/>
    <w:rsid w:val="00B62ED9"/>
    <w:rsid w:val="00B635C5"/>
    <w:rsid w:val="00B65C86"/>
    <w:rsid w:val="00B65E51"/>
    <w:rsid w:val="00B65E6D"/>
    <w:rsid w:val="00B66C09"/>
    <w:rsid w:val="00B67DF2"/>
    <w:rsid w:val="00B702B7"/>
    <w:rsid w:val="00B70CA6"/>
    <w:rsid w:val="00B728DC"/>
    <w:rsid w:val="00B73B50"/>
    <w:rsid w:val="00B74E08"/>
    <w:rsid w:val="00B75075"/>
    <w:rsid w:val="00B7664D"/>
    <w:rsid w:val="00B7691D"/>
    <w:rsid w:val="00B7736D"/>
    <w:rsid w:val="00B77536"/>
    <w:rsid w:val="00B8015A"/>
    <w:rsid w:val="00B82F25"/>
    <w:rsid w:val="00B832E3"/>
    <w:rsid w:val="00B83F32"/>
    <w:rsid w:val="00B841EF"/>
    <w:rsid w:val="00B85A4D"/>
    <w:rsid w:val="00B86761"/>
    <w:rsid w:val="00B91A08"/>
    <w:rsid w:val="00B9242D"/>
    <w:rsid w:val="00B929FB"/>
    <w:rsid w:val="00B92DF5"/>
    <w:rsid w:val="00B92F16"/>
    <w:rsid w:val="00B93A36"/>
    <w:rsid w:val="00B94486"/>
    <w:rsid w:val="00B94628"/>
    <w:rsid w:val="00B9594A"/>
    <w:rsid w:val="00B95D6E"/>
    <w:rsid w:val="00B96183"/>
    <w:rsid w:val="00B96A54"/>
    <w:rsid w:val="00B977A0"/>
    <w:rsid w:val="00BA07C0"/>
    <w:rsid w:val="00BA0C53"/>
    <w:rsid w:val="00BA2B81"/>
    <w:rsid w:val="00BA4095"/>
    <w:rsid w:val="00BA4725"/>
    <w:rsid w:val="00BA4920"/>
    <w:rsid w:val="00BA4D38"/>
    <w:rsid w:val="00BA4F31"/>
    <w:rsid w:val="00BA701F"/>
    <w:rsid w:val="00BA70B6"/>
    <w:rsid w:val="00BA79E1"/>
    <w:rsid w:val="00BB01A8"/>
    <w:rsid w:val="00BB23C2"/>
    <w:rsid w:val="00BB2913"/>
    <w:rsid w:val="00BB3372"/>
    <w:rsid w:val="00BB34E4"/>
    <w:rsid w:val="00BB7D74"/>
    <w:rsid w:val="00BC08E6"/>
    <w:rsid w:val="00BC1972"/>
    <w:rsid w:val="00BC1B24"/>
    <w:rsid w:val="00BC2086"/>
    <w:rsid w:val="00BC245D"/>
    <w:rsid w:val="00BC3CEF"/>
    <w:rsid w:val="00BC58A2"/>
    <w:rsid w:val="00BC5E0C"/>
    <w:rsid w:val="00BC668A"/>
    <w:rsid w:val="00BC707F"/>
    <w:rsid w:val="00BD045E"/>
    <w:rsid w:val="00BD0F73"/>
    <w:rsid w:val="00BD2CED"/>
    <w:rsid w:val="00BD33DF"/>
    <w:rsid w:val="00BD4376"/>
    <w:rsid w:val="00BD629E"/>
    <w:rsid w:val="00BD791C"/>
    <w:rsid w:val="00BE0556"/>
    <w:rsid w:val="00BE0B8E"/>
    <w:rsid w:val="00BE0E44"/>
    <w:rsid w:val="00BE2496"/>
    <w:rsid w:val="00BE3185"/>
    <w:rsid w:val="00BE34CC"/>
    <w:rsid w:val="00BE485A"/>
    <w:rsid w:val="00BE49F5"/>
    <w:rsid w:val="00BF128F"/>
    <w:rsid w:val="00BF1A68"/>
    <w:rsid w:val="00BF4343"/>
    <w:rsid w:val="00BF5537"/>
    <w:rsid w:val="00BF6EFD"/>
    <w:rsid w:val="00BF7586"/>
    <w:rsid w:val="00BF7B7D"/>
    <w:rsid w:val="00BF7DAA"/>
    <w:rsid w:val="00C00C21"/>
    <w:rsid w:val="00C00EA4"/>
    <w:rsid w:val="00C02CE8"/>
    <w:rsid w:val="00C0301C"/>
    <w:rsid w:val="00C030EE"/>
    <w:rsid w:val="00C047AC"/>
    <w:rsid w:val="00C04949"/>
    <w:rsid w:val="00C04E40"/>
    <w:rsid w:val="00C04EDB"/>
    <w:rsid w:val="00C05B81"/>
    <w:rsid w:val="00C06269"/>
    <w:rsid w:val="00C06C1D"/>
    <w:rsid w:val="00C077EC"/>
    <w:rsid w:val="00C1043B"/>
    <w:rsid w:val="00C11982"/>
    <w:rsid w:val="00C131EE"/>
    <w:rsid w:val="00C134A1"/>
    <w:rsid w:val="00C144C0"/>
    <w:rsid w:val="00C149A3"/>
    <w:rsid w:val="00C15378"/>
    <w:rsid w:val="00C1547C"/>
    <w:rsid w:val="00C228BE"/>
    <w:rsid w:val="00C231B8"/>
    <w:rsid w:val="00C245B3"/>
    <w:rsid w:val="00C2525D"/>
    <w:rsid w:val="00C252B1"/>
    <w:rsid w:val="00C273E6"/>
    <w:rsid w:val="00C27593"/>
    <w:rsid w:val="00C30CD5"/>
    <w:rsid w:val="00C30EDD"/>
    <w:rsid w:val="00C32609"/>
    <w:rsid w:val="00C343F3"/>
    <w:rsid w:val="00C360AF"/>
    <w:rsid w:val="00C3763A"/>
    <w:rsid w:val="00C37E7D"/>
    <w:rsid w:val="00C37ED8"/>
    <w:rsid w:val="00C43A38"/>
    <w:rsid w:val="00C47FD9"/>
    <w:rsid w:val="00C51C4E"/>
    <w:rsid w:val="00C524D3"/>
    <w:rsid w:val="00C529F3"/>
    <w:rsid w:val="00C5581D"/>
    <w:rsid w:val="00C56F4C"/>
    <w:rsid w:val="00C57EEF"/>
    <w:rsid w:val="00C602F0"/>
    <w:rsid w:val="00C60988"/>
    <w:rsid w:val="00C61ED5"/>
    <w:rsid w:val="00C629FE"/>
    <w:rsid w:val="00C62EC7"/>
    <w:rsid w:val="00C666D3"/>
    <w:rsid w:val="00C66906"/>
    <w:rsid w:val="00C67495"/>
    <w:rsid w:val="00C70F18"/>
    <w:rsid w:val="00C72460"/>
    <w:rsid w:val="00C7268B"/>
    <w:rsid w:val="00C73EDB"/>
    <w:rsid w:val="00C74345"/>
    <w:rsid w:val="00C74EE4"/>
    <w:rsid w:val="00C750DC"/>
    <w:rsid w:val="00C7631E"/>
    <w:rsid w:val="00C76756"/>
    <w:rsid w:val="00C80B47"/>
    <w:rsid w:val="00C81EF7"/>
    <w:rsid w:val="00C8343B"/>
    <w:rsid w:val="00C848C7"/>
    <w:rsid w:val="00C86190"/>
    <w:rsid w:val="00C862D4"/>
    <w:rsid w:val="00C86F4A"/>
    <w:rsid w:val="00C87308"/>
    <w:rsid w:val="00C87CF9"/>
    <w:rsid w:val="00C90130"/>
    <w:rsid w:val="00C9109B"/>
    <w:rsid w:val="00C91D4B"/>
    <w:rsid w:val="00C92732"/>
    <w:rsid w:val="00C9274A"/>
    <w:rsid w:val="00C92809"/>
    <w:rsid w:val="00C934F5"/>
    <w:rsid w:val="00C9392B"/>
    <w:rsid w:val="00C94D3D"/>
    <w:rsid w:val="00C956BE"/>
    <w:rsid w:val="00C961A2"/>
    <w:rsid w:val="00C962D3"/>
    <w:rsid w:val="00CA14D8"/>
    <w:rsid w:val="00CA23B0"/>
    <w:rsid w:val="00CA2CC0"/>
    <w:rsid w:val="00CA30E7"/>
    <w:rsid w:val="00CA32E5"/>
    <w:rsid w:val="00CA4E39"/>
    <w:rsid w:val="00CA7241"/>
    <w:rsid w:val="00CA7A6B"/>
    <w:rsid w:val="00CA7BDD"/>
    <w:rsid w:val="00CB0512"/>
    <w:rsid w:val="00CB0B33"/>
    <w:rsid w:val="00CB2F78"/>
    <w:rsid w:val="00CB4035"/>
    <w:rsid w:val="00CB4A3A"/>
    <w:rsid w:val="00CB6A26"/>
    <w:rsid w:val="00CC1B88"/>
    <w:rsid w:val="00CC2F3E"/>
    <w:rsid w:val="00CC33FE"/>
    <w:rsid w:val="00CC5F11"/>
    <w:rsid w:val="00CC6604"/>
    <w:rsid w:val="00CC77B9"/>
    <w:rsid w:val="00CD018A"/>
    <w:rsid w:val="00CD04D5"/>
    <w:rsid w:val="00CD05C3"/>
    <w:rsid w:val="00CD1583"/>
    <w:rsid w:val="00CD1A6E"/>
    <w:rsid w:val="00CD2538"/>
    <w:rsid w:val="00CD4561"/>
    <w:rsid w:val="00CD5C69"/>
    <w:rsid w:val="00CE2206"/>
    <w:rsid w:val="00CE2D8B"/>
    <w:rsid w:val="00CE39E2"/>
    <w:rsid w:val="00CE61A0"/>
    <w:rsid w:val="00CE6349"/>
    <w:rsid w:val="00CF0F03"/>
    <w:rsid w:val="00CF25C2"/>
    <w:rsid w:val="00CF34D9"/>
    <w:rsid w:val="00CF38E2"/>
    <w:rsid w:val="00CF40CC"/>
    <w:rsid w:val="00CF690E"/>
    <w:rsid w:val="00CF72C3"/>
    <w:rsid w:val="00CF78EF"/>
    <w:rsid w:val="00D01638"/>
    <w:rsid w:val="00D02EA5"/>
    <w:rsid w:val="00D03AE6"/>
    <w:rsid w:val="00D04F9E"/>
    <w:rsid w:val="00D13849"/>
    <w:rsid w:val="00D13B0D"/>
    <w:rsid w:val="00D14384"/>
    <w:rsid w:val="00D14500"/>
    <w:rsid w:val="00D1608A"/>
    <w:rsid w:val="00D16476"/>
    <w:rsid w:val="00D165EC"/>
    <w:rsid w:val="00D167D2"/>
    <w:rsid w:val="00D16982"/>
    <w:rsid w:val="00D16D47"/>
    <w:rsid w:val="00D16F63"/>
    <w:rsid w:val="00D17266"/>
    <w:rsid w:val="00D17EF2"/>
    <w:rsid w:val="00D20518"/>
    <w:rsid w:val="00D20635"/>
    <w:rsid w:val="00D211C9"/>
    <w:rsid w:val="00D21802"/>
    <w:rsid w:val="00D22ADA"/>
    <w:rsid w:val="00D23D5D"/>
    <w:rsid w:val="00D2551B"/>
    <w:rsid w:val="00D25B22"/>
    <w:rsid w:val="00D25BD3"/>
    <w:rsid w:val="00D27C84"/>
    <w:rsid w:val="00D311F3"/>
    <w:rsid w:val="00D31790"/>
    <w:rsid w:val="00D34AC4"/>
    <w:rsid w:val="00D36CBE"/>
    <w:rsid w:val="00D41012"/>
    <w:rsid w:val="00D416F3"/>
    <w:rsid w:val="00D42BC4"/>
    <w:rsid w:val="00D47052"/>
    <w:rsid w:val="00D477AD"/>
    <w:rsid w:val="00D50DB1"/>
    <w:rsid w:val="00D54DE0"/>
    <w:rsid w:val="00D55926"/>
    <w:rsid w:val="00D55E0C"/>
    <w:rsid w:val="00D55E29"/>
    <w:rsid w:val="00D5665A"/>
    <w:rsid w:val="00D57A9B"/>
    <w:rsid w:val="00D60A55"/>
    <w:rsid w:val="00D615C5"/>
    <w:rsid w:val="00D61777"/>
    <w:rsid w:val="00D622B3"/>
    <w:rsid w:val="00D6522C"/>
    <w:rsid w:val="00D6536C"/>
    <w:rsid w:val="00D67D52"/>
    <w:rsid w:val="00D70083"/>
    <w:rsid w:val="00D7147F"/>
    <w:rsid w:val="00D723B0"/>
    <w:rsid w:val="00D72453"/>
    <w:rsid w:val="00D7287A"/>
    <w:rsid w:val="00D74B0E"/>
    <w:rsid w:val="00D74F9B"/>
    <w:rsid w:val="00D74FAB"/>
    <w:rsid w:val="00D76098"/>
    <w:rsid w:val="00D76DD4"/>
    <w:rsid w:val="00D76E05"/>
    <w:rsid w:val="00D77BE3"/>
    <w:rsid w:val="00D80899"/>
    <w:rsid w:val="00D808EC"/>
    <w:rsid w:val="00D80AA6"/>
    <w:rsid w:val="00D81ABD"/>
    <w:rsid w:val="00D8260E"/>
    <w:rsid w:val="00D829F5"/>
    <w:rsid w:val="00D842C6"/>
    <w:rsid w:val="00D84578"/>
    <w:rsid w:val="00D84AF4"/>
    <w:rsid w:val="00D85053"/>
    <w:rsid w:val="00D85A32"/>
    <w:rsid w:val="00D868F4"/>
    <w:rsid w:val="00D86EF7"/>
    <w:rsid w:val="00D86FB3"/>
    <w:rsid w:val="00D8734B"/>
    <w:rsid w:val="00D8774C"/>
    <w:rsid w:val="00D91AD1"/>
    <w:rsid w:val="00D92FEC"/>
    <w:rsid w:val="00D934F7"/>
    <w:rsid w:val="00D93B16"/>
    <w:rsid w:val="00D94297"/>
    <w:rsid w:val="00D95459"/>
    <w:rsid w:val="00D95EF9"/>
    <w:rsid w:val="00D97190"/>
    <w:rsid w:val="00D97503"/>
    <w:rsid w:val="00D97899"/>
    <w:rsid w:val="00DA053B"/>
    <w:rsid w:val="00DA0BDC"/>
    <w:rsid w:val="00DA285E"/>
    <w:rsid w:val="00DA2E57"/>
    <w:rsid w:val="00DA30F6"/>
    <w:rsid w:val="00DA3CB2"/>
    <w:rsid w:val="00DA40BE"/>
    <w:rsid w:val="00DA510B"/>
    <w:rsid w:val="00DA5455"/>
    <w:rsid w:val="00DA6221"/>
    <w:rsid w:val="00DA71E2"/>
    <w:rsid w:val="00DB034D"/>
    <w:rsid w:val="00DB2E16"/>
    <w:rsid w:val="00DB309B"/>
    <w:rsid w:val="00DB3429"/>
    <w:rsid w:val="00DB5F9D"/>
    <w:rsid w:val="00DC0845"/>
    <w:rsid w:val="00DC3F46"/>
    <w:rsid w:val="00DC40A9"/>
    <w:rsid w:val="00DC43FB"/>
    <w:rsid w:val="00DC4942"/>
    <w:rsid w:val="00DC5CFE"/>
    <w:rsid w:val="00DC5E1F"/>
    <w:rsid w:val="00DC655A"/>
    <w:rsid w:val="00DD05E7"/>
    <w:rsid w:val="00DD22D1"/>
    <w:rsid w:val="00DD305E"/>
    <w:rsid w:val="00DD4C74"/>
    <w:rsid w:val="00DD4E32"/>
    <w:rsid w:val="00DD5D4A"/>
    <w:rsid w:val="00DD6175"/>
    <w:rsid w:val="00DD61D8"/>
    <w:rsid w:val="00DD63C1"/>
    <w:rsid w:val="00DD7709"/>
    <w:rsid w:val="00DE0371"/>
    <w:rsid w:val="00DE097B"/>
    <w:rsid w:val="00DE12B5"/>
    <w:rsid w:val="00DE1413"/>
    <w:rsid w:val="00DE1FE9"/>
    <w:rsid w:val="00DE1FFD"/>
    <w:rsid w:val="00DE2057"/>
    <w:rsid w:val="00DE3129"/>
    <w:rsid w:val="00DE34D3"/>
    <w:rsid w:val="00DE42FF"/>
    <w:rsid w:val="00DE5508"/>
    <w:rsid w:val="00DE5CA8"/>
    <w:rsid w:val="00DE65D5"/>
    <w:rsid w:val="00DE66AB"/>
    <w:rsid w:val="00DF0BE1"/>
    <w:rsid w:val="00DF1450"/>
    <w:rsid w:val="00DF191A"/>
    <w:rsid w:val="00DF3A4C"/>
    <w:rsid w:val="00DF6213"/>
    <w:rsid w:val="00DF6936"/>
    <w:rsid w:val="00DF7324"/>
    <w:rsid w:val="00E0008F"/>
    <w:rsid w:val="00E02E87"/>
    <w:rsid w:val="00E03BE1"/>
    <w:rsid w:val="00E03F98"/>
    <w:rsid w:val="00E050A4"/>
    <w:rsid w:val="00E05C59"/>
    <w:rsid w:val="00E072A3"/>
    <w:rsid w:val="00E10433"/>
    <w:rsid w:val="00E11146"/>
    <w:rsid w:val="00E11216"/>
    <w:rsid w:val="00E1182F"/>
    <w:rsid w:val="00E131E6"/>
    <w:rsid w:val="00E13438"/>
    <w:rsid w:val="00E148C6"/>
    <w:rsid w:val="00E14A95"/>
    <w:rsid w:val="00E15174"/>
    <w:rsid w:val="00E1698C"/>
    <w:rsid w:val="00E16DD5"/>
    <w:rsid w:val="00E172AB"/>
    <w:rsid w:val="00E2063C"/>
    <w:rsid w:val="00E21514"/>
    <w:rsid w:val="00E21A59"/>
    <w:rsid w:val="00E2470F"/>
    <w:rsid w:val="00E2491F"/>
    <w:rsid w:val="00E264C0"/>
    <w:rsid w:val="00E301F1"/>
    <w:rsid w:val="00E30820"/>
    <w:rsid w:val="00E32F24"/>
    <w:rsid w:val="00E3343E"/>
    <w:rsid w:val="00E350FF"/>
    <w:rsid w:val="00E367DA"/>
    <w:rsid w:val="00E370AC"/>
    <w:rsid w:val="00E40441"/>
    <w:rsid w:val="00E41A60"/>
    <w:rsid w:val="00E4218F"/>
    <w:rsid w:val="00E43A1F"/>
    <w:rsid w:val="00E4441C"/>
    <w:rsid w:val="00E44439"/>
    <w:rsid w:val="00E45949"/>
    <w:rsid w:val="00E45F6F"/>
    <w:rsid w:val="00E4634E"/>
    <w:rsid w:val="00E4784D"/>
    <w:rsid w:val="00E50DE3"/>
    <w:rsid w:val="00E516E4"/>
    <w:rsid w:val="00E534C7"/>
    <w:rsid w:val="00E5449F"/>
    <w:rsid w:val="00E5595F"/>
    <w:rsid w:val="00E56C2A"/>
    <w:rsid w:val="00E624C9"/>
    <w:rsid w:val="00E62A39"/>
    <w:rsid w:val="00E631AA"/>
    <w:rsid w:val="00E64306"/>
    <w:rsid w:val="00E64D19"/>
    <w:rsid w:val="00E658AC"/>
    <w:rsid w:val="00E6645B"/>
    <w:rsid w:val="00E668AE"/>
    <w:rsid w:val="00E675CD"/>
    <w:rsid w:val="00E67ECD"/>
    <w:rsid w:val="00E712AE"/>
    <w:rsid w:val="00E72AE7"/>
    <w:rsid w:val="00E7484B"/>
    <w:rsid w:val="00E754B2"/>
    <w:rsid w:val="00E75E0B"/>
    <w:rsid w:val="00E76D28"/>
    <w:rsid w:val="00E77DC8"/>
    <w:rsid w:val="00E80263"/>
    <w:rsid w:val="00E80C24"/>
    <w:rsid w:val="00E85166"/>
    <w:rsid w:val="00E85E5B"/>
    <w:rsid w:val="00E86869"/>
    <w:rsid w:val="00E87519"/>
    <w:rsid w:val="00E91CAD"/>
    <w:rsid w:val="00E951F8"/>
    <w:rsid w:val="00E972F0"/>
    <w:rsid w:val="00EA289F"/>
    <w:rsid w:val="00EA3903"/>
    <w:rsid w:val="00EA3EB5"/>
    <w:rsid w:val="00EA4100"/>
    <w:rsid w:val="00EA432A"/>
    <w:rsid w:val="00EA7C2D"/>
    <w:rsid w:val="00EB011A"/>
    <w:rsid w:val="00EB33BE"/>
    <w:rsid w:val="00EB34F3"/>
    <w:rsid w:val="00EB4BC7"/>
    <w:rsid w:val="00EB54C4"/>
    <w:rsid w:val="00EB5EDF"/>
    <w:rsid w:val="00EB799E"/>
    <w:rsid w:val="00EC3945"/>
    <w:rsid w:val="00EC53F4"/>
    <w:rsid w:val="00EC5B0C"/>
    <w:rsid w:val="00EC5EB7"/>
    <w:rsid w:val="00EC5F10"/>
    <w:rsid w:val="00EC6615"/>
    <w:rsid w:val="00EC6D20"/>
    <w:rsid w:val="00ED15F5"/>
    <w:rsid w:val="00ED48AA"/>
    <w:rsid w:val="00ED4F65"/>
    <w:rsid w:val="00ED61A6"/>
    <w:rsid w:val="00ED6283"/>
    <w:rsid w:val="00ED7F42"/>
    <w:rsid w:val="00EE0204"/>
    <w:rsid w:val="00EE3C1D"/>
    <w:rsid w:val="00EE3C95"/>
    <w:rsid w:val="00EE426B"/>
    <w:rsid w:val="00EE4379"/>
    <w:rsid w:val="00EE4600"/>
    <w:rsid w:val="00EE5E61"/>
    <w:rsid w:val="00EE667C"/>
    <w:rsid w:val="00EE6AE1"/>
    <w:rsid w:val="00EE7AA9"/>
    <w:rsid w:val="00EF25D6"/>
    <w:rsid w:val="00EF2E72"/>
    <w:rsid w:val="00EF3691"/>
    <w:rsid w:val="00EF3F69"/>
    <w:rsid w:val="00EF5F02"/>
    <w:rsid w:val="00EF69BC"/>
    <w:rsid w:val="00F00E49"/>
    <w:rsid w:val="00F0151F"/>
    <w:rsid w:val="00F024F6"/>
    <w:rsid w:val="00F02B23"/>
    <w:rsid w:val="00F02D35"/>
    <w:rsid w:val="00F02F41"/>
    <w:rsid w:val="00F03904"/>
    <w:rsid w:val="00F046A2"/>
    <w:rsid w:val="00F04A59"/>
    <w:rsid w:val="00F04D3D"/>
    <w:rsid w:val="00F04DBB"/>
    <w:rsid w:val="00F054A7"/>
    <w:rsid w:val="00F05500"/>
    <w:rsid w:val="00F06083"/>
    <w:rsid w:val="00F06931"/>
    <w:rsid w:val="00F06D0D"/>
    <w:rsid w:val="00F12243"/>
    <w:rsid w:val="00F126D8"/>
    <w:rsid w:val="00F126DA"/>
    <w:rsid w:val="00F12AF8"/>
    <w:rsid w:val="00F1473A"/>
    <w:rsid w:val="00F14BD8"/>
    <w:rsid w:val="00F16BC0"/>
    <w:rsid w:val="00F1716B"/>
    <w:rsid w:val="00F173C5"/>
    <w:rsid w:val="00F17A06"/>
    <w:rsid w:val="00F23675"/>
    <w:rsid w:val="00F23843"/>
    <w:rsid w:val="00F23E93"/>
    <w:rsid w:val="00F2650E"/>
    <w:rsid w:val="00F268F3"/>
    <w:rsid w:val="00F2790F"/>
    <w:rsid w:val="00F31DCD"/>
    <w:rsid w:val="00F32B75"/>
    <w:rsid w:val="00F32E20"/>
    <w:rsid w:val="00F33665"/>
    <w:rsid w:val="00F338C5"/>
    <w:rsid w:val="00F35453"/>
    <w:rsid w:val="00F358B8"/>
    <w:rsid w:val="00F37485"/>
    <w:rsid w:val="00F40AF0"/>
    <w:rsid w:val="00F410B9"/>
    <w:rsid w:val="00F41200"/>
    <w:rsid w:val="00F4149C"/>
    <w:rsid w:val="00F417C8"/>
    <w:rsid w:val="00F41CB8"/>
    <w:rsid w:val="00F42CE2"/>
    <w:rsid w:val="00F44F3B"/>
    <w:rsid w:val="00F45AD7"/>
    <w:rsid w:val="00F460BB"/>
    <w:rsid w:val="00F4700B"/>
    <w:rsid w:val="00F47427"/>
    <w:rsid w:val="00F50242"/>
    <w:rsid w:val="00F503C3"/>
    <w:rsid w:val="00F512A6"/>
    <w:rsid w:val="00F51545"/>
    <w:rsid w:val="00F52883"/>
    <w:rsid w:val="00F53AEB"/>
    <w:rsid w:val="00F53CE7"/>
    <w:rsid w:val="00F54ED8"/>
    <w:rsid w:val="00F54FF3"/>
    <w:rsid w:val="00F558E5"/>
    <w:rsid w:val="00F55AC1"/>
    <w:rsid w:val="00F56199"/>
    <w:rsid w:val="00F56D19"/>
    <w:rsid w:val="00F571D1"/>
    <w:rsid w:val="00F60A0A"/>
    <w:rsid w:val="00F60A47"/>
    <w:rsid w:val="00F60EC1"/>
    <w:rsid w:val="00F611DB"/>
    <w:rsid w:val="00F61D1F"/>
    <w:rsid w:val="00F6267C"/>
    <w:rsid w:val="00F645C6"/>
    <w:rsid w:val="00F66794"/>
    <w:rsid w:val="00F668DD"/>
    <w:rsid w:val="00F66DFF"/>
    <w:rsid w:val="00F67BC8"/>
    <w:rsid w:val="00F71050"/>
    <w:rsid w:val="00F72D47"/>
    <w:rsid w:val="00F73019"/>
    <w:rsid w:val="00F74195"/>
    <w:rsid w:val="00F74F25"/>
    <w:rsid w:val="00F76883"/>
    <w:rsid w:val="00F7790C"/>
    <w:rsid w:val="00F8036C"/>
    <w:rsid w:val="00F8182E"/>
    <w:rsid w:val="00F81833"/>
    <w:rsid w:val="00F818CC"/>
    <w:rsid w:val="00F81A59"/>
    <w:rsid w:val="00F82668"/>
    <w:rsid w:val="00F83ACC"/>
    <w:rsid w:val="00F84B2E"/>
    <w:rsid w:val="00F84D75"/>
    <w:rsid w:val="00F85B66"/>
    <w:rsid w:val="00F861B6"/>
    <w:rsid w:val="00F876D2"/>
    <w:rsid w:val="00F87840"/>
    <w:rsid w:val="00F87B25"/>
    <w:rsid w:val="00F87F59"/>
    <w:rsid w:val="00F90115"/>
    <w:rsid w:val="00F9011C"/>
    <w:rsid w:val="00F91BFE"/>
    <w:rsid w:val="00F9240A"/>
    <w:rsid w:val="00F92C5E"/>
    <w:rsid w:val="00F93DFE"/>
    <w:rsid w:val="00F9483B"/>
    <w:rsid w:val="00F970BE"/>
    <w:rsid w:val="00FA01F2"/>
    <w:rsid w:val="00FA0BCF"/>
    <w:rsid w:val="00FA4F64"/>
    <w:rsid w:val="00FA5080"/>
    <w:rsid w:val="00FA6B85"/>
    <w:rsid w:val="00FA6C44"/>
    <w:rsid w:val="00FA7A7F"/>
    <w:rsid w:val="00FA7CE9"/>
    <w:rsid w:val="00FB0FD6"/>
    <w:rsid w:val="00FB2B98"/>
    <w:rsid w:val="00FB31DB"/>
    <w:rsid w:val="00FB3845"/>
    <w:rsid w:val="00FB6164"/>
    <w:rsid w:val="00FB655B"/>
    <w:rsid w:val="00FB68E1"/>
    <w:rsid w:val="00FB72EF"/>
    <w:rsid w:val="00FB7C28"/>
    <w:rsid w:val="00FB7FF0"/>
    <w:rsid w:val="00FC0096"/>
    <w:rsid w:val="00FC0806"/>
    <w:rsid w:val="00FC18D1"/>
    <w:rsid w:val="00FC1BD0"/>
    <w:rsid w:val="00FC1BF3"/>
    <w:rsid w:val="00FC3922"/>
    <w:rsid w:val="00FC4E1D"/>
    <w:rsid w:val="00FC51DB"/>
    <w:rsid w:val="00FC544A"/>
    <w:rsid w:val="00FC59AA"/>
    <w:rsid w:val="00FC5FD1"/>
    <w:rsid w:val="00FC621C"/>
    <w:rsid w:val="00FC665C"/>
    <w:rsid w:val="00FC6798"/>
    <w:rsid w:val="00FC68F5"/>
    <w:rsid w:val="00FC73F1"/>
    <w:rsid w:val="00FD01AC"/>
    <w:rsid w:val="00FD0504"/>
    <w:rsid w:val="00FD39CF"/>
    <w:rsid w:val="00FD3D6B"/>
    <w:rsid w:val="00FD4BF3"/>
    <w:rsid w:val="00FD659C"/>
    <w:rsid w:val="00FD6A90"/>
    <w:rsid w:val="00FD6BD2"/>
    <w:rsid w:val="00FE0E3B"/>
    <w:rsid w:val="00FE158C"/>
    <w:rsid w:val="00FE163B"/>
    <w:rsid w:val="00FE449D"/>
    <w:rsid w:val="00FE5CBE"/>
    <w:rsid w:val="00FE67BF"/>
    <w:rsid w:val="00FF0B13"/>
    <w:rsid w:val="00FF0C8F"/>
    <w:rsid w:val="00FF258B"/>
    <w:rsid w:val="00FF43C2"/>
    <w:rsid w:val="00FF45D9"/>
    <w:rsid w:val="00FF6008"/>
    <w:rsid w:val="00FF7456"/>
    <w:rsid w:val="00FF78B9"/>
    <w:rsid w:val="03610B09"/>
    <w:rsid w:val="05C00BFA"/>
    <w:rsid w:val="060E6031"/>
    <w:rsid w:val="06FA5E1B"/>
    <w:rsid w:val="07C220B8"/>
    <w:rsid w:val="0816116B"/>
    <w:rsid w:val="08950BD3"/>
    <w:rsid w:val="092A11F5"/>
    <w:rsid w:val="09F80C3D"/>
    <w:rsid w:val="0AF25BF6"/>
    <w:rsid w:val="0E6576EC"/>
    <w:rsid w:val="0E8414DB"/>
    <w:rsid w:val="10343A55"/>
    <w:rsid w:val="107A7024"/>
    <w:rsid w:val="15C066F7"/>
    <w:rsid w:val="16D379F3"/>
    <w:rsid w:val="189D6E08"/>
    <w:rsid w:val="1AD14229"/>
    <w:rsid w:val="1B766EE0"/>
    <w:rsid w:val="1B7E394A"/>
    <w:rsid w:val="1BA459DA"/>
    <w:rsid w:val="1D095481"/>
    <w:rsid w:val="203A69E9"/>
    <w:rsid w:val="215A096B"/>
    <w:rsid w:val="249F46DD"/>
    <w:rsid w:val="25AA53B0"/>
    <w:rsid w:val="2786484B"/>
    <w:rsid w:val="29F24412"/>
    <w:rsid w:val="2A5749C1"/>
    <w:rsid w:val="2ACD72C3"/>
    <w:rsid w:val="2BFB3A6D"/>
    <w:rsid w:val="2D034636"/>
    <w:rsid w:val="2F3D348C"/>
    <w:rsid w:val="30EC2AD9"/>
    <w:rsid w:val="339C66F9"/>
    <w:rsid w:val="385E6F27"/>
    <w:rsid w:val="3A5B3410"/>
    <w:rsid w:val="3A690A28"/>
    <w:rsid w:val="3D276D02"/>
    <w:rsid w:val="3EB05D46"/>
    <w:rsid w:val="3F0838E0"/>
    <w:rsid w:val="3F92358D"/>
    <w:rsid w:val="3FCE1982"/>
    <w:rsid w:val="402F7BA4"/>
    <w:rsid w:val="40565C7C"/>
    <w:rsid w:val="44AD08DC"/>
    <w:rsid w:val="46125D9D"/>
    <w:rsid w:val="46AB4A63"/>
    <w:rsid w:val="47F26FD7"/>
    <w:rsid w:val="497E602F"/>
    <w:rsid w:val="4A3B4B4A"/>
    <w:rsid w:val="4A877253"/>
    <w:rsid w:val="4B214A15"/>
    <w:rsid w:val="4B5F7342"/>
    <w:rsid w:val="4C3E6FFF"/>
    <w:rsid w:val="4DC74949"/>
    <w:rsid w:val="4E356E6C"/>
    <w:rsid w:val="4ED2084B"/>
    <w:rsid w:val="4F721531"/>
    <w:rsid w:val="53EA169A"/>
    <w:rsid w:val="55BB60C7"/>
    <w:rsid w:val="586D0B96"/>
    <w:rsid w:val="58814FA0"/>
    <w:rsid w:val="58B27D5A"/>
    <w:rsid w:val="59A00FEC"/>
    <w:rsid w:val="5BD66DC5"/>
    <w:rsid w:val="5CA5143B"/>
    <w:rsid w:val="5D08595B"/>
    <w:rsid w:val="60242C10"/>
    <w:rsid w:val="627E5F0B"/>
    <w:rsid w:val="62FE5FC4"/>
    <w:rsid w:val="634B153E"/>
    <w:rsid w:val="63F63FCC"/>
    <w:rsid w:val="65755768"/>
    <w:rsid w:val="65B41805"/>
    <w:rsid w:val="66CD2B28"/>
    <w:rsid w:val="674513ED"/>
    <w:rsid w:val="68FE1184"/>
    <w:rsid w:val="6A28359D"/>
    <w:rsid w:val="6ABC67FA"/>
    <w:rsid w:val="6AEE1CF7"/>
    <w:rsid w:val="6BDC732F"/>
    <w:rsid w:val="6BE00281"/>
    <w:rsid w:val="6EBB506F"/>
    <w:rsid w:val="70CE351D"/>
    <w:rsid w:val="72B64B87"/>
    <w:rsid w:val="72DB60F6"/>
    <w:rsid w:val="75B90C13"/>
    <w:rsid w:val="75EB3084"/>
    <w:rsid w:val="77B74CDB"/>
    <w:rsid w:val="7A470D62"/>
    <w:rsid w:val="7B020D93"/>
    <w:rsid w:val="7CEB4253"/>
    <w:rsid w:val="7D9454E6"/>
    <w:rsid w:val="FDF5B867"/>
    <w:rsid w:val="FF8B4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link w:val="25"/>
    <w:qFormat/>
    <w:uiPriority w:val="9"/>
    <w:pPr>
      <w:keepNext/>
      <w:keepLines/>
      <w:numPr>
        <w:ilvl w:val="0"/>
        <w:numId w:val="1"/>
      </w:numPr>
      <w:spacing w:before="50" w:beforeLines="50" w:after="50" w:afterLines="50"/>
      <w:ind w:firstLine="0" w:firstLineChars="0"/>
      <w:jc w:val="center"/>
      <w:outlineLvl w:val="0"/>
    </w:pPr>
    <w:rPr>
      <w:rFonts w:eastAsia="方正黑体_GBK"/>
      <w:bCs/>
      <w:kern w:val="44"/>
      <w:szCs w:val="44"/>
    </w:rPr>
  </w:style>
  <w:style w:type="paragraph" w:styleId="4">
    <w:name w:val="heading 2"/>
    <w:basedOn w:val="1"/>
    <w:next w:val="1"/>
    <w:link w:val="24"/>
    <w:unhideWhenUsed/>
    <w:qFormat/>
    <w:uiPriority w:val="9"/>
    <w:pPr>
      <w:keepNext/>
      <w:keepLines/>
      <w:numPr>
        <w:ilvl w:val="0"/>
        <w:numId w:val="2"/>
      </w:numPr>
      <w:spacing w:before="50" w:beforeLines="50" w:after="50" w:afterLines="50"/>
      <w:ind w:firstLine="0" w:firstLineChars="0"/>
      <w:outlineLvl w:val="1"/>
    </w:pPr>
    <w:rPr>
      <w:rFonts w:eastAsia="楷体_GB2312" w:asciiTheme="majorHAnsi" w:hAnsiTheme="majorHAnsi" w:cstheme="majorBidi"/>
      <w:b/>
      <w:bCs/>
      <w:szCs w:val="32"/>
    </w:rPr>
  </w:style>
  <w:style w:type="paragraph" w:styleId="5">
    <w:name w:val="heading 3"/>
    <w:basedOn w:val="1"/>
    <w:next w:val="1"/>
    <w:link w:val="30"/>
    <w:unhideWhenUsed/>
    <w:qFormat/>
    <w:uiPriority w:val="0"/>
    <w:pPr>
      <w:keepNext/>
      <w:keepLines/>
      <w:numPr>
        <w:ilvl w:val="0"/>
        <w:numId w:val="3"/>
      </w:numPr>
      <w:adjustRightInd w:val="0"/>
      <w:ind w:left="0" w:firstLine="200"/>
      <w:outlineLvl w:val="2"/>
    </w:pPr>
    <w:rPr>
      <w:rFonts w:eastAsia="黑体"/>
      <w:bCs/>
      <w:szCs w:val="32"/>
    </w:rPr>
  </w:style>
  <w:style w:type="paragraph" w:styleId="6">
    <w:name w:val="heading 4"/>
    <w:basedOn w:val="1"/>
    <w:next w:val="1"/>
    <w:link w:val="32"/>
    <w:unhideWhenUsed/>
    <w:qFormat/>
    <w:uiPriority w:val="9"/>
    <w:pPr>
      <w:keepNext/>
      <w:keepLines/>
      <w:numPr>
        <w:ilvl w:val="0"/>
        <w:numId w:val="4"/>
      </w:numPr>
      <w:spacing w:before="280" w:after="290" w:line="240" w:lineRule="atLeast"/>
      <w:ind w:left="0" w:firstLine="200"/>
      <w:outlineLvl w:val="3"/>
    </w:pPr>
    <w:rPr>
      <w:rFonts w:asciiTheme="majorHAnsi" w:hAnsiTheme="majorHAnsi" w:cstheme="majorBidi"/>
      <w:bCs/>
      <w:szCs w:val="28"/>
    </w:rPr>
  </w:style>
  <w:style w:type="paragraph" w:styleId="7">
    <w:name w:val="heading 5"/>
    <w:basedOn w:val="1"/>
    <w:next w:val="1"/>
    <w:link w:val="40"/>
    <w:unhideWhenUsed/>
    <w:qFormat/>
    <w:uiPriority w:val="9"/>
    <w:pPr>
      <w:keepNext/>
      <w:keepLines/>
      <w:spacing w:before="280" w:after="290" w:line="376" w:lineRule="atLeast"/>
      <w:outlineLvl w:val="4"/>
    </w:pPr>
    <w:rPr>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42"/>
    <w:unhideWhenUsed/>
    <w:qFormat/>
    <w:uiPriority w:val="99"/>
    <w:rPr>
      <w:rFonts w:ascii="宋体" w:hAnsi="Courier New"/>
    </w:rPr>
  </w:style>
  <w:style w:type="paragraph" w:styleId="8">
    <w:name w:val="annotation text"/>
    <w:basedOn w:val="1"/>
    <w:link w:val="33"/>
    <w:unhideWhenUsed/>
    <w:qFormat/>
    <w:uiPriority w:val="99"/>
    <w:pPr>
      <w:jc w:val="left"/>
    </w:pPr>
  </w:style>
  <w:style w:type="paragraph" w:styleId="9">
    <w:name w:val="Body Text Indent"/>
    <w:basedOn w:val="1"/>
    <w:link w:val="37"/>
    <w:semiHidden/>
    <w:unhideWhenUsed/>
    <w:qFormat/>
    <w:uiPriority w:val="99"/>
    <w:pPr>
      <w:spacing w:after="120"/>
      <w:ind w:left="420" w:leftChars="200"/>
    </w:pPr>
  </w:style>
  <w:style w:type="paragraph" w:styleId="10">
    <w:name w:val="endnote text"/>
    <w:basedOn w:val="1"/>
    <w:link w:val="34"/>
    <w:semiHidden/>
    <w:unhideWhenUsed/>
    <w:qFormat/>
    <w:uiPriority w:val="99"/>
    <w:pPr>
      <w:jc w:val="left"/>
    </w:pPr>
  </w:style>
  <w:style w:type="paragraph" w:styleId="11">
    <w:name w:val="Balloon Text"/>
    <w:basedOn w:val="1"/>
    <w:link w:val="26"/>
    <w:semiHidden/>
    <w:unhideWhenUsed/>
    <w:qFormat/>
    <w:uiPriority w:val="99"/>
    <w:rPr>
      <w:sz w:val="18"/>
      <w:szCs w:val="18"/>
    </w:rPr>
  </w:style>
  <w:style w:type="paragraph" w:styleId="12">
    <w:name w:val="footer"/>
    <w:basedOn w:val="1"/>
    <w:link w:val="28"/>
    <w:unhideWhenUsed/>
    <w:qFormat/>
    <w:uiPriority w:val="99"/>
    <w:pPr>
      <w:tabs>
        <w:tab w:val="center" w:pos="4153"/>
        <w:tab w:val="right" w:pos="8306"/>
      </w:tabs>
      <w:jc w:val="left"/>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jc w:val="center"/>
    </w:pPr>
    <w:rPr>
      <w:sz w:val="18"/>
      <w:szCs w:val="18"/>
    </w:rPr>
  </w:style>
  <w:style w:type="paragraph" w:styleId="14">
    <w:name w:val="Normal (Web)"/>
    <w:basedOn w:val="1"/>
    <w:unhideWhenUsed/>
    <w:qFormat/>
    <w:uiPriority w:val="99"/>
    <w:pPr>
      <w:widowControl/>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5">
    <w:name w:val="Title"/>
    <w:basedOn w:val="1"/>
    <w:next w:val="1"/>
    <w:link w:val="31"/>
    <w:qFormat/>
    <w:uiPriority w:val="10"/>
    <w:pPr>
      <w:adjustRightInd w:val="0"/>
      <w:spacing w:before="240" w:after="60"/>
      <w:ind w:firstLine="0" w:firstLineChars="0"/>
      <w:jc w:val="center"/>
      <w:outlineLvl w:val="0"/>
    </w:pPr>
    <w:rPr>
      <w:rFonts w:eastAsia="方正小标宋简体" w:asciiTheme="majorHAnsi" w:hAnsiTheme="majorHAnsi" w:cstheme="majorBidi"/>
      <w:bCs/>
      <w:sz w:val="36"/>
      <w:szCs w:val="32"/>
    </w:rPr>
  </w:style>
  <w:style w:type="paragraph" w:styleId="16">
    <w:name w:val="annotation subject"/>
    <w:basedOn w:val="8"/>
    <w:next w:val="8"/>
    <w:link w:val="35"/>
    <w:semiHidden/>
    <w:unhideWhenUsed/>
    <w:qFormat/>
    <w:uiPriority w:val="99"/>
    <w:rPr>
      <w:b/>
      <w:bCs/>
    </w:rPr>
  </w:style>
  <w:style w:type="paragraph" w:styleId="17">
    <w:name w:val="Body Text First Indent 2"/>
    <w:basedOn w:val="9"/>
    <w:link w:val="38"/>
    <w:unhideWhenUsed/>
    <w:qFormat/>
    <w:uiPriority w:val="0"/>
    <w:pPr>
      <w:adjustRightInd w:val="0"/>
      <w:spacing w:line="640" w:lineRule="exact"/>
      <w:ind w:left="0" w:leftChars="0" w:firstLine="420"/>
    </w:pPr>
    <w:rPr>
      <w:rFonts w:ascii="等线" w:hAnsi="等线" w:cs="Times New Roman"/>
    </w:rPr>
  </w:style>
  <w:style w:type="character" w:styleId="20">
    <w:name w:val="endnote reference"/>
    <w:basedOn w:val="19"/>
    <w:semiHidden/>
    <w:unhideWhenUsed/>
    <w:qFormat/>
    <w:uiPriority w:val="99"/>
    <w:rPr>
      <w:vertAlign w:val="superscript"/>
    </w:rPr>
  </w:style>
  <w:style w:type="character" w:styleId="21">
    <w:name w:val="Emphasis"/>
    <w:basedOn w:val="19"/>
    <w:qFormat/>
    <w:uiPriority w:val="20"/>
    <w:rPr>
      <w:i/>
      <w:iCs/>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styleId="23">
    <w:name w:val="annotation reference"/>
    <w:basedOn w:val="19"/>
    <w:semiHidden/>
    <w:unhideWhenUsed/>
    <w:qFormat/>
    <w:uiPriority w:val="99"/>
    <w:rPr>
      <w:sz w:val="21"/>
      <w:szCs w:val="21"/>
    </w:rPr>
  </w:style>
  <w:style w:type="character" w:customStyle="1" w:styleId="24">
    <w:name w:val="标题 2 Char"/>
    <w:basedOn w:val="19"/>
    <w:link w:val="4"/>
    <w:qFormat/>
    <w:uiPriority w:val="9"/>
    <w:rPr>
      <w:rFonts w:eastAsia="楷体_GB2312" w:asciiTheme="majorHAnsi" w:hAnsiTheme="majorHAnsi" w:cstheme="majorBidi"/>
      <w:b/>
      <w:bCs/>
      <w:kern w:val="2"/>
      <w:sz w:val="32"/>
      <w:szCs w:val="32"/>
    </w:rPr>
  </w:style>
  <w:style w:type="character" w:customStyle="1" w:styleId="25">
    <w:name w:val="标题 1 Char"/>
    <w:basedOn w:val="19"/>
    <w:link w:val="3"/>
    <w:qFormat/>
    <w:uiPriority w:val="9"/>
    <w:rPr>
      <w:rFonts w:eastAsia="方正黑体_GBK" w:cstheme="minorBidi"/>
      <w:bCs/>
      <w:kern w:val="44"/>
      <w:sz w:val="32"/>
      <w:szCs w:val="44"/>
    </w:rPr>
  </w:style>
  <w:style w:type="character" w:customStyle="1" w:styleId="26">
    <w:name w:val="批注框文本 Char"/>
    <w:basedOn w:val="19"/>
    <w:link w:val="11"/>
    <w:semiHidden/>
    <w:qFormat/>
    <w:uiPriority w:val="99"/>
    <w:rPr>
      <w:sz w:val="18"/>
      <w:szCs w:val="18"/>
    </w:rPr>
  </w:style>
  <w:style w:type="character" w:customStyle="1" w:styleId="27">
    <w:name w:val="页眉 Char"/>
    <w:basedOn w:val="19"/>
    <w:link w:val="13"/>
    <w:qFormat/>
    <w:uiPriority w:val="99"/>
    <w:rPr>
      <w:sz w:val="18"/>
      <w:szCs w:val="18"/>
    </w:rPr>
  </w:style>
  <w:style w:type="character" w:customStyle="1" w:styleId="28">
    <w:name w:val="页脚 Char"/>
    <w:basedOn w:val="19"/>
    <w:link w:val="12"/>
    <w:qFormat/>
    <w:uiPriority w:val="99"/>
    <w:rPr>
      <w:sz w:val="18"/>
      <w:szCs w:val="18"/>
    </w:rPr>
  </w:style>
  <w:style w:type="paragraph" w:styleId="29">
    <w:name w:val="List Paragraph"/>
    <w:basedOn w:val="1"/>
    <w:qFormat/>
    <w:uiPriority w:val="34"/>
    <w:pPr>
      <w:ind w:firstLine="420"/>
    </w:pPr>
  </w:style>
  <w:style w:type="character" w:customStyle="1" w:styleId="30">
    <w:name w:val="标题 3 Char"/>
    <w:basedOn w:val="19"/>
    <w:link w:val="5"/>
    <w:qFormat/>
    <w:uiPriority w:val="0"/>
    <w:rPr>
      <w:rFonts w:eastAsia="黑体" w:cstheme="minorBidi"/>
      <w:bCs/>
      <w:kern w:val="2"/>
      <w:sz w:val="32"/>
      <w:szCs w:val="32"/>
    </w:rPr>
  </w:style>
  <w:style w:type="character" w:customStyle="1" w:styleId="31">
    <w:name w:val="标题 Char"/>
    <w:basedOn w:val="19"/>
    <w:link w:val="15"/>
    <w:qFormat/>
    <w:uiPriority w:val="10"/>
    <w:rPr>
      <w:rFonts w:eastAsia="方正小标宋简体" w:asciiTheme="majorHAnsi" w:hAnsiTheme="majorHAnsi" w:cstheme="majorBidi"/>
      <w:bCs/>
      <w:kern w:val="2"/>
      <w:sz w:val="36"/>
      <w:szCs w:val="32"/>
    </w:rPr>
  </w:style>
  <w:style w:type="character" w:customStyle="1" w:styleId="32">
    <w:name w:val="标题 4 Char"/>
    <w:basedOn w:val="19"/>
    <w:link w:val="6"/>
    <w:qFormat/>
    <w:uiPriority w:val="9"/>
    <w:rPr>
      <w:rFonts w:eastAsia="仿宋_GB2312" w:asciiTheme="majorHAnsi" w:hAnsiTheme="majorHAnsi" w:cstheme="majorBidi"/>
      <w:bCs/>
      <w:kern w:val="2"/>
      <w:sz w:val="32"/>
      <w:szCs w:val="28"/>
    </w:rPr>
  </w:style>
  <w:style w:type="character" w:customStyle="1" w:styleId="33">
    <w:name w:val="批注文字 Char"/>
    <w:basedOn w:val="19"/>
    <w:link w:val="8"/>
    <w:qFormat/>
    <w:uiPriority w:val="99"/>
    <w:rPr>
      <w:rFonts w:eastAsia="仿宋_GB2312" w:cstheme="minorBidi"/>
      <w:kern w:val="2"/>
      <w:sz w:val="32"/>
      <w:szCs w:val="22"/>
    </w:rPr>
  </w:style>
  <w:style w:type="character" w:customStyle="1" w:styleId="34">
    <w:name w:val="尾注文本 Char"/>
    <w:basedOn w:val="19"/>
    <w:link w:val="10"/>
    <w:semiHidden/>
    <w:qFormat/>
    <w:uiPriority w:val="99"/>
    <w:rPr>
      <w:rFonts w:eastAsia="仿宋_GB2312" w:cstheme="minorBidi"/>
      <w:kern w:val="2"/>
      <w:sz w:val="32"/>
      <w:szCs w:val="22"/>
    </w:rPr>
  </w:style>
  <w:style w:type="character" w:customStyle="1" w:styleId="35">
    <w:name w:val="批注主题 Char"/>
    <w:basedOn w:val="33"/>
    <w:link w:val="16"/>
    <w:semiHidden/>
    <w:qFormat/>
    <w:uiPriority w:val="99"/>
    <w:rPr>
      <w:rFonts w:eastAsia="仿宋_GB2312" w:cstheme="minorBidi"/>
      <w:b/>
      <w:bCs/>
      <w:kern w:val="2"/>
      <w:sz w:val="32"/>
      <w:szCs w:val="22"/>
    </w:rPr>
  </w:style>
  <w:style w:type="paragraph" w:customStyle="1" w:styleId="36">
    <w:name w:val="Revision"/>
    <w:hidden/>
    <w:semiHidden/>
    <w:qFormat/>
    <w:uiPriority w:val="99"/>
    <w:rPr>
      <w:rFonts w:ascii="Times New Roman" w:hAnsi="Times New Roman" w:eastAsia="仿宋_GB2312" w:cstheme="minorBidi"/>
      <w:kern w:val="2"/>
      <w:sz w:val="32"/>
      <w:szCs w:val="22"/>
      <w:lang w:val="en-US" w:eastAsia="zh-CN" w:bidi="ar-SA"/>
    </w:rPr>
  </w:style>
  <w:style w:type="character" w:customStyle="1" w:styleId="37">
    <w:name w:val="正文文本缩进 Char"/>
    <w:basedOn w:val="19"/>
    <w:link w:val="9"/>
    <w:semiHidden/>
    <w:qFormat/>
    <w:uiPriority w:val="99"/>
    <w:rPr>
      <w:rFonts w:eastAsia="仿宋_GB2312" w:cstheme="minorBidi"/>
      <w:kern w:val="2"/>
      <w:sz w:val="32"/>
      <w:szCs w:val="22"/>
    </w:rPr>
  </w:style>
  <w:style w:type="character" w:customStyle="1" w:styleId="38">
    <w:name w:val="正文首行缩进 2 Char"/>
    <w:basedOn w:val="37"/>
    <w:link w:val="17"/>
    <w:qFormat/>
    <w:uiPriority w:val="0"/>
    <w:rPr>
      <w:rFonts w:ascii="等线" w:hAnsi="等线" w:eastAsia="仿宋_GB2312" w:cstheme="minorBidi"/>
      <w:kern w:val="2"/>
      <w:sz w:val="32"/>
      <w:szCs w:val="22"/>
    </w:rPr>
  </w:style>
  <w:style w:type="character" w:customStyle="1" w:styleId="39">
    <w:name w:val="未处理的提及1"/>
    <w:basedOn w:val="19"/>
    <w:semiHidden/>
    <w:unhideWhenUsed/>
    <w:qFormat/>
    <w:uiPriority w:val="99"/>
    <w:rPr>
      <w:color w:val="605E5C"/>
      <w:shd w:val="clear" w:color="auto" w:fill="E1DFDD"/>
    </w:rPr>
  </w:style>
  <w:style w:type="character" w:customStyle="1" w:styleId="40">
    <w:name w:val="标题 5 Char"/>
    <w:basedOn w:val="19"/>
    <w:link w:val="7"/>
    <w:qFormat/>
    <w:uiPriority w:val="9"/>
    <w:rPr>
      <w:rFonts w:eastAsia="仿宋_GB2312" w:cstheme="minorBidi"/>
      <w:b/>
      <w:bCs/>
      <w:kern w:val="2"/>
      <w:sz w:val="28"/>
      <w:szCs w:val="28"/>
    </w:rPr>
  </w:style>
  <w:style w:type="character" w:customStyle="1" w:styleId="41">
    <w:name w:val="navtiao"/>
    <w:basedOn w:val="19"/>
    <w:qFormat/>
    <w:uiPriority w:val="0"/>
  </w:style>
  <w:style w:type="character" w:customStyle="1" w:styleId="42">
    <w:name w:val="纯文本 Char"/>
    <w:basedOn w:val="19"/>
    <w:link w:val="2"/>
    <w:qFormat/>
    <w:uiPriority w:val="99"/>
    <w:rPr>
      <w:rFonts w:ascii="宋体" w:hAnsi="Courier New" w:eastAsia="仿宋_GB2312" w:cstheme="minorBidi"/>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szdrc\C:\Users\&#31908;&#28207;&#28595;&#22823;&#28286;&#21306;&#22823;&#25968;&#25454;&#30740;&#31350;&#38498;\Desktop\M.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M.dotx</Template>
  <Pages>13</Pages>
  <Words>5016</Words>
  <Characters>5021</Characters>
  <Lines>36</Lines>
  <Paragraphs>10</Paragraphs>
  <TotalTime>422</TotalTime>
  <ScaleCrop>false</ScaleCrop>
  <LinksUpToDate>false</LinksUpToDate>
  <CharactersWithSpaces>5024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2023-01-05T05:00:00Z</dcterms:created>
  <dc:creator>粤港澳大湾区大数据研究院</dc:creator>
  <cp:lastModifiedBy>WPS_1581317969</cp:lastModifiedBy>
  <cp:lastPrinted>2021-08-05T02:59:00Z</cp:lastPrinted>
  <dcterms:modified xsi:type="dcterms:W3CDTF">2023-02-21T07:15:40Z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08427E29F69F4AD59AEE0D316001B07C</vt:lpwstr>
  </property>
</Properties>
</file>