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10" w:lineRule="exact"/>
        <w:jc w:val="center"/>
        <w:rPr>
          <w:rFonts w:cs="宋体" w:asciiTheme="majorEastAsia" w:hAnsiTheme="majorEastAsia" w:eastAsiaTheme="majorEastAsia"/>
          <w:b/>
          <w:bCs/>
          <w:sz w:val="42"/>
          <w:szCs w:val="42"/>
        </w:rPr>
      </w:pPr>
      <w:bookmarkStart w:id="0" w:name="Urgent"/>
      <w:bookmarkEnd w:id="0"/>
    </w:p>
    <w:p>
      <w:pPr>
        <w:overflowPunct w:val="0"/>
        <w:spacing w:line="610" w:lineRule="exact"/>
        <w:jc w:val="center"/>
        <w:rPr>
          <w:rFonts w:cs="宋体" w:asciiTheme="majorEastAsia" w:hAnsiTheme="majorEastAsia" w:eastAsiaTheme="majorEastAsia"/>
          <w:b/>
          <w:bCs/>
          <w:sz w:val="42"/>
          <w:szCs w:val="42"/>
        </w:rPr>
      </w:pPr>
      <w:r>
        <w:rPr>
          <w:rFonts w:hint="eastAsia" w:cs="宋体" w:asciiTheme="majorEastAsia" w:hAnsiTheme="majorEastAsia" w:eastAsiaTheme="majorEastAsia"/>
          <w:b/>
          <w:bCs/>
          <w:sz w:val="42"/>
          <w:szCs w:val="42"/>
        </w:rPr>
        <w:t>深圳市发展和改革委员会战略性新兴产业</w:t>
      </w:r>
      <w:r>
        <w:rPr>
          <w:rFonts w:hint="eastAsia" w:cs="宋体" w:asciiTheme="majorEastAsia" w:hAnsiTheme="majorEastAsia" w:eastAsiaTheme="majorEastAsia"/>
          <w:b/>
          <w:bCs/>
          <w:sz w:val="42"/>
          <w:szCs w:val="42"/>
        </w:rPr>
        <w:br w:type="textWrapping"/>
      </w:r>
      <w:r>
        <w:rPr>
          <w:rFonts w:hint="eastAsia" w:cs="宋体" w:asciiTheme="majorEastAsia" w:hAnsiTheme="majorEastAsia" w:eastAsiaTheme="majorEastAsia"/>
          <w:b/>
          <w:bCs/>
          <w:sz w:val="42"/>
          <w:szCs w:val="42"/>
        </w:rPr>
        <w:t>扶持计划项目验收服务工作指引</w:t>
      </w:r>
    </w:p>
    <w:p>
      <w:pPr>
        <w:overflowPunct w:val="0"/>
        <w:spacing w:line="610" w:lineRule="exact"/>
        <w:jc w:val="center"/>
        <w:rPr>
          <w:rFonts w:asciiTheme="majorEastAsia" w:hAnsiTheme="majorEastAsia" w:eastAsiaTheme="majorEastAsia"/>
          <w:b/>
          <w:bCs/>
          <w:sz w:val="42"/>
          <w:szCs w:val="42"/>
        </w:rPr>
      </w:pPr>
    </w:p>
    <w:p>
      <w:pPr>
        <w:overflowPunct w:val="0"/>
        <w:spacing w:after="114" w:afterLines="20" w:line="610" w:lineRule="exact"/>
        <w:jc w:val="center"/>
        <w:rPr>
          <w:rFonts w:ascii="黑体" w:hAnsi="宋体" w:eastAsia="黑体"/>
          <w:color w:val="000000"/>
          <w:szCs w:val="32"/>
        </w:rPr>
      </w:pPr>
      <w:r>
        <w:rPr>
          <w:rFonts w:hint="eastAsia" w:ascii="黑体" w:hAnsi="宋体" w:eastAsia="黑体"/>
          <w:color w:val="000000"/>
          <w:szCs w:val="32"/>
        </w:rPr>
        <w:t>第一章  总  则</w:t>
      </w:r>
    </w:p>
    <w:p>
      <w:pPr>
        <w:overflowPunct w:val="0"/>
        <w:spacing w:line="610" w:lineRule="exact"/>
        <w:ind w:firstLine="624" w:firstLineChars="200"/>
        <w:rPr>
          <w:rFonts w:ascii="仿宋_GB2312"/>
          <w:color w:val="000000"/>
          <w:szCs w:val="32"/>
        </w:rPr>
      </w:pPr>
      <w:r>
        <w:rPr>
          <w:rFonts w:hint="eastAsia" w:ascii="仿宋_GB2312"/>
          <w:b/>
          <w:color w:val="000000"/>
          <w:szCs w:val="32"/>
        </w:rPr>
        <w:t xml:space="preserve">第一条 </w:t>
      </w:r>
      <w:r>
        <w:rPr>
          <w:rFonts w:hint="eastAsia" w:ascii="仿宋_GB2312"/>
          <w:color w:val="000000"/>
          <w:szCs w:val="32"/>
        </w:rPr>
        <w:t>为进一步加强深圳市发展和改革委员会（以下简称市发展改革委）战略性新兴产业扶持计划项目验收服务工作，确保验收服务工作的专业性、公正性和规范性，根据《深圳市发展和改革委员会专项资金新兴产业扶持计划项目验收管理办法》（深发改规〔2019〕3号）等文件规定，制定本指引。</w:t>
      </w:r>
    </w:p>
    <w:p>
      <w:pPr>
        <w:overflowPunct w:val="0"/>
        <w:spacing w:line="610" w:lineRule="exact"/>
        <w:ind w:firstLine="624" w:firstLineChars="200"/>
        <w:rPr>
          <w:rFonts w:ascii="仿宋_GB2312"/>
          <w:color w:val="000000"/>
          <w:szCs w:val="32"/>
        </w:rPr>
      </w:pPr>
      <w:r>
        <w:rPr>
          <w:rFonts w:hint="eastAsia" w:ascii="仿宋_GB2312"/>
          <w:b/>
          <w:color w:val="000000"/>
          <w:szCs w:val="32"/>
        </w:rPr>
        <w:t>第二条</w:t>
      </w:r>
      <w:r>
        <w:rPr>
          <w:rFonts w:hint="eastAsia" w:ascii="仿宋_GB2312"/>
          <w:color w:val="000000"/>
          <w:szCs w:val="32"/>
        </w:rPr>
        <w:t xml:space="preserve"> 本指引适用于市发展改革委战略性新兴产业扶持计划项目（以下简称项目）的验收服务工作，涵盖以下类别：</w:t>
      </w:r>
    </w:p>
    <w:p>
      <w:pPr>
        <w:overflowPunct w:val="0"/>
        <w:spacing w:line="610" w:lineRule="exact"/>
        <w:ind w:firstLine="624" w:firstLineChars="200"/>
        <w:rPr>
          <w:rFonts w:ascii="仿宋_GB2312"/>
          <w:color w:val="000000"/>
          <w:szCs w:val="32"/>
        </w:rPr>
      </w:pPr>
      <w:r>
        <w:rPr>
          <w:rFonts w:hint="eastAsia" w:ascii="仿宋_GB2312"/>
          <w:color w:val="000000"/>
          <w:szCs w:val="32"/>
        </w:rPr>
        <w:t>（一）市级工程研究中心、市级工程实验室；</w:t>
      </w:r>
    </w:p>
    <w:p>
      <w:pPr>
        <w:overflowPunct w:val="0"/>
        <w:spacing w:line="610" w:lineRule="exact"/>
        <w:ind w:firstLine="624" w:firstLineChars="200"/>
        <w:rPr>
          <w:rFonts w:ascii="仿宋_GB2312"/>
          <w:color w:val="000000"/>
          <w:szCs w:val="32"/>
        </w:rPr>
      </w:pPr>
      <w:r>
        <w:rPr>
          <w:rFonts w:hint="eastAsia" w:ascii="仿宋_GB2312"/>
          <w:color w:val="000000"/>
          <w:szCs w:val="32"/>
        </w:rPr>
        <w:t>（二）市级产业技术公共服务平台；</w:t>
      </w:r>
    </w:p>
    <w:p>
      <w:pPr>
        <w:overflowPunct w:val="0"/>
        <w:spacing w:line="610" w:lineRule="exact"/>
        <w:ind w:firstLine="624" w:firstLineChars="200"/>
        <w:rPr>
          <w:rFonts w:ascii="仿宋_GB2312"/>
          <w:color w:val="000000"/>
          <w:szCs w:val="32"/>
        </w:rPr>
      </w:pPr>
      <w:r>
        <w:rPr>
          <w:rFonts w:hint="eastAsia" w:ascii="仿宋_GB2312"/>
          <w:color w:val="000000"/>
          <w:szCs w:val="32"/>
        </w:rPr>
        <w:t>（三）前沿领域中试、产业化股权资助（事前资助）；</w:t>
      </w:r>
    </w:p>
    <w:p>
      <w:pPr>
        <w:overflowPunct w:val="0"/>
        <w:spacing w:line="610" w:lineRule="exact"/>
        <w:ind w:firstLine="624" w:firstLineChars="200"/>
        <w:rPr>
          <w:rFonts w:ascii="仿宋_GB2312"/>
          <w:color w:val="000000"/>
          <w:szCs w:val="32"/>
        </w:rPr>
      </w:pPr>
      <w:r>
        <w:rPr>
          <w:rFonts w:hint="eastAsia" w:ascii="仿宋_GB2312"/>
          <w:color w:val="000000"/>
          <w:szCs w:val="32"/>
        </w:rPr>
        <w:t>（四）产业化事后补助、产业化股权资助（事后资助）；</w:t>
      </w:r>
    </w:p>
    <w:p>
      <w:pPr>
        <w:overflowPunct w:val="0"/>
        <w:spacing w:line="610" w:lineRule="exact"/>
        <w:ind w:firstLine="624" w:firstLineChars="200"/>
        <w:rPr>
          <w:rFonts w:ascii="仿宋_GB2312"/>
          <w:color w:val="000000"/>
          <w:szCs w:val="32"/>
        </w:rPr>
      </w:pPr>
      <w:r>
        <w:rPr>
          <w:rFonts w:hint="eastAsia" w:ascii="仿宋_GB2312"/>
          <w:color w:val="000000"/>
          <w:szCs w:val="32"/>
        </w:rPr>
        <w:t>（五）融资贴息资助；</w:t>
      </w:r>
    </w:p>
    <w:p>
      <w:pPr>
        <w:overflowPunct w:val="0"/>
        <w:spacing w:line="610" w:lineRule="exact"/>
        <w:ind w:firstLine="624" w:firstLineChars="200"/>
        <w:rPr>
          <w:rFonts w:ascii="仿宋_GB2312"/>
          <w:color w:val="000000"/>
          <w:szCs w:val="32"/>
        </w:rPr>
      </w:pPr>
      <w:r>
        <w:rPr>
          <w:rFonts w:hint="eastAsia" w:ascii="仿宋_GB2312"/>
          <w:color w:val="000000"/>
          <w:szCs w:val="32"/>
        </w:rPr>
        <w:t>（六）“创新链+产业链”融合资助；</w:t>
      </w:r>
    </w:p>
    <w:p>
      <w:pPr>
        <w:overflowPunct w:val="0"/>
        <w:spacing w:line="610" w:lineRule="exact"/>
        <w:ind w:firstLine="624" w:firstLineChars="200"/>
        <w:rPr>
          <w:rFonts w:ascii="仿宋_GB2312"/>
          <w:color w:val="000000"/>
          <w:szCs w:val="32"/>
        </w:rPr>
      </w:pPr>
      <w:r>
        <w:rPr>
          <w:rFonts w:hint="eastAsia" w:ascii="仿宋_GB2312"/>
          <w:color w:val="000000"/>
          <w:szCs w:val="32"/>
        </w:rPr>
        <w:t>（七）学科建设；</w:t>
      </w:r>
    </w:p>
    <w:p>
      <w:pPr>
        <w:overflowPunct w:val="0"/>
        <w:spacing w:line="610" w:lineRule="exact"/>
        <w:ind w:firstLine="624" w:firstLineChars="200"/>
        <w:rPr>
          <w:rFonts w:ascii="仿宋_GB2312"/>
          <w:color w:val="000000"/>
          <w:szCs w:val="32"/>
        </w:rPr>
      </w:pPr>
      <w:r>
        <w:rPr>
          <w:rFonts w:hint="eastAsia" w:ascii="仿宋_GB2312"/>
          <w:color w:val="000000"/>
          <w:szCs w:val="32"/>
        </w:rPr>
        <w:t>（八）国家/省项目配套；</w:t>
      </w:r>
    </w:p>
    <w:p>
      <w:pPr>
        <w:overflowPunct w:val="0"/>
        <w:spacing w:line="610" w:lineRule="exact"/>
        <w:ind w:firstLine="624" w:firstLineChars="200"/>
        <w:rPr>
          <w:rFonts w:ascii="仿宋_GB2312"/>
          <w:color w:val="000000"/>
          <w:szCs w:val="32"/>
        </w:rPr>
      </w:pPr>
      <w:r>
        <w:rPr>
          <w:rFonts w:hint="eastAsia" w:ascii="仿宋_GB2312"/>
          <w:color w:val="000000"/>
          <w:szCs w:val="32"/>
        </w:rPr>
        <w:t>（九）信用贷款、担保贷款、设备融资租赁。</w:t>
      </w:r>
    </w:p>
    <w:p>
      <w:pPr>
        <w:overflowPunct w:val="0"/>
        <w:spacing w:line="610" w:lineRule="exact"/>
        <w:ind w:firstLine="624" w:firstLineChars="200"/>
        <w:rPr>
          <w:rFonts w:ascii="仿宋_GB2312"/>
          <w:color w:val="000000"/>
          <w:szCs w:val="32"/>
          <w:shd w:val="clear" w:color="auto" w:fill="92D050"/>
        </w:rPr>
      </w:pPr>
      <w:r>
        <w:rPr>
          <w:rFonts w:hint="eastAsia" w:ascii="仿宋_GB2312"/>
          <w:b/>
          <w:color w:val="000000"/>
          <w:szCs w:val="32"/>
        </w:rPr>
        <w:t>第三条</w:t>
      </w:r>
      <w:r>
        <w:rPr>
          <w:rFonts w:hint="eastAsia" w:ascii="仿宋_GB2312"/>
          <w:color w:val="000000"/>
          <w:szCs w:val="32"/>
        </w:rPr>
        <w:t xml:space="preserve"> 本指引所称验收服务是指：项目验收服务机构受市发展改革委委托，组织验收专家组对项目实施情况进行验收评价并形成专家组验收意见，项目验收服务机构根据专家组验收意见和项目专项审计报告等验收资料编制项目验收意见书并报市发展改革委审核的活动。</w:t>
      </w:r>
    </w:p>
    <w:p>
      <w:pPr>
        <w:overflowPunct w:val="0"/>
        <w:spacing w:line="610" w:lineRule="exact"/>
        <w:ind w:firstLine="624" w:firstLineChars="200"/>
        <w:rPr>
          <w:rFonts w:ascii="仿宋_GB2312"/>
          <w:color w:val="000000"/>
          <w:szCs w:val="32"/>
        </w:rPr>
      </w:pPr>
      <w:r>
        <w:rPr>
          <w:rFonts w:hint="eastAsia" w:ascii="仿宋_GB2312"/>
          <w:b/>
          <w:bCs/>
          <w:color w:val="000000"/>
          <w:szCs w:val="32"/>
        </w:rPr>
        <w:t>第四条</w:t>
      </w:r>
      <w:r>
        <w:rPr>
          <w:rFonts w:hint="eastAsia" w:ascii="仿宋_GB2312"/>
          <w:color w:val="000000"/>
          <w:szCs w:val="32"/>
        </w:rPr>
        <w:t xml:space="preserve"> 坚持实事求是、科学规范、客观公开、注重质量、讲求实效的原则，充分发挥专家和专业机构的作用，保证验收服务工作的专业性、公正性和规范性。</w:t>
      </w:r>
    </w:p>
    <w:p>
      <w:pPr>
        <w:overflowPunct w:val="0"/>
        <w:spacing w:line="610" w:lineRule="exact"/>
        <w:ind w:firstLine="624" w:firstLineChars="200"/>
        <w:rPr>
          <w:rFonts w:ascii="仿宋_GB2312"/>
          <w:color w:val="000000"/>
          <w:szCs w:val="32"/>
        </w:rPr>
      </w:pPr>
    </w:p>
    <w:p>
      <w:pPr>
        <w:overflowPunct w:val="0"/>
        <w:spacing w:after="114" w:afterLines="20" w:line="610" w:lineRule="exact"/>
        <w:jc w:val="center"/>
        <w:rPr>
          <w:rFonts w:ascii="黑体" w:hAnsi="宋体" w:eastAsia="黑体"/>
          <w:color w:val="000000"/>
          <w:szCs w:val="32"/>
        </w:rPr>
      </w:pPr>
      <w:r>
        <w:rPr>
          <w:rFonts w:hint="eastAsia" w:ascii="黑体" w:hAnsi="宋体" w:eastAsia="黑体"/>
          <w:color w:val="000000"/>
          <w:szCs w:val="32"/>
        </w:rPr>
        <w:t>第二章  职责分工</w:t>
      </w:r>
    </w:p>
    <w:p>
      <w:pPr>
        <w:overflowPunct w:val="0"/>
        <w:spacing w:line="610" w:lineRule="exact"/>
        <w:ind w:firstLine="624" w:firstLineChars="200"/>
        <w:rPr>
          <w:rFonts w:ascii="仿宋_GB2312"/>
          <w:color w:val="000000"/>
          <w:szCs w:val="32"/>
        </w:rPr>
      </w:pPr>
      <w:r>
        <w:rPr>
          <w:rFonts w:hint="eastAsia" w:ascii="仿宋_GB2312"/>
          <w:b/>
          <w:bCs/>
          <w:color w:val="000000"/>
          <w:szCs w:val="32"/>
        </w:rPr>
        <w:t>第五条</w:t>
      </w:r>
      <w:r>
        <w:rPr>
          <w:rFonts w:hint="eastAsia" w:ascii="仿宋_GB2312"/>
          <w:color w:val="000000"/>
          <w:szCs w:val="32"/>
        </w:rPr>
        <w:t xml:space="preserve"> 市发展改革委统筹管理项目验收服务工作，其基本职责：</w:t>
      </w:r>
    </w:p>
    <w:p>
      <w:pPr>
        <w:overflowPunct w:val="0"/>
        <w:spacing w:line="610" w:lineRule="exact"/>
        <w:ind w:firstLine="624" w:firstLineChars="200"/>
        <w:rPr>
          <w:rFonts w:ascii="仿宋_GB2312"/>
          <w:color w:val="000000"/>
          <w:szCs w:val="32"/>
        </w:rPr>
      </w:pPr>
      <w:r>
        <w:rPr>
          <w:rFonts w:hint="eastAsia" w:ascii="仿宋_GB2312"/>
          <w:color w:val="000000"/>
          <w:szCs w:val="32"/>
        </w:rPr>
        <w:t>（一）负责制定项目验收管理、战略性新兴产业扶持计划项目验收专家库（以下简称专家库）管理等相关制度；</w:t>
      </w:r>
    </w:p>
    <w:p>
      <w:pPr>
        <w:overflowPunct w:val="0"/>
        <w:spacing w:line="610" w:lineRule="exact"/>
        <w:ind w:firstLine="624" w:firstLineChars="200"/>
        <w:rPr>
          <w:rFonts w:ascii="仿宋_GB2312"/>
          <w:color w:val="000000"/>
          <w:szCs w:val="32"/>
        </w:rPr>
      </w:pPr>
      <w:r>
        <w:rPr>
          <w:rFonts w:hint="eastAsia" w:ascii="仿宋_GB2312"/>
          <w:color w:val="000000"/>
          <w:szCs w:val="32"/>
        </w:rPr>
        <w:t>（二）按照政府采购相关规定，确定项目验收服务机构，委托项目验收服务机构承担项目具体验收工作，受理对项目验收服务机构的投诉、举报，对项目验收服务机构的验收服务工作进行监督、指导及日常管理；</w:t>
      </w:r>
    </w:p>
    <w:p>
      <w:pPr>
        <w:overflowPunct w:val="0"/>
        <w:spacing w:line="610" w:lineRule="exact"/>
        <w:ind w:firstLine="624" w:firstLineChars="200"/>
        <w:rPr>
          <w:rFonts w:ascii="仿宋_GB2312"/>
          <w:color w:val="000000"/>
          <w:szCs w:val="32"/>
        </w:rPr>
      </w:pPr>
      <w:r>
        <w:rPr>
          <w:rFonts w:hint="eastAsia" w:ascii="仿宋_GB2312"/>
          <w:color w:val="000000"/>
          <w:szCs w:val="32"/>
        </w:rPr>
        <w:t>（三）建立、维护和管理专家库，受理对验收专家的投诉、举报，对验收专家的验收服务工作进行监督、指导及日常管理；</w:t>
      </w:r>
    </w:p>
    <w:p>
      <w:pPr>
        <w:overflowPunct w:val="0"/>
        <w:spacing w:line="610" w:lineRule="exact"/>
        <w:ind w:firstLine="624" w:firstLineChars="200"/>
        <w:rPr>
          <w:rFonts w:ascii="仿宋_GB2312"/>
          <w:color w:val="000000"/>
          <w:szCs w:val="32"/>
        </w:rPr>
      </w:pPr>
      <w:r>
        <w:rPr>
          <w:rFonts w:hint="eastAsia" w:ascii="仿宋_GB2312"/>
          <w:color w:val="000000"/>
          <w:szCs w:val="32"/>
        </w:rPr>
        <w:t>（四）受理项目验收申请材料并进行初审；</w:t>
      </w:r>
    </w:p>
    <w:p>
      <w:pPr>
        <w:overflowPunct w:val="0"/>
        <w:spacing w:line="610" w:lineRule="exact"/>
        <w:ind w:firstLine="624" w:firstLineChars="200"/>
        <w:rPr>
          <w:rFonts w:ascii="仿宋_GB2312"/>
          <w:color w:val="000000"/>
          <w:szCs w:val="32"/>
        </w:rPr>
      </w:pPr>
      <w:r>
        <w:rPr>
          <w:rFonts w:hint="eastAsia" w:ascii="仿宋_GB2312"/>
          <w:color w:val="000000"/>
          <w:szCs w:val="32"/>
        </w:rPr>
        <w:t>（五）审核项目验收服务机构编报的验收意见书，形成验收结论，并向项目单位书面下达验收文件。</w:t>
      </w:r>
    </w:p>
    <w:p>
      <w:pPr>
        <w:overflowPunct w:val="0"/>
        <w:spacing w:line="610" w:lineRule="exact"/>
        <w:ind w:firstLine="624" w:firstLineChars="200"/>
        <w:rPr>
          <w:rFonts w:ascii="仿宋_GB2312"/>
          <w:color w:val="000000"/>
          <w:szCs w:val="32"/>
        </w:rPr>
      </w:pPr>
      <w:r>
        <w:rPr>
          <w:rFonts w:hint="eastAsia" w:ascii="仿宋_GB2312"/>
          <w:b/>
          <w:bCs/>
          <w:color w:val="000000"/>
          <w:szCs w:val="32"/>
        </w:rPr>
        <w:t>第六条</w:t>
      </w:r>
      <w:r>
        <w:rPr>
          <w:rFonts w:hint="eastAsia" w:ascii="仿宋_GB2312"/>
          <w:color w:val="000000"/>
          <w:szCs w:val="32"/>
        </w:rPr>
        <w:t xml:space="preserve"> 项目验收服务机构是受市发展改革委委托，承担具体组织实施项目验收的专业机构，其基本职责：</w:t>
      </w:r>
    </w:p>
    <w:p>
      <w:pPr>
        <w:overflowPunct w:val="0"/>
        <w:spacing w:line="610" w:lineRule="exact"/>
        <w:ind w:firstLine="624" w:firstLineChars="200"/>
        <w:rPr>
          <w:rFonts w:ascii="仿宋_GB2312"/>
          <w:color w:val="000000"/>
          <w:szCs w:val="32"/>
        </w:rPr>
      </w:pPr>
      <w:r>
        <w:rPr>
          <w:rFonts w:hint="eastAsia" w:ascii="仿宋_GB2312"/>
          <w:color w:val="000000"/>
          <w:szCs w:val="32"/>
        </w:rPr>
        <w:t>（一）进一步核查项目验收材料，确保验收材料的完整性和规范性；</w:t>
      </w:r>
    </w:p>
    <w:p>
      <w:pPr>
        <w:overflowPunct w:val="0"/>
        <w:spacing w:line="610" w:lineRule="exact"/>
        <w:ind w:firstLine="624" w:firstLineChars="200"/>
        <w:rPr>
          <w:rFonts w:ascii="仿宋_GB2312"/>
          <w:color w:val="000000"/>
          <w:szCs w:val="32"/>
        </w:rPr>
      </w:pPr>
      <w:r>
        <w:rPr>
          <w:rFonts w:hint="eastAsia" w:ascii="仿宋_GB2312"/>
          <w:color w:val="000000"/>
          <w:szCs w:val="32"/>
        </w:rPr>
        <w:t>（二）抽选项目验收专家，组成验收专家组；</w:t>
      </w:r>
    </w:p>
    <w:p>
      <w:pPr>
        <w:overflowPunct w:val="0"/>
        <w:spacing w:line="610" w:lineRule="exact"/>
        <w:ind w:firstLine="624" w:firstLineChars="200"/>
        <w:rPr>
          <w:rFonts w:ascii="仿宋_GB2312"/>
          <w:color w:val="000000"/>
          <w:szCs w:val="32"/>
        </w:rPr>
      </w:pPr>
      <w:r>
        <w:rPr>
          <w:rFonts w:hint="eastAsia" w:ascii="仿宋_GB2312"/>
          <w:color w:val="000000"/>
          <w:szCs w:val="32"/>
        </w:rPr>
        <w:t>（三）拟定项目现场验收工作方案，组织项目现场验收评审会议；</w:t>
      </w:r>
    </w:p>
    <w:p>
      <w:pPr>
        <w:overflowPunct w:val="0"/>
        <w:spacing w:line="610" w:lineRule="exact"/>
        <w:ind w:firstLine="624" w:firstLineChars="200"/>
        <w:rPr>
          <w:rFonts w:ascii="仿宋_GB2312"/>
          <w:color w:val="000000"/>
          <w:szCs w:val="32"/>
        </w:rPr>
      </w:pPr>
      <w:r>
        <w:rPr>
          <w:rFonts w:hint="eastAsia" w:ascii="仿宋_GB2312"/>
          <w:color w:val="000000"/>
          <w:szCs w:val="32"/>
        </w:rPr>
        <w:t>（四）拍摄、录制并保存项目验收现场照片、音视频材料等；</w:t>
      </w:r>
    </w:p>
    <w:p>
      <w:pPr>
        <w:overflowPunct w:val="0"/>
        <w:spacing w:line="610" w:lineRule="exact"/>
        <w:ind w:firstLine="624" w:firstLineChars="200"/>
        <w:rPr>
          <w:rFonts w:ascii="仿宋_GB2312"/>
          <w:color w:val="000000"/>
          <w:szCs w:val="32"/>
        </w:rPr>
      </w:pPr>
      <w:r>
        <w:rPr>
          <w:rFonts w:hint="eastAsia" w:ascii="仿宋_GB2312"/>
          <w:color w:val="000000"/>
          <w:szCs w:val="32"/>
        </w:rPr>
        <w:t>（五）加强对专家现场验收服务工作的组织、管理与监督；</w:t>
      </w:r>
    </w:p>
    <w:p>
      <w:pPr>
        <w:overflowPunct w:val="0"/>
        <w:spacing w:line="610" w:lineRule="exact"/>
        <w:ind w:firstLine="624" w:firstLineChars="200"/>
        <w:rPr>
          <w:rFonts w:ascii="仿宋_GB2312"/>
          <w:color w:val="000000"/>
          <w:szCs w:val="32"/>
        </w:rPr>
      </w:pPr>
      <w:r>
        <w:rPr>
          <w:rFonts w:hint="eastAsia" w:ascii="仿宋_GB2312"/>
          <w:color w:val="000000"/>
          <w:szCs w:val="32"/>
        </w:rPr>
        <w:t>（六）根据专家组验收意见和项目专项审计报告等验收材料编写项目验收意见书，报市发展改革委审核；</w:t>
      </w:r>
    </w:p>
    <w:p>
      <w:pPr>
        <w:overflowPunct w:val="0"/>
        <w:spacing w:line="610" w:lineRule="exact"/>
        <w:ind w:firstLine="624" w:firstLineChars="200"/>
        <w:rPr>
          <w:rFonts w:ascii="仿宋_GB2312"/>
          <w:color w:val="000000"/>
          <w:szCs w:val="32"/>
        </w:rPr>
      </w:pPr>
      <w:r>
        <w:rPr>
          <w:rFonts w:hint="eastAsia" w:ascii="仿宋_GB2312"/>
          <w:color w:val="000000"/>
          <w:szCs w:val="32"/>
        </w:rPr>
        <w:t>（七）整理汇总项目验收材料，送市发展改革委存档；</w:t>
      </w:r>
    </w:p>
    <w:p>
      <w:pPr>
        <w:overflowPunct w:val="0"/>
        <w:spacing w:line="610" w:lineRule="exact"/>
        <w:ind w:firstLine="624" w:firstLineChars="200"/>
        <w:rPr>
          <w:rFonts w:ascii="仿宋_GB2312"/>
          <w:color w:val="000000"/>
          <w:szCs w:val="32"/>
        </w:rPr>
      </w:pPr>
      <w:r>
        <w:rPr>
          <w:rFonts w:hint="eastAsia" w:ascii="仿宋_GB2312"/>
          <w:color w:val="000000"/>
          <w:szCs w:val="32"/>
        </w:rPr>
        <w:t>（八）协助市发展改革委开展专家库的建设与维护，协助市发展改革委处理针对验收专家的投诉、举报；</w:t>
      </w:r>
    </w:p>
    <w:p>
      <w:pPr>
        <w:overflowPunct w:val="0"/>
        <w:spacing w:line="610" w:lineRule="exact"/>
        <w:ind w:firstLine="624" w:firstLineChars="200"/>
        <w:rPr>
          <w:rFonts w:ascii="仿宋_GB2312"/>
          <w:color w:val="000000"/>
          <w:szCs w:val="32"/>
        </w:rPr>
      </w:pPr>
      <w:r>
        <w:rPr>
          <w:rFonts w:hint="eastAsia" w:ascii="仿宋_GB2312"/>
          <w:color w:val="000000"/>
          <w:szCs w:val="32"/>
        </w:rPr>
        <w:t>（九）接受市发展改革委的监督和管理，对本机构工作人员和验收专家开展廉洁和反腐败教育，督促本机构工作人员和验收专家廉洁从业。</w:t>
      </w:r>
    </w:p>
    <w:p>
      <w:pPr>
        <w:overflowPunct w:val="0"/>
        <w:spacing w:line="610" w:lineRule="exact"/>
        <w:ind w:firstLine="624" w:firstLineChars="200"/>
        <w:rPr>
          <w:rFonts w:ascii="仿宋_GB2312"/>
          <w:color w:val="000000"/>
          <w:szCs w:val="32"/>
        </w:rPr>
      </w:pPr>
      <w:r>
        <w:rPr>
          <w:rFonts w:hint="eastAsia" w:ascii="仿宋_GB2312"/>
          <w:b/>
          <w:bCs/>
          <w:color w:val="000000"/>
          <w:szCs w:val="32"/>
        </w:rPr>
        <w:t>第七条</w:t>
      </w:r>
      <w:r>
        <w:rPr>
          <w:rFonts w:hint="eastAsia" w:ascii="仿宋_GB2312"/>
          <w:color w:val="000000"/>
          <w:szCs w:val="32"/>
        </w:rPr>
        <w:t xml:space="preserve"> 验收专家是具有一定专业技术水平和资历，受验收服务机构邀请参与项目验收工作的专业人员，其基本职责：</w:t>
      </w:r>
    </w:p>
    <w:p>
      <w:pPr>
        <w:overflowPunct w:val="0"/>
        <w:spacing w:line="610" w:lineRule="exact"/>
        <w:ind w:firstLine="624" w:firstLineChars="200"/>
        <w:rPr>
          <w:rFonts w:ascii="仿宋_GB2312"/>
          <w:color w:val="000000"/>
          <w:szCs w:val="32"/>
        </w:rPr>
      </w:pPr>
      <w:r>
        <w:rPr>
          <w:rFonts w:hint="eastAsia" w:ascii="仿宋_GB2312"/>
          <w:color w:val="000000"/>
          <w:szCs w:val="32"/>
        </w:rPr>
        <w:t>（一）在遵循回避原则的前提下，根据自身专业、能力等，接受项目验收服务机构的邀请；</w:t>
      </w:r>
    </w:p>
    <w:p>
      <w:pPr>
        <w:overflowPunct w:val="0"/>
        <w:spacing w:line="610" w:lineRule="exact"/>
        <w:ind w:firstLine="624" w:firstLineChars="200"/>
        <w:rPr>
          <w:rFonts w:ascii="仿宋_GB2312"/>
          <w:color w:val="000000"/>
          <w:szCs w:val="32"/>
        </w:rPr>
      </w:pPr>
      <w:r>
        <w:rPr>
          <w:rFonts w:hint="eastAsia" w:ascii="仿宋_GB2312"/>
          <w:color w:val="000000"/>
          <w:szCs w:val="32"/>
        </w:rPr>
        <w:t>（二）积极配合项目验收工作安排并按时参加项目验收工作；</w:t>
      </w:r>
    </w:p>
    <w:p>
      <w:pPr>
        <w:overflowPunct w:val="0"/>
        <w:spacing w:line="610" w:lineRule="exact"/>
        <w:ind w:firstLine="624" w:firstLineChars="200"/>
        <w:rPr>
          <w:rFonts w:ascii="仿宋_GB2312"/>
          <w:color w:val="000000"/>
          <w:szCs w:val="32"/>
        </w:rPr>
      </w:pPr>
      <w:r>
        <w:rPr>
          <w:rFonts w:hint="eastAsia" w:ascii="仿宋_GB2312"/>
          <w:color w:val="000000"/>
          <w:szCs w:val="32"/>
        </w:rPr>
        <w:t>（三）严格按照规定程序、评分标准和评分细则，在认真审核项目验收资料和详细核查项目实际建设完成情况的基础上，独立、客观、公正地发表专业意见，并进行综合评议打分；</w:t>
      </w:r>
    </w:p>
    <w:p>
      <w:pPr>
        <w:overflowPunct w:val="0"/>
        <w:spacing w:line="610" w:lineRule="exact"/>
        <w:ind w:firstLine="624" w:firstLineChars="200"/>
        <w:rPr>
          <w:rFonts w:ascii="仿宋_GB2312"/>
          <w:color w:val="000000"/>
          <w:szCs w:val="32"/>
        </w:rPr>
      </w:pPr>
      <w:r>
        <w:rPr>
          <w:rFonts w:hint="eastAsia" w:ascii="仿宋_GB2312"/>
          <w:color w:val="000000"/>
          <w:szCs w:val="32"/>
        </w:rPr>
        <w:t>（四）接受市发展改革委和验收服务机构开展的廉洁和反腐败教育，做到廉洁从业。</w:t>
      </w:r>
    </w:p>
    <w:p>
      <w:pPr>
        <w:overflowPunct w:val="0"/>
        <w:spacing w:line="610" w:lineRule="exact"/>
        <w:ind w:firstLine="624" w:firstLineChars="200"/>
        <w:rPr>
          <w:rFonts w:ascii="仿宋_GB2312"/>
          <w:color w:val="000000"/>
          <w:szCs w:val="32"/>
        </w:rPr>
      </w:pPr>
    </w:p>
    <w:p>
      <w:pPr>
        <w:overflowPunct w:val="0"/>
        <w:spacing w:after="114" w:afterLines="20" w:line="610" w:lineRule="exact"/>
        <w:jc w:val="center"/>
        <w:rPr>
          <w:rFonts w:ascii="黑体" w:hAnsi="宋体" w:eastAsia="黑体"/>
          <w:color w:val="000000"/>
          <w:szCs w:val="32"/>
        </w:rPr>
      </w:pPr>
      <w:r>
        <w:rPr>
          <w:rFonts w:hint="eastAsia" w:ascii="黑体" w:hAnsi="宋体" w:eastAsia="黑体"/>
          <w:color w:val="000000"/>
          <w:szCs w:val="32"/>
        </w:rPr>
        <w:t>第三章  资质要求</w:t>
      </w:r>
    </w:p>
    <w:p>
      <w:pPr>
        <w:overflowPunct w:val="0"/>
        <w:spacing w:line="610" w:lineRule="exact"/>
        <w:ind w:firstLine="624" w:firstLineChars="200"/>
        <w:rPr>
          <w:rFonts w:ascii="仿宋_GB2312"/>
          <w:color w:val="000000"/>
          <w:szCs w:val="32"/>
        </w:rPr>
      </w:pPr>
      <w:r>
        <w:rPr>
          <w:rFonts w:hint="eastAsia" w:ascii="仿宋_GB2312"/>
          <w:b/>
          <w:bCs/>
          <w:color w:val="000000"/>
          <w:szCs w:val="32"/>
        </w:rPr>
        <w:t>第八条</w:t>
      </w:r>
      <w:r>
        <w:rPr>
          <w:rFonts w:hint="eastAsia" w:ascii="仿宋_GB2312"/>
          <w:color w:val="000000"/>
          <w:szCs w:val="32"/>
        </w:rPr>
        <w:t xml:space="preserve"> 项目验收服务机构须具有独立承担民事责任能力，具备财政专项资金项目验收、管理、评审、绩效评价、审计等业绩之一，满足以下要求：</w:t>
      </w:r>
    </w:p>
    <w:p>
      <w:pPr>
        <w:overflowPunct w:val="0"/>
        <w:spacing w:line="610" w:lineRule="exact"/>
        <w:ind w:firstLine="624" w:firstLineChars="200"/>
        <w:rPr>
          <w:rFonts w:ascii="仿宋_GB2312"/>
          <w:color w:val="000000"/>
          <w:szCs w:val="32"/>
        </w:rPr>
      </w:pPr>
      <w:r>
        <w:rPr>
          <w:rFonts w:hint="eastAsia" w:ascii="仿宋_GB2312"/>
          <w:color w:val="000000"/>
          <w:szCs w:val="32"/>
        </w:rPr>
        <w:t>（一）项目验收团队。保证15名（含）以上专职人员负责项目验收工作，项目验收总负责人具有正高级职称，或具有注册会计师执业资格且有5年以上项目评审或验收经验；</w:t>
      </w:r>
    </w:p>
    <w:p>
      <w:pPr>
        <w:overflowPunct w:val="0"/>
        <w:spacing w:line="610" w:lineRule="exact"/>
        <w:ind w:firstLine="624" w:firstLineChars="200"/>
        <w:rPr>
          <w:rFonts w:ascii="仿宋_GB2312"/>
          <w:color w:val="000000"/>
          <w:szCs w:val="32"/>
        </w:rPr>
      </w:pPr>
      <w:r>
        <w:rPr>
          <w:rFonts w:hint="eastAsia" w:ascii="仿宋_GB2312"/>
          <w:color w:val="000000"/>
          <w:szCs w:val="32"/>
        </w:rPr>
        <w:t>（二）验收管理制度。已制定验收相关制度规范，包括验收流程规范、验收工作管理办法等各类用以保障验收工作有序开展的制度文件；</w:t>
      </w:r>
    </w:p>
    <w:p>
      <w:pPr>
        <w:overflowPunct w:val="0"/>
        <w:spacing w:line="610" w:lineRule="exact"/>
        <w:ind w:firstLine="624" w:firstLineChars="200"/>
        <w:rPr>
          <w:rFonts w:ascii="仿宋_GB2312"/>
          <w:color w:val="000000"/>
          <w:szCs w:val="32"/>
        </w:rPr>
      </w:pPr>
      <w:r>
        <w:rPr>
          <w:rFonts w:hint="eastAsia" w:ascii="仿宋_GB2312"/>
          <w:color w:val="000000"/>
          <w:szCs w:val="32"/>
        </w:rPr>
        <w:t>（三）验收软硬件设施。拥有可对验收过程进行全流程录制的音视频设备、系统；</w:t>
      </w:r>
    </w:p>
    <w:p>
      <w:pPr>
        <w:overflowPunct w:val="0"/>
        <w:spacing w:line="610" w:lineRule="exact"/>
        <w:ind w:firstLine="624" w:firstLineChars="200"/>
        <w:rPr>
          <w:rFonts w:ascii="仿宋_GB2312"/>
          <w:color w:val="000000"/>
          <w:szCs w:val="32"/>
        </w:rPr>
      </w:pPr>
      <w:r>
        <w:rPr>
          <w:rFonts w:hint="eastAsia" w:ascii="仿宋_GB2312"/>
          <w:color w:val="000000"/>
          <w:szCs w:val="32"/>
        </w:rPr>
        <w:t>（四）近三年内未参与过项目单位有关项目的立项评审或专项审计工作。</w:t>
      </w:r>
    </w:p>
    <w:p>
      <w:pPr>
        <w:overflowPunct w:val="0"/>
        <w:spacing w:line="610" w:lineRule="exact"/>
        <w:ind w:firstLine="624" w:firstLineChars="200"/>
        <w:rPr>
          <w:rFonts w:ascii="仿宋_GB2312"/>
          <w:color w:val="000000"/>
          <w:szCs w:val="32"/>
        </w:rPr>
      </w:pPr>
      <w:r>
        <w:rPr>
          <w:rFonts w:hint="eastAsia" w:ascii="仿宋_GB2312"/>
          <w:b/>
          <w:bCs/>
          <w:color w:val="000000"/>
          <w:szCs w:val="32"/>
        </w:rPr>
        <w:t>第九条</w:t>
      </w:r>
      <w:r>
        <w:rPr>
          <w:rFonts w:hint="eastAsia" w:ascii="仿宋_GB2312"/>
          <w:color w:val="000000"/>
          <w:szCs w:val="32"/>
        </w:rPr>
        <w:t xml:space="preserve"> 验收专家主要来源于高等院校、科研机构、企业、会计师事务所等单位，应当符合以下条件：</w:t>
      </w:r>
    </w:p>
    <w:p>
      <w:pPr>
        <w:overflowPunct w:val="0"/>
        <w:spacing w:line="610" w:lineRule="exact"/>
        <w:ind w:firstLine="624" w:firstLineChars="200"/>
        <w:rPr>
          <w:rFonts w:ascii="仿宋_GB2312"/>
          <w:color w:val="000000"/>
          <w:szCs w:val="32"/>
        </w:rPr>
      </w:pPr>
      <w:r>
        <w:rPr>
          <w:rFonts w:hint="eastAsia" w:ascii="仿宋_GB2312"/>
          <w:color w:val="000000"/>
          <w:szCs w:val="32"/>
        </w:rPr>
        <w:t>（一）遵守国家法律，廉洁自律，无犯罪记录；</w:t>
      </w:r>
    </w:p>
    <w:p>
      <w:pPr>
        <w:overflowPunct w:val="0"/>
        <w:spacing w:line="610" w:lineRule="exact"/>
        <w:ind w:firstLine="624" w:firstLineChars="200"/>
        <w:rPr>
          <w:rFonts w:ascii="仿宋_GB2312"/>
          <w:color w:val="000000"/>
          <w:szCs w:val="32"/>
        </w:rPr>
      </w:pPr>
      <w:r>
        <w:rPr>
          <w:rFonts w:hint="eastAsia" w:ascii="仿宋_GB2312"/>
          <w:color w:val="000000"/>
          <w:szCs w:val="32"/>
        </w:rPr>
        <w:t>（二）身体健康，年龄一般不超过65周岁，国家科学技术奖获得者、中国科学院院士、中国工程院院士等高层次人才可适当放宽年龄限制；</w:t>
      </w:r>
    </w:p>
    <w:p>
      <w:pPr>
        <w:overflowPunct w:val="0"/>
        <w:spacing w:line="610" w:lineRule="exact"/>
        <w:ind w:firstLine="624" w:firstLineChars="200"/>
        <w:rPr>
          <w:rFonts w:ascii="仿宋_GB2312"/>
          <w:color w:val="000000"/>
          <w:szCs w:val="32"/>
        </w:rPr>
      </w:pPr>
      <w:r>
        <w:rPr>
          <w:rFonts w:hint="eastAsia" w:ascii="仿宋_GB2312"/>
          <w:color w:val="000000"/>
          <w:szCs w:val="32"/>
        </w:rPr>
        <w:t>（三）具有良好的职业道德和社会公德，客观公正，信誉良好，无不良科研诚信记录；</w:t>
      </w:r>
    </w:p>
    <w:p>
      <w:pPr>
        <w:overflowPunct w:val="0"/>
        <w:spacing w:line="610" w:lineRule="exact"/>
        <w:ind w:firstLine="624" w:firstLineChars="200"/>
        <w:rPr>
          <w:rFonts w:ascii="仿宋_GB2312"/>
          <w:color w:val="000000"/>
          <w:szCs w:val="32"/>
        </w:rPr>
      </w:pPr>
      <w:r>
        <w:rPr>
          <w:rFonts w:hint="eastAsia" w:ascii="仿宋_GB2312"/>
          <w:color w:val="000000"/>
          <w:szCs w:val="32"/>
        </w:rPr>
        <w:t>（四）具有严谨的科学态度、较高的专业技术水平和较强的分析判断能力，熟悉相关领域或行业的技术研发、成果转化及国内外科技创新与产业发展动态，了解相关法律、法规、政策规范；</w:t>
      </w:r>
    </w:p>
    <w:p>
      <w:pPr>
        <w:overflowPunct w:val="0"/>
        <w:spacing w:line="610" w:lineRule="exact"/>
        <w:ind w:firstLine="624" w:firstLineChars="200"/>
        <w:rPr>
          <w:rFonts w:ascii="仿宋_GB2312"/>
          <w:color w:val="000000"/>
          <w:szCs w:val="32"/>
        </w:rPr>
      </w:pPr>
      <w:r>
        <w:rPr>
          <w:rFonts w:hint="eastAsia" w:ascii="仿宋_GB2312"/>
          <w:color w:val="000000"/>
          <w:szCs w:val="32"/>
        </w:rPr>
        <w:t>（五）技术专家应具有高级专业技术资格或博士学位或担任企事业单位高级技术管理职务，且在相关领域工作3 年以上；</w:t>
      </w:r>
    </w:p>
    <w:p>
      <w:pPr>
        <w:overflowPunct w:val="0"/>
        <w:spacing w:line="610" w:lineRule="exact"/>
        <w:ind w:firstLine="624" w:firstLineChars="200"/>
        <w:rPr>
          <w:rFonts w:ascii="仿宋_GB2312"/>
          <w:color w:val="000000"/>
          <w:szCs w:val="32"/>
        </w:rPr>
      </w:pPr>
      <w:r>
        <w:rPr>
          <w:rFonts w:hint="eastAsia" w:ascii="仿宋_GB2312"/>
          <w:color w:val="000000"/>
          <w:szCs w:val="32"/>
        </w:rPr>
        <w:t>（六）财务专家应具有注册会计师执业资格，且在相关领域</w:t>
      </w:r>
      <w:bookmarkStart w:id="1" w:name="_GoBack"/>
      <w:bookmarkEnd w:id="1"/>
      <w:r>
        <w:rPr>
          <w:rFonts w:hint="eastAsia" w:ascii="仿宋_GB2312"/>
          <w:color w:val="000000"/>
          <w:szCs w:val="32"/>
        </w:rPr>
        <w:t>工作3年以上。</w:t>
      </w:r>
    </w:p>
    <w:p>
      <w:pPr>
        <w:overflowPunct w:val="0"/>
        <w:spacing w:line="610" w:lineRule="exact"/>
        <w:ind w:firstLine="624" w:firstLineChars="200"/>
        <w:rPr>
          <w:rFonts w:ascii="仿宋_GB2312"/>
          <w:color w:val="000000"/>
          <w:szCs w:val="32"/>
        </w:rPr>
      </w:pPr>
    </w:p>
    <w:p>
      <w:pPr>
        <w:overflowPunct w:val="0"/>
        <w:spacing w:after="114" w:afterLines="20" w:line="610" w:lineRule="exact"/>
        <w:jc w:val="center"/>
        <w:rPr>
          <w:rFonts w:ascii="黑体" w:hAnsi="宋体" w:eastAsia="黑体"/>
          <w:color w:val="000000"/>
          <w:szCs w:val="32"/>
        </w:rPr>
      </w:pPr>
      <w:r>
        <w:rPr>
          <w:rFonts w:hint="eastAsia" w:ascii="黑体" w:hAnsi="宋体" w:eastAsia="黑体"/>
          <w:color w:val="000000"/>
          <w:szCs w:val="32"/>
        </w:rPr>
        <w:t>第四章  专家抽选</w:t>
      </w:r>
    </w:p>
    <w:p>
      <w:pPr>
        <w:overflowPunct w:val="0"/>
        <w:spacing w:line="610" w:lineRule="exact"/>
        <w:ind w:firstLine="624" w:firstLineChars="200"/>
        <w:rPr>
          <w:rFonts w:ascii="仿宋_GB2312"/>
          <w:b/>
          <w:bCs/>
          <w:color w:val="000000"/>
          <w:szCs w:val="32"/>
        </w:rPr>
      </w:pPr>
      <w:r>
        <w:rPr>
          <w:rFonts w:hint="eastAsia" w:ascii="仿宋_GB2312"/>
          <w:b/>
          <w:bCs/>
          <w:color w:val="000000"/>
          <w:szCs w:val="32"/>
        </w:rPr>
        <w:t>第十条</w:t>
      </w:r>
      <w:r>
        <w:rPr>
          <w:rFonts w:hint="eastAsia" w:ascii="仿宋_GB2312"/>
          <w:color w:val="000000"/>
          <w:szCs w:val="32"/>
        </w:rPr>
        <w:t xml:space="preserve"> 项目验收服务机构根据项目所属细分产业领域或研究领域，设定专家的类型、领域、资历、数量等遴选条件后，采用随机遴选方式从专家库中抽取专家组成员。原则上应选取活跃在科研、产业一线的专家，来自同一单位的专家不超过1名。</w:t>
      </w:r>
    </w:p>
    <w:p>
      <w:pPr>
        <w:overflowPunct w:val="0"/>
        <w:spacing w:line="610" w:lineRule="exact"/>
        <w:ind w:firstLine="624" w:firstLineChars="200"/>
        <w:rPr>
          <w:rFonts w:ascii="仿宋_GB2312"/>
          <w:color w:val="000000"/>
          <w:szCs w:val="32"/>
        </w:rPr>
      </w:pPr>
      <w:r>
        <w:rPr>
          <w:rFonts w:hint="eastAsia" w:ascii="仿宋_GB2312"/>
          <w:b/>
          <w:bCs/>
          <w:color w:val="000000"/>
          <w:szCs w:val="32"/>
        </w:rPr>
        <w:t>第十一条</w:t>
      </w:r>
      <w:r>
        <w:rPr>
          <w:rFonts w:hint="eastAsia" w:ascii="仿宋_GB2312"/>
          <w:color w:val="000000"/>
          <w:szCs w:val="32"/>
        </w:rPr>
        <w:t xml:space="preserve"> 项目验收服务机构应根据有关要求组建验收专家组，验收专家组成员原则上须满足以下要求：</w:t>
      </w:r>
    </w:p>
    <w:p>
      <w:pPr>
        <w:overflowPunct w:val="0"/>
        <w:spacing w:line="610" w:lineRule="exact"/>
        <w:ind w:firstLine="624" w:firstLineChars="200"/>
        <w:rPr>
          <w:rFonts w:ascii="仿宋_GB2312"/>
          <w:color w:val="000000"/>
          <w:szCs w:val="32"/>
        </w:rPr>
      </w:pPr>
      <w:r>
        <w:rPr>
          <w:rFonts w:hint="eastAsia" w:ascii="仿宋_GB2312"/>
          <w:color w:val="000000"/>
          <w:szCs w:val="32"/>
        </w:rPr>
        <w:t>（一）与项目单位不存在经济利益、法律纠纷或其他利益关联；</w:t>
      </w:r>
    </w:p>
    <w:p>
      <w:pPr>
        <w:overflowPunct w:val="0"/>
        <w:spacing w:line="610" w:lineRule="exact"/>
        <w:ind w:firstLine="624" w:firstLineChars="200"/>
        <w:rPr>
          <w:rFonts w:ascii="仿宋_GB2312"/>
          <w:color w:val="000000"/>
          <w:szCs w:val="32"/>
        </w:rPr>
      </w:pPr>
      <w:r>
        <w:rPr>
          <w:rFonts w:hint="eastAsia" w:ascii="仿宋_GB2312"/>
          <w:color w:val="000000"/>
          <w:szCs w:val="32"/>
        </w:rPr>
        <w:t>（二）近三年内未在项目单位任职；</w:t>
      </w:r>
    </w:p>
    <w:p>
      <w:pPr>
        <w:overflowPunct w:val="0"/>
        <w:spacing w:line="610" w:lineRule="exact"/>
        <w:ind w:firstLine="624" w:firstLineChars="200"/>
        <w:rPr>
          <w:rFonts w:ascii="仿宋_GB2312"/>
          <w:color w:val="000000"/>
          <w:szCs w:val="32"/>
        </w:rPr>
      </w:pPr>
      <w:r>
        <w:rPr>
          <w:rFonts w:hint="eastAsia" w:ascii="仿宋_GB2312"/>
          <w:color w:val="000000"/>
          <w:szCs w:val="32"/>
        </w:rPr>
        <w:t>（三）同一专家每年参加市发展改革委委托验收的项目总数原则上不超过12个；</w:t>
      </w:r>
    </w:p>
    <w:p>
      <w:pPr>
        <w:overflowPunct w:val="0"/>
        <w:spacing w:line="610" w:lineRule="exact"/>
        <w:ind w:firstLine="624" w:firstLineChars="200"/>
        <w:rPr>
          <w:rFonts w:ascii="仿宋_GB2312"/>
          <w:color w:val="000000"/>
          <w:szCs w:val="32"/>
        </w:rPr>
      </w:pPr>
      <w:r>
        <w:rPr>
          <w:rFonts w:hint="eastAsia" w:ascii="仿宋_GB2312"/>
          <w:color w:val="000000"/>
          <w:szCs w:val="32"/>
        </w:rPr>
        <w:t>（四）验收专家组由不少于1名财务专家和不少于4名技术专家组成，其中来自企业的技术专家不少于1名。</w:t>
      </w:r>
    </w:p>
    <w:p>
      <w:pPr>
        <w:overflowPunct w:val="0"/>
        <w:spacing w:line="610" w:lineRule="exact"/>
        <w:ind w:firstLine="624" w:firstLineChars="200"/>
        <w:rPr>
          <w:rFonts w:ascii="仿宋_GB2312"/>
          <w:color w:val="000000"/>
          <w:szCs w:val="32"/>
        </w:rPr>
      </w:pPr>
      <w:r>
        <w:rPr>
          <w:rFonts w:hint="eastAsia" w:ascii="仿宋_GB2312"/>
          <w:b/>
          <w:bCs/>
          <w:color w:val="000000"/>
          <w:szCs w:val="32"/>
        </w:rPr>
        <w:t>第十二条</w:t>
      </w:r>
      <w:r>
        <w:rPr>
          <w:rFonts w:hint="eastAsia" w:ascii="仿宋_GB2312"/>
          <w:color w:val="000000"/>
          <w:szCs w:val="32"/>
        </w:rPr>
        <w:t xml:space="preserve"> 如项目申请第二次验收，则该项目第二次验收专家组成员中，参加过该项目第一次验收工作的专家数量不得超过1名。</w:t>
      </w:r>
    </w:p>
    <w:p>
      <w:pPr>
        <w:overflowPunct w:val="0"/>
        <w:spacing w:line="610" w:lineRule="exact"/>
        <w:ind w:firstLine="624" w:firstLineChars="200"/>
        <w:rPr>
          <w:rFonts w:ascii="仿宋_GB2312"/>
          <w:color w:val="000000"/>
          <w:szCs w:val="32"/>
        </w:rPr>
      </w:pPr>
      <w:r>
        <w:rPr>
          <w:rFonts w:hint="eastAsia" w:ascii="仿宋_GB2312"/>
          <w:b/>
          <w:bCs/>
          <w:color w:val="000000"/>
          <w:szCs w:val="32"/>
        </w:rPr>
        <w:t>第十三条</w:t>
      </w:r>
      <w:r>
        <w:rPr>
          <w:rFonts w:hint="eastAsia" w:ascii="仿宋_GB2312"/>
          <w:color w:val="000000"/>
          <w:szCs w:val="32"/>
        </w:rPr>
        <w:t xml:space="preserve"> 若有专家临时无法参加验收或需要回避时，项目验收服务机构应根据响应及时性和专业符合性等要求指定专家库的其他专家进行替换。</w:t>
      </w:r>
    </w:p>
    <w:p>
      <w:pPr>
        <w:overflowPunct w:val="0"/>
        <w:spacing w:line="610" w:lineRule="exact"/>
        <w:ind w:firstLine="624" w:firstLineChars="200"/>
        <w:rPr>
          <w:rFonts w:ascii="仿宋_GB2312"/>
          <w:color w:val="000000"/>
          <w:szCs w:val="32"/>
        </w:rPr>
      </w:pPr>
    </w:p>
    <w:p>
      <w:pPr>
        <w:overflowPunct w:val="0"/>
        <w:spacing w:after="114" w:afterLines="20" w:line="610" w:lineRule="exact"/>
        <w:jc w:val="center"/>
        <w:rPr>
          <w:rFonts w:ascii="黑体" w:hAnsi="宋体" w:eastAsia="黑体"/>
          <w:color w:val="000000"/>
          <w:szCs w:val="32"/>
        </w:rPr>
      </w:pPr>
      <w:r>
        <w:rPr>
          <w:rFonts w:hint="eastAsia" w:ascii="黑体" w:hAnsi="宋体" w:eastAsia="黑体"/>
          <w:color w:val="000000"/>
          <w:szCs w:val="32"/>
        </w:rPr>
        <w:t>第五章  验收准备</w:t>
      </w:r>
    </w:p>
    <w:p>
      <w:pPr>
        <w:overflowPunct w:val="0"/>
        <w:spacing w:line="610" w:lineRule="exact"/>
        <w:ind w:firstLine="624" w:firstLineChars="200"/>
        <w:rPr>
          <w:rFonts w:ascii="仿宋_GB2312"/>
          <w:b/>
          <w:bCs/>
          <w:color w:val="000000"/>
          <w:szCs w:val="32"/>
        </w:rPr>
      </w:pPr>
      <w:r>
        <w:rPr>
          <w:rFonts w:hint="eastAsia" w:ascii="仿宋_GB2312"/>
          <w:b/>
          <w:bCs/>
          <w:color w:val="000000"/>
          <w:szCs w:val="32"/>
        </w:rPr>
        <w:t>第十四条</w:t>
      </w:r>
      <w:r>
        <w:rPr>
          <w:rFonts w:ascii="仿宋_GB2312"/>
          <w:b/>
          <w:bCs/>
          <w:color w:val="000000"/>
          <w:szCs w:val="32"/>
          <w:lang w:val="en"/>
        </w:rPr>
        <w:t xml:space="preserve"> </w:t>
      </w:r>
      <w:r>
        <w:rPr>
          <w:rFonts w:hint="eastAsia" w:ascii="仿宋_GB2312"/>
          <w:color w:val="000000"/>
          <w:szCs w:val="32"/>
        </w:rPr>
        <w:t>项目验收服务机构受市发展改革委委托，依据以下文件开展项目验收：</w:t>
      </w:r>
    </w:p>
    <w:p>
      <w:pPr>
        <w:overflowPunct w:val="0"/>
        <w:spacing w:line="610" w:lineRule="exact"/>
        <w:ind w:firstLine="624" w:firstLineChars="200"/>
        <w:rPr>
          <w:rFonts w:ascii="仿宋_GB2312"/>
          <w:color w:val="000000"/>
          <w:szCs w:val="32"/>
        </w:rPr>
      </w:pPr>
      <w:r>
        <w:rPr>
          <w:rFonts w:hint="eastAsia" w:ascii="仿宋_GB2312"/>
          <w:color w:val="000000"/>
          <w:szCs w:val="32"/>
        </w:rPr>
        <w:t>（一）市发展改革委关于下达战略性新兴产业扶持计划的文件；</w:t>
      </w:r>
    </w:p>
    <w:p>
      <w:pPr>
        <w:overflowPunct w:val="0"/>
        <w:spacing w:line="610" w:lineRule="exact"/>
        <w:ind w:firstLine="624" w:firstLineChars="200"/>
        <w:rPr>
          <w:rFonts w:ascii="仿宋_GB2312"/>
          <w:color w:val="000000"/>
          <w:szCs w:val="32"/>
        </w:rPr>
      </w:pPr>
      <w:r>
        <w:rPr>
          <w:rFonts w:hint="eastAsia" w:ascii="仿宋_GB2312"/>
          <w:color w:val="000000"/>
          <w:szCs w:val="32"/>
        </w:rPr>
        <w:t>（二）市发展改革委关于项目资金申请报告的批复文件或市发展改革委与项目单位签署的项目合同书；</w:t>
      </w:r>
    </w:p>
    <w:p>
      <w:pPr>
        <w:overflowPunct w:val="0"/>
        <w:spacing w:line="610" w:lineRule="exact"/>
        <w:ind w:firstLine="624" w:firstLineChars="200"/>
        <w:rPr>
          <w:rFonts w:ascii="仿宋_GB2312"/>
          <w:color w:val="000000"/>
          <w:szCs w:val="32"/>
        </w:rPr>
      </w:pPr>
      <w:r>
        <w:rPr>
          <w:rFonts w:hint="eastAsia" w:ascii="仿宋_GB2312"/>
          <w:color w:val="000000"/>
          <w:szCs w:val="32"/>
        </w:rPr>
        <w:t>（三）经市发展改革委批准的项目资金申请报告；</w:t>
      </w:r>
    </w:p>
    <w:p>
      <w:pPr>
        <w:overflowPunct w:val="0"/>
        <w:spacing w:line="610" w:lineRule="exact"/>
        <w:ind w:firstLine="624" w:firstLineChars="200"/>
        <w:rPr>
          <w:rFonts w:ascii="仿宋_GB2312"/>
          <w:color w:val="000000"/>
          <w:szCs w:val="32"/>
        </w:rPr>
      </w:pPr>
      <w:r>
        <w:rPr>
          <w:rFonts w:hint="eastAsia" w:ascii="仿宋_GB2312"/>
          <w:color w:val="000000"/>
          <w:szCs w:val="32"/>
        </w:rPr>
        <w:t>（四）市发展改革委关于项目建设内容、建设期等调整的批复文件或审核意见（如项目未作调整无需此项）；</w:t>
      </w:r>
    </w:p>
    <w:p>
      <w:pPr>
        <w:overflowPunct w:val="0"/>
        <w:spacing w:line="610" w:lineRule="exact"/>
        <w:ind w:firstLine="624" w:firstLineChars="200"/>
        <w:rPr>
          <w:rFonts w:ascii="仿宋_GB2312"/>
          <w:color w:val="000000"/>
          <w:szCs w:val="32"/>
        </w:rPr>
      </w:pPr>
      <w:r>
        <w:rPr>
          <w:rFonts w:hint="eastAsia" w:ascii="仿宋_GB2312"/>
          <w:color w:val="000000"/>
          <w:szCs w:val="32"/>
        </w:rPr>
        <w:t>（五）项目专项审计报告；</w:t>
      </w:r>
    </w:p>
    <w:p>
      <w:pPr>
        <w:overflowPunct w:val="0"/>
        <w:spacing w:line="610" w:lineRule="exact"/>
        <w:ind w:firstLine="624" w:firstLineChars="200"/>
        <w:rPr>
          <w:rFonts w:ascii="仿宋_GB2312"/>
          <w:color w:val="000000"/>
          <w:szCs w:val="32"/>
        </w:rPr>
      </w:pPr>
      <w:r>
        <w:rPr>
          <w:rFonts w:hint="eastAsia" w:ascii="仿宋_GB2312"/>
          <w:color w:val="000000"/>
          <w:szCs w:val="32"/>
        </w:rPr>
        <w:t>（六）其他相关文件。</w:t>
      </w:r>
    </w:p>
    <w:p>
      <w:pPr>
        <w:overflowPunct w:val="0"/>
        <w:spacing w:line="610" w:lineRule="exact"/>
        <w:ind w:firstLine="624" w:firstLineChars="200"/>
        <w:rPr>
          <w:rFonts w:ascii="仿宋_GB2312"/>
          <w:color w:val="000000"/>
          <w:szCs w:val="32"/>
        </w:rPr>
      </w:pPr>
      <w:r>
        <w:rPr>
          <w:rFonts w:hint="eastAsia" w:ascii="仿宋_GB2312"/>
          <w:b/>
          <w:bCs/>
          <w:color w:val="000000"/>
          <w:szCs w:val="32"/>
        </w:rPr>
        <w:t>第十五条</w:t>
      </w:r>
      <w:r>
        <w:rPr>
          <w:rFonts w:hint="eastAsia" w:ascii="仿宋_GB2312"/>
          <w:color w:val="000000"/>
          <w:szCs w:val="32"/>
        </w:rPr>
        <w:t xml:space="preserve"> 项目验收服务机构通过市发展改革委战略性新兴产业项目验收管理系统（以下简称项目验收管理系统）接收项目验收材料，逐一核查项目验收申请表、项目验收自评价报告、项目经费决算报告、项目验收专项审计报告以及与项目建设情况有关的佐证材料等，确保项目验收材料完备、规范，其中与项目建设情况有关的佐证材料主要包括：</w:t>
      </w:r>
    </w:p>
    <w:p>
      <w:pPr>
        <w:overflowPunct w:val="0"/>
        <w:spacing w:line="610" w:lineRule="exact"/>
        <w:ind w:firstLine="624" w:firstLineChars="200"/>
        <w:rPr>
          <w:rFonts w:ascii="仿宋_GB2312"/>
          <w:color w:val="000000"/>
          <w:szCs w:val="32"/>
        </w:rPr>
      </w:pPr>
      <w:r>
        <w:rPr>
          <w:rFonts w:hint="eastAsia" w:ascii="仿宋_GB2312"/>
          <w:color w:val="000000"/>
          <w:szCs w:val="32"/>
        </w:rPr>
        <w:t>（一）支出凭证（主要设备购置发票、转账凭证、采购合同、利息支出凭证）等项目投入的佐证材料，采用公开招标方式购置设备的还需补充提供相关招投标文件；</w:t>
      </w:r>
    </w:p>
    <w:p>
      <w:pPr>
        <w:overflowPunct w:val="0"/>
        <w:spacing w:line="610" w:lineRule="exact"/>
        <w:ind w:firstLine="624" w:firstLineChars="200"/>
        <w:rPr>
          <w:rFonts w:ascii="仿宋_GB2312"/>
          <w:color w:val="000000"/>
          <w:szCs w:val="32"/>
        </w:rPr>
      </w:pPr>
      <w:r>
        <w:rPr>
          <w:rFonts w:hint="eastAsia" w:ascii="仿宋_GB2312"/>
          <w:color w:val="000000"/>
          <w:szCs w:val="32"/>
        </w:rPr>
        <w:t>（二）第三方检测（测试）报告、用户使用报告、技术成果转移转化合同等技术指标佐证材料；</w:t>
      </w:r>
    </w:p>
    <w:p>
      <w:pPr>
        <w:overflowPunct w:val="0"/>
        <w:spacing w:line="610" w:lineRule="exact"/>
        <w:ind w:firstLine="624" w:firstLineChars="200"/>
        <w:rPr>
          <w:rFonts w:ascii="仿宋_GB2312"/>
          <w:color w:val="000000"/>
          <w:szCs w:val="32"/>
        </w:rPr>
      </w:pPr>
      <w:r>
        <w:rPr>
          <w:rFonts w:hint="eastAsia" w:ascii="仿宋_GB2312"/>
          <w:color w:val="000000"/>
          <w:szCs w:val="32"/>
        </w:rPr>
        <w:t>（三）企业年度审计报告或财务报表、销售发票、销售合同等经济指标佐证材料；</w:t>
      </w:r>
    </w:p>
    <w:p>
      <w:pPr>
        <w:overflowPunct w:val="0"/>
        <w:spacing w:line="610" w:lineRule="exact"/>
        <w:ind w:firstLine="624" w:firstLineChars="200"/>
        <w:rPr>
          <w:rFonts w:ascii="仿宋_GB2312"/>
          <w:color w:val="000000"/>
          <w:szCs w:val="32"/>
        </w:rPr>
      </w:pPr>
      <w:r>
        <w:rPr>
          <w:rFonts w:hint="eastAsia" w:ascii="仿宋_GB2312"/>
          <w:color w:val="000000"/>
          <w:szCs w:val="32"/>
        </w:rPr>
        <w:t>（四）发表论文、专利证书、软件著作权证书、人才培养等成果指标佐证材料。</w:t>
      </w:r>
    </w:p>
    <w:p>
      <w:pPr>
        <w:overflowPunct w:val="0"/>
        <w:spacing w:line="610" w:lineRule="exact"/>
        <w:ind w:firstLine="624" w:firstLineChars="200"/>
        <w:rPr>
          <w:rFonts w:ascii="仿宋_GB2312"/>
          <w:color w:val="000000"/>
          <w:szCs w:val="32"/>
        </w:rPr>
      </w:pPr>
      <w:r>
        <w:rPr>
          <w:rFonts w:hint="eastAsia" w:ascii="仿宋_GB2312"/>
          <w:b/>
          <w:bCs/>
          <w:color w:val="000000"/>
          <w:szCs w:val="32"/>
        </w:rPr>
        <w:t>第十六条</w:t>
      </w:r>
      <w:r>
        <w:rPr>
          <w:rFonts w:hint="eastAsia" w:ascii="仿宋_GB2312"/>
          <w:color w:val="000000"/>
          <w:szCs w:val="32"/>
        </w:rPr>
        <w:t xml:space="preserve"> 项目验收服务机构需与项目单位就项目验收事宜保持沟通协调，提前了解项目现场情况，并协调确定项目现场验收会议的时间、地点和会议相关设施配置等。</w:t>
      </w:r>
    </w:p>
    <w:p>
      <w:pPr>
        <w:overflowPunct w:val="0"/>
        <w:spacing w:line="610" w:lineRule="exact"/>
        <w:ind w:firstLine="624" w:firstLineChars="200"/>
        <w:rPr>
          <w:rFonts w:ascii="仿宋_GB2312"/>
          <w:color w:val="000000"/>
          <w:szCs w:val="32"/>
        </w:rPr>
      </w:pPr>
      <w:r>
        <w:rPr>
          <w:rFonts w:hint="eastAsia" w:ascii="仿宋_GB2312"/>
          <w:b/>
          <w:bCs/>
          <w:color w:val="000000"/>
          <w:szCs w:val="32"/>
        </w:rPr>
        <w:t>第十七条</w:t>
      </w:r>
      <w:r>
        <w:rPr>
          <w:rFonts w:hint="eastAsia" w:ascii="仿宋_GB2312"/>
          <w:color w:val="000000"/>
          <w:szCs w:val="32"/>
        </w:rPr>
        <w:t xml:space="preserve"> 项目验收服务机构应根据市发展改革委的初审意见、专项审计报告披露情况和前期沟通情况等提前拟定验收评价重点问题，并制定项目具体验收工作方案。</w:t>
      </w:r>
    </w:p>
    <w:p>
      <w:pPr>
        <w:overflowPunct w:val="0"/>
        <w:spacing w:line="610" w:lineRule="exact"/>
        <w:ind w:firstLine="624" w:firstLineChars="200"/>
        <w:rPr>
          <w:rFonts w:ascii="仿宋_GB2312"/>
          <w:color w:val="000000"/>
          <w:szCs w:val="32"/>
        </w:rPr>
      </w:pPr>
      <w:r>
        <w:rPr>
          <w:rFonts w:hint="eastAsia" w:ascii="仿宋_GB2312"/>
          <w:b/>
          <w:bCs/>
          <w:color w:val="000000"/>
          <w:szCs w:val="32"/>
        </w:rPr>
        <w:t>第十八条</w:t>
      </w:r>
      <w:r>
        <w:rPr>
          <w:rFonts w:hint="eastAsia" w:ascii="仿宋_GB2312"/>
          <w:color w:val="000000"/>
          <w:szCs w:val="32"/>
        </w:rPr>
        <w:t xml:space="preserve"> 现场验收前，项目验收服务机构不得向项目单位泄露验收专家信息，不得向验收专家泄露项目单位有关信息。</w:t>
      </w:r>
    </w:p>
    <w:p>
      <w:pPr>
        <w:overflowPunct w:val="0"/>
        <w:spacing w:line="610" w:lineRule="exact"/>
        <w:ind w:firstLine="624" w:firstLineChars="200"/>
        <w:rPr>
          <w:rFonts w:ascii="仿宋_GB2312"/>
          <w:color w:val="000000"/>
          <w:szCs w:val="32"/>
        </w:rPr>
      </w:pPr>
    </w:p>
    <w:p>
      <w:pPr>
        <w:overflowPunct w:val="0"/>
        <w:spacing w:after="114" w:afterLines="20" w:line="610" w:lineRule="exact"/>
        <w:jc w:val="center"/>
        <w:rPr>
          <w:rFonts w:ascii="黑体" w:hAnsi="宋体" w:eastAsia="黑体"/>
          <w:color w:val="000000"/>
          <w:szCs w:val="32"/>
        </w:rPr>
      </w:pPr>
      <w:r>
        <w:rPr>
          <w:rFonts w:hint="eastAsia" w:ascii="黑体" w:hAnsi="宋体" w:eastAsia="黑体"/>
          <w:color w:val="000000"/>
          <w:szCs w:val="32"/>
        </w:rPr>
        <w:t>第六章  现场验收</w:t>
      </w:r>
    </w:p>
    <w:p>
      <w:pPr>
        <w:overflowPunct w:val="0"/>
        <w:spacing w:line="610" w:lineRule="exact"/>
        <w:ind w:firstLine="624" w:firstLineChars="200"/>
        <w:rPr>
          <w:rFonts w:ascii="仿宋_GB2312"/>
          <w:color w:val="000000"/>
          <w:szCs w:val="32"/>
        </w:rPr>
      </w:pPr>
      <w:r>
        <w:rPr>
          <w:rFonts w:hint="eastAsia" w:ascii="仿宋_GB2312"/>
          <w:b/>
          <w:bCs/>
          <w:color w:val="000000"/>
          <w:szCs w:val="32"/>
        </w:rPr>
        <w:t>第十九条</w:t>
      </w:r>
      <w:r>
        <w:rPr>
          <w:rFonts w:hint="eastAsia" w:ascii="仿宋_GB2312"/>
          <w:color w:val="000000"/>
          <w:szCs w:val="32"/>
        </w:rPr>
        <w:t xml:space="preserve"> 项目验收服务机构工作人员应向验收专家强调验收程序和验收纪律，拍摄现场验收照片和录制全过程音视频材料，做好会议组织保障及有关资料保存工作。</w:t>
      </w:r>
    </w:p>
    <w:p>
      <w:pPr>
        <w:overflowPunct w:val="0"/>
        <w:spacing w:line="610" w:lineRule="exact"/>
        <w:ind w:firstLine="624" w:firstLineChars="200"/>
        <w:rPr>
          <w:rFonts w:ascii="仿宋_GB2312"/>
          <w:color w:val="000000"/>
          <w:szCs w:val="32"/>
        </w:rPr>
      </w:pPr>
      <w:r>
        <w:rPr>
          <w:rFonts w:hint="eastAsia" w:ascii="仿宋_GB2312"/>
          <w:b/>
          <w:bCs/>
          <w:color w:val="000000"/>
          <w:szCs w:val="32"/>
        </w:rPr>
        <w:t>第二十条</w:t>
      </w:r>
      <w:r>
        <w:rPr>
          <w:rFonts w:hint="eastAsia" w:ascii="仿宋_GB2312"/>
          <w:color w:val="000000"/>
          <w:szCs w:val="32"/>
        </w:rPr>
        <w:t xml:space="preserve"> 验收专家组应推选一名技术专家担任验收专家组组长，由验收专家组组长主持现场验收会议。</w:t>
      </w:r>
    </w:p>
    <w:p>
      <w:pPr>
        <w:overflowPunct w:val="0"/>
        <w:spacing w:line="610" w:lineRule="exact"/>
        <w:ind w:firstLine="624" w:firstLineChars="200"/>
        <w:rPr>
          <w:rFonts w:ascii="仿宋_GB2312"/>
          <w:color w:val="000000"/>
          <w:szCs w:val="32"/>
        </w:rPr>
      </w:pPr>
      <w:r>
        <w:rPr>
          <w:rFonts w:hint="eastAsia" w:ascii="仿宋_GB2312"/>
          <w:b/>
          <w:bCs/>
          <w:color w:val="000000"/>
          <w:szCs w:val="32"/>
        </w:rPr>
        <w:t>第二十一条</w:t>
      </w:r>
      <w:r>
        <w:rPr>
          <w:rFonts w:hint="eastAsia" w:ascii="仿宋_GB2312"/>
          <w:color w:val="000000"/>
          <w:szCs w:val="32"/>
        </w:rPr>
        <w:t xml:space="preserve"> 验收专家组各成员在听取项目建设情况汇报和查阅验收资料后，就项目各项建设内容完成情况，项目技术、经济指标完成情况，项目建设管理、财务管理和财政资助资金使用情况等逐一进行质询，不应缺漏重要技术性、工程性内容。</w:t>
      </w:r>
    </w:p>
    <w:p>
      <w:pPr>
        <w:overflowPunct w:val="0"/>
        <w:spacing w:line="610" w:lineRule="exact"/>
        <w:ind w:firstLine="624" w:firstLineChars="200"/>
        <w:rPr>
          <w:rFonts w:ascii="仿宋_GB2312"/>
          <w:color w:val="000000"/>
          <w:szCs w:val="32"/>
        </w:rPr>
      </w:pPr>
      <w:r>
        <w:rPr>
          <w:rFonts w:hint="eastAsia" w:ascii="仿宋_GB2312"/>
          <w:b/>
          <w:bCs/>
          <w:color w:val="000000"/>
          <w:szCs w:val="32"/>
        </w:rPr>
        <w:t>第二十二条</w:t>
      </w:r>
      <w:r>
        <w:rPr>
          <w:rFonts w:hint="eastAsia" w:ascii="仿宋_GB2312"/>
          <w:color w:val="000000"/>
          <w:szCs w:val="32"/>
        </w:rPr>
        <w:t xml:space="preserve"> 在现场核查项目建设内容时，验收专家组技术专家应核查项目单位所购设备仪器与获批建设内容和目标的相关性，并检查设备仪器现场配置、使用记录、运行状况等。</w:t>
      </w:r>
    </w:p>
    <w:p>
      <w:pPr>
        <w:overflowPunct w:val="0"/>
        <w:spacing w:line="610" w:lineRule="exact"/>
        <w:ind w:firstLine="624" w:firstLineChars="200"/>
        <w:rPr>
          <w:rFonts w:ascii="仿宋_GB2312"/>
          <w:color w:val="000000"/>
          <w:szCs w:val="32"/>
        </w:rPr>
      </w:pPr>
      <w:r>
        <w:rPr>
          <w:rFonts w:hint="eastAsia" w:ascii="仿宋_GB2312"/>
          <w:b/>
          <w:bCs/>
          <w:color w:val="000000"/>
          <w:szCs w:val="32"/>
        </w:rPr>
        <w:t>第二十三条</w:t>
      </w:r>
      <w:r>
        <w:rPr>
          <w:rFonts w:hint="eastAsia" w:ascii="仿宋_GB2312"/>
          <w:color w:val="000000"/>
          <w:szCs w:val="32"/>
        </w:rPr>
        <w:t xml:space="preserve"> 在现场核查项目支出凭证时，验收专家组财务专家应抽查凭证编号、发票号码等，如发现项目财务票据等存在问题，须及时将情况告知验收专家组其他成员和项目验收服务机构工作人员。</w:t>
      </w:r>
    </w:p>
    <w:p>
      <w:pPr>
        <w:overflowPunct w:val="0"/>
        <w:spacing w:line="610" w:lineRule="exact"/>
        <w:ind w:firstLine="624" w:firstLineChars="200"/>
        <w:rPr>
          <w:rFonts w:ascii="仿宋_GB2312"/>
          <w:color w:val="000000"/>
          <w:szCs w:val="32"/>
        </w:rPr>
      </w:pPr>
      <w:r>
        <w:rPr>
          <w:rFonts w:hint="eastAsia" w:ascii="仿宋_GB2312"/>
          <w:b/>
          <w:bCs/>
          <w:color w:val="000000"/>
          <w:szCs w:val="32"/>
        </w:rPr>
        <w:t>第二十四条</w:t>
      </w:r>
      <w:r>
        <w:rPr>
          <w:rFonts w:hint="eastAsia" w:ascii="仿宋_GB2312"/>
          <w:color w:val="000000"/>
          <w:szCs w:val="32"/>
        </w:rPr>
        <w:t xml:space="preserve"> 验收专家组应根据项目扶持类别、获批建设内容和目标，选择采取下列方法对项目实施情况进行评价：</w:t>
      </w:r>
    </w:p>
    <w:p>
      <w:pPr>
        <w:overflowPunct w:val="0"/>
        <w:spacing w:line="610" w:lineRule="exact"/>
        <w:ind w:firstLine="624" w:firstLineChars="200"/>
        <w:rPr>
          <w:rFonts w:ascii="仿宋_GB2312"/>
          <w:color w:val="000000"/>
          <w:szCs w:val="32"/>
        </w:rPr>
      </w:pPr>
      <w:r>
        <w:rPr>
          <w:rFonts w:hint="eastAsia" w:ascii="仿宋_GB2312"/>
          <w:color w:val="000000"/>
          <w:szCs w:val="32"/>
        </w:rPr>
        <w:t>（一）根据项目单位所提供产能佐证材料的不同，采用对应的不同方法评价项目产品年产能：</w:t>
      </w:r>
    </w:p>
    <w:p>
      <w:pPr>
        <w:overflowPunct w:val="0"/>
        <w:spacing w:line="610" w:lineRule="exact"/>
        <w:ind w:firstLine="624" w:firstLineChars="200"/>
        <w:rPr>
          <w:rFonts w:ascii="仿宋_GB2312"/>
          <w:color w:val="000000"/>
          <w:szCs w:val="32"/>
        </w:rPr>
      </w:pPr>
      <w:r>
        <w:rPr>
          <w:rFonts w:hint="eastAsia" w:ascii="仿宋_GB2312"/>
          <w:color w:val="000000"/>
          <w:szCs w:val="32"/>
        </w:rPr>
        <w:t>1.项目单位提供项目产品整年出入库单据，则通过查验该单据和相应的销售合同、销售发票，核定项目年产能；</w:t>
      </w:r>
    </w:p>
    <w:p>
      <w:pPr>
        <w:overflowPunct w:val="0"/>
        <w:spacing w:line="610" w:lineRule="exact"/>
        <w:ind w:firstLine="624" w:firstLineChars="200"/>
        <w:rPr>
          <w:rFonts w:ascii="仿宋_GB2312"/>
          <w:color w:val="000000"/>
          <w:szCs w:val="32"/>
        </w:rPr>
      </w:pPr>
      <w:r>
        <w:rPr>
          <w:rFonts w:hint="eastAsia" w:ascii="仿宋_GB2312"/>
          <w:color w:val="000000"/>
          <w:szCs w:val="32"/>
        </w:rPr>
        <w:t>2.项目单位提供项目生产高峰期连续30天的项目产品出入库单据，则以此连续30天的项目产品实际产量的12倍核定项目年产能；</w:t>
      </w:r>
    </w:p>
    <w:p>
      <w:pPr>
        <w:overflowPunct w:val="0"/>
        <w:spacing w:line="610" w:lineRule="exact"/>
        <w:ind w:firstLine="624" w:firstLineChars="200"/>
        <w:rPr>
          <w:rFonts w:ascii="仿宋_GB2312"/>
          <w:color w:val="000000"/>
          <w:szCs w:val="32"/>
        </w:rPr>
      </w:pPr>
      <w:r>
        <w:rPr>
          <w:rFonts w:hint="eastAsia" w:ascii="仿宋_GB2312"/>
          <w:color w:val="000000"/>
          <w:szCs w:val="32"/>
        </w:rPr>
        <w:t>3.项目单位提供由中国合格评定国家认可委员会（CNAS）认可的认证机构或项目所在行业的全国性行业协会等出具的项目产品产能评估报告，则以上述评估报告认定的项目产品年产能核定项目产品年产能。</w:t>
      </w:r>
    </w:p>
    <w:p>
      <w:pPr>
        <w:overflowPunct w:val="0"/>
        <w:spacing w:line="610" w:lineRule="exact"/>
        <w:ind w:firstLine="624" w:firstLineChars="200"/>
        <w:rPr>
          <w:rFonts w:ascii="仿宋_GB2312"/>
          <w:color w:val="000000"/>
          <w:szCs w:val="32"/>
        </w:rPr>
      </w:pPr>
      <w:r>
        <w:rPr>
          <w:rFonts w:hint="eastAsia" w:ascii="仿宋_GB2312"/>
          <w:color w:val="000000"/>
          <w:szCs w:val="32"/>
        </w:rPr>
        <w:t>（二）通过核查项目输出产品、技术、服务的销售发票、销售合同、完税证明等，评估项目实际经济效益。</w:t>
      </w:r>
    </w:p>
    <w:p>
      <w:pPr>
        <w:overflowPunct w:val="0"/>
        <w:spacing w:line="610" w:lineRule="exact"/>
        <w:ind w:firstLine="624" w:firstLineChars="200"/>
        <w:rPr>
          <w:rFonts w:ascii="仿宋_GB2312"/>
          <w:color w:val="000000"/>
          <w:szCs w:val="32"/>
        </w:rPr>
      </w:pPr>
      <w:r>
        <w:rPr>
          <w:rFonts w:hint="eastAsia" w:ascii="仿宋_GB2312"/>
          <w:color w:val="000000"/>
          <w:szCs w:val="32"/>
        </w:rPr>
        <w:t>（三）通过查看设备仪器的现场配置、使用时长、耗材耗用、运行状况等，评价生产（研发）线实际运转情况。</w:t>
      </w:r>
    </w:p>
    <w:p>
      <w:pPr>
        <w:overflowPunct w:val="0"/>
        <w:spacing w:line="610" w:lineRule="exact"/>
        <w:ind w:firstLine="624" w:firstLineChars="200"/>
        <w:rPr>
          <w:rFonts w:ascii="仿宋_GB2312"/>
          <w:color w:val="000000"/>
          <w:szCs w:val="32"/>
        </w:rPr>
      </w:pPr>
      <w:r>
        <w:rPr>
          <w:rFonts w:hint="eastAsia" w:ascii="仿宋_GB2312"/>
          <w:color w:val="000000"/>
          <w:szCs w:val="32"/>
        </w:rPr>
        <w:t>（四）通过核查项目房屋租赁合同、房屋所有权证、土地使用证等，评价项目实际新建（改扩建）场地规模是否满足批复文件或项目合同书的有关要求。</w:t>
      </w:r>
    </w:p>
    <w:p>
      <w:pPr>
        <w:overflowPunct w:val="0"/>
        <w:spacing w:line="610" w:lineRule="exact"/>
        <w:ind w:firstLine="624" w:firstLineChars="200"/>
        <w:rPr>
          <w:rFonts w:ascii="仿宋_GB2312"/>
          <w:color w:val="000000"/>
          <w:szCs w:val="32"/>
        </w:rPr>
      </w:pPr>
      <w:r>
        <w:rPr>
          <w:rFonts w:hint="eastAsia" w:ascii="仿宋_GB2312"/>
          <w:color w:val="000000"/>
          <w:szCs w:val="32"/>
        </w:rPr>
        <w:t>（五）通过核查项目招投标文件、购置合同、购置发票、银行流水等有关材料，评价项目实际购置设备等财政资助资金使用合规情况。</w:t>
      </w:r>
    </w:p>
    <w:p>
      <w:pPr>
        <w:overflowPunct w:val="0"/>
        <w:spacing w:line="610" w:lineRule="exact"/>
        <w:ind w:firstLine="624" w:firstLineChars="200"/>
        <w:rPr>
          <w:rFonts w:ascii="仿宋_GB2312"/>
          <w:color w:val="000000"/>
          <w:szCs w:val="32"/>
        </w:rPr>
      </w:pPr>
      <w:r>
        <w:rPr>
          <w:rFonts w:hint="eastAsia" w:ascii="仿宋_GB2312"/>
          <w:color w:val="000000"/>
          <w:szCs w:val="32"/>
        </w:rPr>
        <w:t>（六）通过查阅项目验收材料中所列论文的摘要、关键字、作者排序及所属工作单位等，评价其是否达到批复文件或项目合同书的有关要求。</w:t>
      </w:r>
    </w:p>
    <w:p>
      <w:pPr>
        <w:overflowPunct w:val="0"/>
        <w:spacing w:line="610" w:lineRule="exact"/>
        <w:ind w:firstLine="624" w:firstLineChars="200"/>
        <w:rPr>
          <w:rFonts w:ascii="仿宋_GB2312"/>
          <w:color w:val="000000"/>
          <w:szCs w:val="32"/>
        </w:rPr>
      </w:pPr>
      <w:r>
        <w:rPr>
          <w:rFonts w:hint="eastAsia" w:ascii="仿宋_GB2312"/>
          <w:color w:val="000000"/>
          <w:szCs w:val="32"/>
        </w:rPr>
        <w:t>（七）通过查看第三方检测（测试）报告或使用（试用）报告，核查检测（测试）报告或使用（试用）报告的合规性、科学性，评价项目产品（技术）参数或指标是否达到批复文件或项目合同书的有关要求。</w:t>
      </w:r>
    </w:p>
    <w:p>
      <w:pPr>
        <w:overflowPunct w:val="0"/>
        <w:spacing w:line="610" w:lineRule="exact"/>
        <w:ind w:firstLine="624" w:firstLineChars="200"/>
        <w:rPr>
          <w:rFonts w:ascii="仿宋_GB2312"/>
          <w:color w:val="000000"/>
          <w:szCs w:val="32"/>
        </w:rPr>
      </w:pPr>
      <w:r>
        <w:rPr>
          <w:rFonts w:hint="eastAsia" w:ascii="仿宋_GB2312"/>
          <w:color w:val="000000"/>
          <w:szCs w:val="32"/>
        </w:rPr>
        <w:t>（八）通过查阅项目验收材料所列知识产权证明文件、标准出版物等，评价项目知识产权取得、标准制定情况是否达到批复文件或项目合同书的有关要求。</w:t>
      </w:r>
    </w:p>
    <w:p>
      <w:pPr>
        <w:overflowPunct w:val="0"/>
        <w:spacing w:line="610" w:lineRule="exact"/>
        <w:ind w:firstLine="624" w:firstLineChars="200"/>
        <w:rPr>
          <w:rFonts w:ascii="仿宋_GB2312"/>
          <w:color w:val="000000"/>
          <w:szCs w:val="32"/>
        </w:rPr>
      </w:pPr>
      <w:r>
        <w:rPr>
          <w:rFonts w:hint="eastAsia" w:ascii="仿宋_GB2312"/>
          <w:color w:val="000000"/>
          <w:szCs w:val="32"/>
        </w:rPr>
        <w:t>（九）通过核查项目成果转化或技术转移的有偿转让收益、委托方验收评价等，评估项目成果转化与技术转移的效益。</w:t>
      </w:r>
    </w:p>
    <w:p>
      <w:pPr>
        <w:overflowPunct w:val="0"/>
        <w:spacing w:line="610" w:lineRule="exact"/>
        <w:ind w:firstLine="624" w:firstLineChars="200"/>
        <w:rPr>
          <w:rFonts w:ascii="仿宋_GB2312"/>
          <w:color w:val="000000"/>
          <w:szCs w:val="32"/>
        </w:rPr>
      </w:pPr>
      <w:r>
        <w:rPr>
          <w:rFonts w:hint="eastAsia" w:ascii="仿宋_GB2312"/>
          <w:color w:val="000000"/>
          <w:szCs w:val="32"/>
        </w:rPr>
        <w:t>（十）通过查验培养对象毕业证书、劳动合同、社保缴费明细等，评价项目人才培养情况。</w:t>
      </w:r>
    </w:p>
    <w:p>
      <w:pPr>
        <w:overflowPunct w:val="0"/>
        <w:spacing w:line="610" w:lineRule="exact"/>
        <w:ind w:firstLine="624" w:firstLineChars="200"/>
        <w:rPr>
          <w:rFonts w:ascii="仿宋_GB2312"/>
          <w:color w:val="000000"/>
          <w:szCs w:val="32"/>
        </w:rPr>
      </w:pPr>
      <w:r>
        <w:rPr>
          <w:rFonts w:hint="eastAsia" w:ascii="仿宋_GB2312"/>
          <w:color w:val="000000"/>
          <w:szCs w:val="32"/>
        </w:rPr>
        <w:t>（十一）通过查验对外培训佐证材料、咨询协议等，评估项目对外提供科技服务情况。</w:t>
      </w:r>
    </w:p>
    <w:p>
      <w:pPr>
        <w:overflowPunct w:val="0"/>
        <w:spacing w:line="610" w:lineRule="exact"/>
        <w:ind w:firstLine="624" w:firstLineChars="200"/>
        <w:rPr>
          <w:rFonts w:ascii="仿宋_GB2312"/>
          <w:color w:val="000000"/>
          <w:szCs w:val="32"/>
        </w:rPr>
      </w:pPr>
      <w:r>
        <w:rPr>
          <w:rFonts w:hint="eastAsia" w:ascii="仿宋_GB2312"/>
          <w:b/>
          <w:bCs/>
          <w:color w:val="000000"/>
          <w:szCs w:val="32"/>
        </w:rPr>
        <w:t>第二十五条</w:t>
      </w:r>
      <w:r>
        <w:rPr>
          <w:rFonts w:hint="eastAsia" w:ascii="仿宋_GB2312"/>
          <w:color w:val="000000"/>
          <w:szCs w:val="32"/>
        </w:rPr>
        <w:t xml:space="preserve"> 验收专家组就形成项目验收意见进行闭门讨论时，验收专家组各成员独立发表个人意见，不受任何组织或个人干预，验收专家组各成员对其所发表意见的专业性、公正性、客观性负责。鼓励持质疑立场的专家先行发表个人意见，验收专家组组长应最后发表个人意见并就项目实施情况提议验收专家组全体表决是否进行综合评议打分。</w:t>
      </w:r>
    </w:p>
    <w:p>
      <w:pPr>
        <w:overflowPunct w:val="0"/>
        <w:spacing w:line="610" w:lineRule="exact"/>
        <w:ind w:firstLine="624" w:firstLineChars="200"/>
        <w:rPr>
          <w:rFonts w:ascii="仿宋_GB2312"/>
          <w:color w:val="000000"/>
          <w:szCs w:val="32"/>
        </w:rPr>
      </w:pPr>
      <w:r>
        <w:rPr>
          <w:rFonts w:hint="eastAsia" w:ascii="仿宋_GB2312"/>
          <w:b/>
          <w:bCs/>
          <w:color w:val="000000"/>
          <w:szCs w:val="32"/>
        </w:rPr>
        <w:t>第二十六条</w:t>
      </w:r>
      <w:r>
        <w:rPr>
          <w:rFonts w:hint="eastAsia" w:ascii="仿宋_GB2312"/>
          <w:color w:val="000000"/>
          <w:szCs w:val="32"/>
        </w:rPr>
        <w:t xml:space="preserve"> 验收专家组发现项目单位存在下列情况之一的，可不予综合评议打分，直接出具项目验收不合格意见：</w:t>
      </w:r>
    </w:p>
    <w:p>
      <w:pPr>
        <w:overflowPunct w:val="0"/>
        <w:spacing w:line="610" w:lineRule="exact"/>
        <w:ind w:firstLine="624" w:firstLineChars="200"/>
        <w:rPr>
          <w:rFonts w:ascii="仿宋_GB2312"/>
          <w:color w:val="000000"/>
          <w:szCs w:val="32"/>
        </w:rPr>
      </w:pPr>
      <w:r>
        <w:rPr>
          <w:rFonts w:hint="eastAsia" w:ascii="仿宋_GB2312"/>
          <w:color w:val="000000"/>
          <w:szCs w:val="32"/>
        </w:rPr>
        <w:t>（一）提供虚假验收材料；</w:t>
      </w:r>
    </w:p>
    <w:p>
      <w:pPr>
        <w:overflowPunct w:val="0"/>
        <w:spacing w:line="610" w:lineRule="exact"/>
        <w:ind w:firstLine="624" w:firstLineChars="200"/>
        <w:rPr>
          <w:rFonts w:ascii="仿宋_GB2312"/>
          <w:color w:val="000000"/>
          <w:szCs w:val="32"/>
        </w:rPr>
      </w:pPr>
      <w:r>
        <w:rPr>
          <w:rFonts w:hint="eastAsia" w:ascii="仿宋_GB2312"/>
          <w:color w:val="000000"/>
          <w:szCs w:val="32"/>
        </w:rPr>
        <w:t>（二）存在截留、挤占、挪用财政资助资金等任何一种严重违规行为；</w:t>
      </w:r>
    </w:p>
    <w:p>
      <w:pPr>
        <w:overflowPunct w:val="0"/>
        <w:spacing w:line="610" w:lineRule="exact"/>
        <w:ind w:firstLine="624" w:firstLineChars="200"/>
        <w:rPr>
          <w:rFonts w:ascii="仿宋_GB2312"/>
          <w:color w:val="000000"/>
          <w:szCs w:val="32"/>
        </w:rPr>
      </w:pPr>
      <w:r>
        <w:rPr>
          <w:rFonts w:hint="eastAsia" w:ascii="仿宋_GB2312"/>
          <w:color w:val="000000"/>
          <w:szCs w:val="32"/>
        </w:rPr>
        <w:t>（三）项目实际生产或研发的产品、技术与批复文件或项目合同书的相应要求严重不符；</w:t>
      </w:r>
    </w:p>
    <w:p>
      <w:pPr>
        <w:overflowPunct w:val="0"/>
        <w:spacing w:line="610" w:lineRule="exact"/>
        <w:ind w:firstLine="624" w:firstLineChars="200"/>
        <w:rPr>
          <w:rFonts w:ascii="仿宋_GB2312"/>
          <w:color w:val="000000"/>
          <w:szCs w:val="32"/>
        </w:rPr>
      </w:pPr>
      <w:r>
        <w:rPr>
          <w:rFonts w:hint="eastAsia" w:ascii="仿宋_GB2312"/>
          <w:color w:val="000000"/>
          <w:szCs w:val="32"/>
        </w:rPr>
        <w:t>（四）财政资助资金用于研发费用支出金额相较批复文件或项目合同书有所增加，且增加金额超过资助总金额的20%，又未按规定程序向市发展改革委申请调整或申请未获批复；</w:t>
      </w:r>
    </w:p>
    <w:p>
      <w:pPr>
        <w:overflowPunct w:val="0"/>
        <w:spacing w:line="610" w:lineRule="exact"/>
        <w:ind w:firstLine="624" w:firstLineChars="200"/>
        <w:rPr>
          <w:rFonts w:ascii="仿宋_GB2312"/>
          <w:color w:val="000000"/>
          <w:szCs w:val="32"/>
        </w:rPr>
      </w:pPr>
      <w:r>
        <w:rPr>
          <w:rFonts w:hint="eastAsia" w:ascii="仿宋_GB2312"/>
          <w:color w:val="000000"/>
          <w:szCs w:val="32"/>
        </w:rPr>
        <w:t>（五）超过批复资助资金设备购置总金额的40%的资助资金被用于购置批复文件或项目合同书规定的设备购置清单范围以外的设备，且未按规定程序向市发展改革委申请调整或申请未获批复；</w:t>
      </w:r>
    </w:p>
    <w:p>
      <w:pPr>
        <w:overflowPunct w:val="0"/>
        <w:spacing w:line="610" w:lineRule="exact"/>
        <w:ind w:firstLine="624" w:firstLineChars="200"/>
        <w:rPr>
          <w:rFonts w:ascii="仿宋_GB2312"/>
          <w:color w:val="000000"/>
          <w:szCs w:val="32"/>
        </w:rPr>
      </w:pPr>
      <w:r>
        <w:rPr>
          <w:rFonts w:hint="eastAsia" w:ascii="仿宋_GB2312"/>
          <w:color w:val="000000"/>
          <w:szCs w:val="32"/>
        </w:rPr>
        <w:t>（六）项目实际总投资额未达到批复文件或项目合同书规定的计划总投资额的80%；</w:t>
      </w:r>
    </w:p>
    <w:p>
      <w:pPr>
        <w:overflowPunct w:val="0"/>
        <w:spacing w:line="610" w:lineRule="exact"/>
        <w:ind w:firstLine="624" w:firstLineChars="200"/>
        <w:rPr>
          <w:rFonts w:ascii="仿宋_GB2312"/>
          <w:color w:val="000000"/>
          <w:szCs w:val="32"/>
        </w:rPr>
      </w:pPr>
      <w:r>
        <w:rPr>
          <w:rFonts w:hint="eastAsia" w:ascii="仿宋_GB2312"/>
          <w:color w:val="000000"/>
          <w:szCs w:val="32"/>
        </w:rPr>
        <w:t>（七）项目实际建设投资额占实际总投资额比例未达到申报指南规定的最低比例要求；</w:t>
      </w:r>
    </w:p>
    <w:p>
      <w:pPr>
        <w:overflowPunct w:val="0"/>
        <w:spacing w:line="610" w:lineRule="exact"/>
        <w:ind w:firstLine="624" w:firstLineChars="200"/>
        <w:rPr>
          <w:rFonts w:ascii="仿宋_GB2312"/>
          <w:color w:val="000000"/>
          <w:szCs w:val="32"/>
        </w:rPr>
      </w:pPr>
      <w:r>
        <w:rPr>
          <w:rFonts w:hint="eastAsia" w:ascii="仿宋_GB2312"/>
          <w:color w:val="000000"/>
          <w:szCs w:val="32"/>
        </w:rPr>
        <w:t>（八）项目单位未获市发展改革委批准将项目实际建设地址搬迁到深圳市（含深汕特别合作区）以外；</w:t>
      </w:r>
    </w:p>
    <w:p>
      <w:pPr>
        <w:overflowPunct w:val="0"/>
        <w:spacing w:line="610" w:lineRule="exact"/>
        <w:ind w:firstLine="624" w:firstLineChars="200"/>
        <w:rPr>
          <w:rFonts w:ascii="仿宋_GB2312"/>
          <w:color w:val="000000"/>
          <w:szCs w:val="32"/>
        </w:rPr>
      </w:pPr>
      <w:r>
        <w:rPr>
          <w:rFonts w:hint="eastAsia" w:ascii="仿宋_GB2312"/>
          <w:color w:val="000000"/>
          <w:szCs w:val="32"/>
        </w:rPr>
        <w:t>（九）项目资助资金使用未单独核算；</w:t>
      </w:r>
    </w:p>
    <w:p>
      <w:pPr>
        <w:overflowPunct w:val="0"/>
        <w:spacing w:line="610" w:lineRule="exact"/>
        <w:ind w:firstLine="624" w:firstLineChars="200"/>
        <w:rPr>
          <w:rFonts w:ascii="仿宋_GB2312"/>
          <w:color w:val="000000"/>
          <w:szCs w:val="32"/>
        </w:rPr>
      </w:pPr>
      <w:r>
        <w:rPr>
          <w:rFonts w:hint="eastAsia" w:ascii="仿宋_GB2312"/>
          <w:color w:val="000000"/>
          <w:szCs w:val="32"/>
        </w:rPr>
        <w:t>（十）项目单位存在与本项目申报、建设实施、验收直接相关的其他严重违法、违规行为。</w:t>
      </w:r>
    </w:p>
    <w:p>
      <w:pPr>
        <w:overflowPunct w:val="0"/>
        <w:spacing w:line="610" w:lineRule="exact"/>
        <w:ind w:firstLine="624" w:firstLineChars="200"/>
        <w:rPr>
          <w:rFonts w:ascii="仿宋_GB2312"/>
          <w:color w:val="000000"/>
          <w:szCs w:val="32"/>
        </w:rPr>
      </w:pPr>
      <w:r>
        <w:rPr>
          <w:rFonts w:hint="eastAsia" w:ascii="仿宋_GB2312"/>
          <w:b/>
          <w:bCs/>
          <w:color w:val="000000"/>
          <w:szCs w:val="32"/>
        </w:rPr>
        <w:t>第二十七条</w:t>
      </w:r>
      <w:r>
        <w:rPr>
          <w:rFonts w:hint="eastAsia" w:ascii="仿宋_GB2312"/>
          <w:color w:val="000000"/>
          <w:szCs w:val="32"/>
        </w:rPr>
        <w:t xml:space="preserve"> 验收专家组就是否进行综合评议打分的表决结果为验收专家组全体同意予以打分或只有1名专家认为不应予以打分，则验收专家组全体成员应对项目进行综合评议打分。验收专家组各成员按综合评议打分表规定的评分标准各自对项目进行量化打分，以验收专家组各成员打分的算术平均值作为项目综合得分，按综合评价标准确定项目验收综合评价等级。验收专家组撰写专家组验收意见，对综合得分低于60分的不合格项目须说明项目不合格具体原因，专家组验收意见须经验收专家组全体签字确认。</w:t>
      </w:r>
    </w:p>
    <w:p>
      <w:pPr>
        <w:overflowPunct w:val="0"/>
        <w:spacing w:line="610" w:lineRule="exact"/>
        <w:ind w:firstLine="624" w:firstLineChars="200"/>
        <w:rPr>
          <w:rFonts w:ascii="仿宋_GB2312"/>
          <w:color w:val="000000"/>
          <w:szCs w:val="32"/>
        </w:rPr>
      </w:pPr>
      <w:r>
        <w:rPr>
          <w:rFonts w:hint="eastAsia" w:ascii="仿宋_GB2312"/>
          <w:b/>
          <w:bCs/>
          <w:color w:val="000000"/>
          <w:szCs w:val="32"/>
        </w:rPr>
        <w:t>第二十八条</w:t>
      </w:r>
      <w:r>
        <w:rPr>
          <w:rFonts w:hint="eastAsia" w:ascii="仿宋_GB2312"/>
          <w:color w:val="000000"/>
          <w:szCs w:val="32"/>
        </w:rPr>
        <w:t xml:space="preserve"> 验收专家组就是否进行综合评议打分的表决结果为2名（含）以上专家认为不应予以打分，则验收专家组全体成员不对项目进行综合评议打分，并撰写项目验收不合格意见，且须说明项目不合格具体原因。专家组验收意见须经验收专家组全体签名。</w:t>
      </w:r>
    </w:p>
    <w:p>
      <w:pPr>
        <w:overflowPunct w:val="0"/>
        <w:spacing w:line="610" w:lineRule="exact"/>
        <w:ind w:firstLine="624" w:firstLineChars="200"/>
        <w:rPr>
          <w:rFonts w:ascii="仿宋_GB2312"/>
          <w:color w:val="000000"/>
          <w:szCs w:val="32"/>
        </w:rPr>
      </w:pPr>
      <w:r>
        <w:rPr>
          <w:rFonts w:hint="eastAsia" w:ascii="仿宋_GB2312"/>
          <w:b/>
          <w:bCs/>
          <w:color w:val="000000"/>
          <w:szCs w:val="32"/>
        </w:rPr>
        <w:t>第二十九条</w:t>
      </w:r>
      <w:r>
        <w:rPr>
          <w:rFonts w:hint="eastAsia" w:ascii="仿宋_GB2312"/>
          <w:color w:val="000000"/>
          <w:szCs w:val="32"/>
        </w:rPr>
        <w:t xml:space="preserve"> 市发展改革委对第一次验收不合格的项目下达项目整改通知，项目单位按通知要求整改完成后可申请第二次验收。项目验收服务机构对项目开展第二次验收时，应向参加第二次验收的验收专家组各成员提供第一次项目验收的专家组验收意见。</w:t>
      </w:r>
    </w:p>
    <w:p>
      <w:pPr>
        <w:overflowPunct w:val="0"/>
        <w:spacing w:line="610" w:lineRule="exact"/>
        <w:ind w:firstLine="624" w:firstLineChars="200"/>
        <w:rPr>
          <w:rFonts w:ascii="仿宋_GB2312"/>
          <w:color w:val="000000"/>
          <w:szCs w:val="32"/>
        </w:rPr>
      </w:pPr>
    </w:p>
    <w:p>
      <w:pPr>
        <w:overflowPunct w:val="0"/>
        <w:spacing w:after="114" w:afterLines="20" w:line="610" w:lineRule="exact"/>
        <w:jc w:val="center"/>
        <w:rPr>
          <w:rFonts w:ascii="黑体" w:hAnsi="宋体" w:eastAsia="黑体"/>
          <w:color w:val="000000"/>
          <w:szCs w:val="32"/>
        </w:rPr>
      </w:pPr>
      <w:r>
        <w:rPr>
          <w:rFonts w:hint="eastAsia" w:ascii="黑体" w:hAnsi="宋体" w:eastAsia="黑体"/>
          <w:color w:val="000000"/>
          <w:szCs w:val="32"/>
        </w:rPr>
        <w:t>第七章  结果提交</w:t>
      </w:r>
    </w:p>
    <w:p>
      <w:pPr>
        <w:overflowPunct w:val="0"/>
        <w:spacing w:line="610" w:lineRule="exact"/>
        <w:ind w:firstLine="624" w:firstLineChars="200"/>
        <w:rPr>
          <w:rFonts w:ascii="仿宋_GB2312"/>
          <w:color w:val="000000"/>
          <w:szCs w:val="32"/>
        </w:rPr>
      </w:pPr>
      <w:r>
        <w:rPr>
          <w:rFonts w:hint="eastAsia" w:ascii="仿宋_GB2312"/>
          <w:b/>
          <w:bCs/>
          <w:color w:val="000000"/>
          <w:szCs w:val="32"/>
        </w:rPr>
        <w:t>第三十条</w:t>
      </w:r>
      <w:r>
        <w:rPr>
          <w:rFonts w:hint="eastAsia" w:ascii="仿宋_GB2312"/>
          <w:color w:val="000000"/>
          <w:szCs w:val="32"/>
        </w:rPr>
        <w:t xml:space="preserve"> 项目经验收专家组现场验收后，项目验收服务机构应根据专家组验收意见、项目专项审计报告和其他项目验收资料等编制项目验收意见书，报市发展改革委审核。</w:t>
      </w:r>
    </w:p>
    <w:p>
      <w:pPr>
        <w:overflowPunct w:val="0"/>
        <w:spacing w:line="610" w:lineRule="exact"/>
        <w:ind w:firstLine="624" w:firstLineChars="200"/>
        <w:rPr>
          <w:rFonts w:ascii="仿宋_GB2312"/>
          <w:color w:val="000000"/>
          <w:szCs w:val="32"/>
        </w:rPr>
      </w:pPr>
      <w:r>
        <w:rPr>
          <w:rFonts w:hint="eastAsia" w:ascii="仿宋_GB2312"/>
          <w:b/>
          <w:bCs/>
          <w:color w:val="000000"/>
          <w:szCs w:val="32"/>
        </w:rPr>
        <w:t>第三十一条</w:t>
      </w:r>
      <w:r>
        <w:rPr>
          <w:rFonts w:hint="eastAsia" w:ascii="仿宋_GB2312"/>
          <w:color w:val="000000"/>
          <w:szCs w:val="32"/>
        </w:rPr>
        <w:t xml:space="preserve"> 对项目资助资金存在结余或项目实际总投资额低于批复文件或项目合同书规定的计划总投资额导致已拨付资助金额超过应资助金额的情况，项目验收服务机构须在项目验收意见书中明确项目单位应退回资助资金的具体金额。</w:t>
      </w:r>
    </w:p>
    <w:p>
      <w:pPr>
        <w:overflowPunct w:val="0"/>
        <w:spacing w:line="610" w:lineRule="exact"/>
        <w:ind w:firstLine="624" w:firstLineChars="200"/>
        <w:rPr>
          <w:rFonts w:ascii="仿宋_GB2312"/>
          <w:color w:val="000000"/>
          <w:szCs w:val="32"/>
        </w:rPr>
      </w:pPr>
      <w:r>
        <w:rPr>
          <w:rFonts w:hint="eastAsia" w:ascii="仿宋_GB2312"/>
          <w:b/>
          <w:bCs/>
          <w:color w:val="000000"/>
          <w:szCs w:val="32"/>
        </w:rPr>
        <w:t>第三十二条</w:t>
      </w:r>
      <w:r>
        <w:rPr>
          <w:rFonts w:hint="eastAsia" w:ascii="仿宋_GB2312"/>
          <w:color w:val="000000"/>
          <w:szCs w:val="32"/>
        </w:rPr>
        <w:t xml:space="preserve"> 项目验收结束后，项目验收服务机构须将项目验收意见书、专项审计报告、专家组验收意见、专家组各成员综合评议打分表和验收申请材料等整理汇总，形成电子版和纸质版各一份，报送市发展改革委存档。</w:t>
      </w:r>
    </w:p>
    <w:p>
      <w:pPr>
        <w:overflowPunct w:val="0"/>
        <w:spacing w:line="610" w:lineRule="exact"/>
        <w:ind w:firstLine="624" w:firstLineChars="200"/>
        <w:rPr>
          <w:rFonts w:ascii="仿宋_GB2312"/>
          <w:color w:val="000000"/>
          <w:szCs w:val="32"/>
        </w:rPr>
      </w:pPr>
      <w:r>
        <w:rPr>
          <w:rFonts w:hint="eastAsia" w:ascii="仿宋_GB2312"/>
          <w:b/>
          <w:bCs/>
          <w:color w:val="000000"/>
          <w:szCs w:val="32"/>
        </w:rPr>
        <w:t>第三十三条</w:t>
      </w:r>
      <w:r>
        <w:rPr>
          <w:rFonts w:hint="eastAsia" w:ascii="仿宋_GB2312"/>
          <w:color w:val="000000"/>
          <w:szCs w:val="32"/>
        </w:rPr>
        <w:t xml:space="preserve"> 项目验收服务机构应保存现场验收照片和音视频材料等验收过程档案，以备查验。</w:t>
      </w:r>
    </w:p>
    <w:p>
      <w:pPr>
        <w:overflowPunct w:val="0"/>
        <w:spacing w:line="610" w:lineRule="exact"/>
        <w:ind w:firstLine="624" w:firstLineChars="200"/>
        <w:rPr>
          <w:rFonts w:ascii="仿宋_GB2312"/>
          <w:color w:val="000000"/>
          <w:szCs w:val="32"/>
        </w:rPr>
      </w:pPr>
      <w:r>
        <w:rPr>
          <w:rFonts w:hint="eastAsia" w:ascii="仿宋_GB2312"/>
          <w:b/>
          <w:bCs/>
          <w:color w:val="000000"/>
          <w:szCs w:val="32"/>
        </w:rPr>
        <w:t>第三十四条</w:t>
      </w:r>
      <w:r>
        <w:rPr>
          <w:rFonts w:hint="eastAsia" w:ascii="仿宋_GB2312"/>
          <w:color w:val="000000"/>
          <w:szCs w:val="32"/>
        </w:rPr>
        <w:t xml:space="preserve"> 项目验收服务机构对项目验收意见书和验收过程档案等材料的真实性、完整性、规范性负责。</w:t>
      </w:r>
    </w:p>
    <w:p>
      <w:pPr>
        <w:overflowPunct w:val="0"/>
        <w:spacing w:line="610" w:lineRule="exact"/>
        <w:ind w:firstLine="624" w:firstLineChars="200"/>
        <w:rPr>
          <w:rFonts w:ascii="仿宋_GB2312"/>
          <w:color w:val="000000"/>
          <w:szCs w:val="32"/>
        </w:rPr>
      </w:pPr>
    </w:p>
    <w:p>
      <w:pPr>
        <w:overflowPunct w:val="0"/>
        <w:spacing w:after="114" w:afterLines="20" w:line="610" w:lineRule="exact"/>
        <w:jc w:val="center"/>
        <w:rPr>
          <w:rFonts w:ascii="黑体" w:hAnsi="宋体" w:eastAsia="黑体"/>
          <w:color w:val="000000"/>
          <w:szCs w:val="32"/>
        </w:rPr>
      </w:pPr>
      <w:r>
        <w:rPr>
          <w:rFonts w:hint="eastAsia" w:ascii="黑体" w:hAnsi="宋体" w:eastAsia="黑体"/>
          <w:color w:val="000000"/>
          <w:szCs w:val="32"/>
        </w:rPr>
        <w:t>第八章  监督管理</w:t>
      </w:r>
    </w:p>
    <w:p>
      <w:pPr>
        <w:overflowPunct w:val="0"/>
        <w:spacing w:line="610" w:lineRule="exact"/>
        <w:ind w:firstLine="624" w:firstLineChars="200"/>
        <w:rPr>
          <w:rFonts w:ascii="仿宋_GB2312"/>
          <w:color w:val="000000"/>
          <w:szCs w:val="32"/>
        </w:rPr>
      </w:pPr>
      <w:r>
        <w:rPr>
          <w:rFonts w:hint="eastAsia" w:ascii="仿宋_GB2312"/>
          <w:b/>
          <w:bCs/>
          <w:color w:val="000000"/>
          <w:szCs w:val="32"/>
        </w:rPr>
        <w:t>第三十五条</w:t>
      </w:r>
      <w:r>
        <w:rPr>
          <w:rFonts w:hint="eastAsia" w:ascii="仿宋_GB2312"/>
          <w:color w:val="000000"/>
          <w:szCs w:val="32"/>
        </w:rPr>
        <w:t xml:space="preserve"> 项目验收服务机构工作人员和验收专家应严格遵守保密规定，保守验收过程中知悉的项目单位商业和技术秘密。未经权利人许可，不得披露、使用或允许他人使用、转让其秘密。对擅自披露、使用或者向他人提供、转让项目单位商业或技术秘密的，将依法追究当事人责任。涉及国家秘密的，依照《中华人民共和国保守国家秘密法》处理。</w:t>
      </w:r>
    </w:p>
    <w:p>
      <w:pPr>
        <w:overflowPunct w:val="0"/>
        <w:spacing w:line="610" w:lineRule="exact"/>
        <w:ind w:firstLine="624" w:firstLineChars="200"/>
        <w:rPr>
          <w:rFonts w:ascii="仿宋_GB2312"/>
          <w:color w:val="000000"/>
          <w:szCs w:val="32"/>
        </w:rPr>
      </w:pPr>
      <w:r>
        <w:rPr>
          <w:rFonts w:hint="eastAsia" w:ascii="仿宋_GB2312"/>
          <w:b/>
          <w:bCs/>
          <w:color w:val="000000"/>
          <w:szCs w:val="32"/>
        </w:rPr>
        <w:t>第三十六条</w:t>
      </w:r>
      <w:r>
        <w:rPr>
          <w:rFonts w:hint="eastAsia" w:ascii="仿宋_GB2312"/>
          <w:color w:val="000000"/>
          <w:szCs w:val="32"/>
        </w:rPr>
        <w:t xml:space="preserve"> 项目验收服务机构在提交项目验收意见书后仍有协助市发展改革委处理相关投诉、争议的义务，并配合开展相关检查、审计工作。</w:t>
      </w:r>
    </w:p>
    <w:p>
      <w:pPr>
        <w:overflowPunct w:val="0"/>
        <w:spacing w:line="610" w:lineRule="exact"/>
        <w:ind w:firstLine="624" w:firstLineChars="200"/>
        <w:rPr>
          <w:rFonts w:ascii="仿宋_GB2312"/>
          <w:color w:val="000000"/>
          <w:szCs w:val="32"/>
        </w:rPr>
      </w:pPr>
      <w:r>
        <w:rPr>
          <w:rFonts w:hint="eastAsia" w:ascii="仿宋_GB2312"/>
          <w:b/>
          <w:bCs/>
          <w:color w:val="000000"/>
          <w:szCs w:val="32"/>
        </w:rPr>
        <w:t>第三十七条</w:t>
      </w:r>
      <w:r>
        <w:rPr>
          <w:rFonts w:hint="eastAsia" w:ascii="仿宋_GB2312"/>
          <w:color w:val="000000"/>
          <w:szCs w:val="32"/>
        </w:rPr>
        <w:t xml:space="preserve"> 项目验收结束后，项目验收服务机构应从组织纪律性、技术专业性、参与积极性、咨询公正性等方面，对验收专家参与项目验收情况进行评价，对验收专家存在的违法、违规等负面行为进行记录，并报市发展改革委；市发展改革委对经核实的负面行为进行记录，作为专家库管理的重要参考，视负面行为情节严重程度，暂停或永久停止相关责任人参与市发展改革委负责的各类专项资金支持项目评审、管理、验收、专项审计资格。</w:t>
      </w:r>
    </w:p>
    <w:p>
      <w:pPr>
        <w:overflowPunct w:val="0"/>
        <w:spacing w:line="610" w:lineRule="exact"/>
        <w:ind w:firstLine="624" w:firstLineChars="200"/>
        <w:rPr>
          <w:rFonts w:ascii="仿宋_GB2312"/>
          <w:color w:val="000000"/>
          <w:szCs w:val="32"/>
        </w:rPr>
      </w:pPr>
      <w:r>
        <w:rPr>
          <w:rFonts w:hint="eastAsia" w:ascii="仿宋_GB2312"/>
          <w:b/>
          <w:bCs/>
          <w:color w:val="000000"/>
          <w:szCs w:val="32"/>
        </w:rPr>
        <w:t>第三十八条</w:t>
      </w:r>
      <w:r>
        <w:rPr>
          <w:rFonts w:hint="eastAsia" w:ascii="仿宋_GB2312"/>
          <w:color w:val="000000"/>
          <w:szCs w:val="32"/>
        </w:rPr>
        <w:t xml:space="preserve"> 市发展改革委将根据验收服务开展情况，采取现场监督、事后评价和受理投诉等方式对项目验收服务机构的组织能力和服务水平等进行评价，对验收过程中存在的违法、违规等负面行为进行记录，作为项目验收服务机构选聘的重要参考，视负面行为情节严重程度采取解除相关政府购买服务合同、一定期限内停止其参与市发展改革委负责的各类专项资金支持项目评审、管理、验收、专项审计资格等措施。</w:t>
      </w:r>
    </w:p>
    <w:p>
      <w:pPr>
        <w:overflowPunct w:val="0"/>
        <w:spacing w:line="610" w:lineRule="exact"/>
        <w:ind w:firstLine="624" w:firstLineChars="200"/>
        <w:rPr>
          <w:rFonts w:ascii="仿宋_GB2312"/>
          <w:color w:val="000000"/>
          <w:szCs w:val="32"/>
        </w:rPr>
      </w:pPr>
    </w:p>
    <w:p>
      <w:pPr>
        <w:overflowPunct w:val="0"/>
        <w:spacing w:after="114" w:afterLines="20" w:line="610" w:lineRule="exact"/>
        <w:jc w:val="center"/>
        <w:rPr>
          <w:rFonts w:ascii="黑体" w:hAnsi="宋体" w:eastAsia="黑体"/>
          <w:color w:val="000000"/>
          <w:szCs w:val="32"/>
        </w:rPr>
      </w:pPr>
      <w:r>
        <w:rPr>
          <w:rFonts w:hint="eastAsia" w:ascii="黑体" w:hAnsi="宋体" w:eastAsia="黑体"/>
          <w:color w:val="000000"/>
          <w:szCs w:val="32"/>
        </w:rPr>
        <w:t>第九章  附  则</w:t>
      </w:r>
    </w:p>
    <w:p>
      <w:pPr>
        <w:overflowPunct w:val="0"/>
        <w:spacing w:line="610" w:lineRule="exact"/>
        <w:ind w:firstLine="624" w:firstLineChars="200"/>
        <w:rPr>
          <w:rFonts w:ascii="仿宋_GB2312"/>
          <w:b/>
          <w:bCs/>
          <w:color w:val="000000"/>
          <w:szCs w:val="32"/>
        </w:rPr>
      </w:pPr>
      <w:r>
        <w:rPr>
          <w:rFonts w:hint="eastAsia" w:ascii="仿宋_GB2312"/>
          <w:b/>
          <w:bCs/>
          <w:color w:val="000000"/>
          <w:szCs w:val="32"/>
        </w:rPr>
        <w:t xml:space="preserve">第三十九条 </w:t>
      </w:r>
      <w:r>
        <w:rPr>
          <w:rFonts w:hint="eastAsia" w:ascii="仿宋_GB2312"/>
          <w:color w:val="000000"/>
          <w:szCs w:val="32"/>
        </w:rPr>
        <w:t>其他由市发展改革委组织实施的分阶段资助或验收后资助扶持类别的项目验收服务工作可参照本指引执行。</w:t>
      </w:r>
    </w:p>
    <w:p>
      <w:pPr>
        <w:overflowPunct w:val="0"/>
        <w:spacing w:line="610" w:lineRule="exact"/>
        <w:ind w:firstLine="624" w:firstLineChars="200"/>
        <w:rPr>
          <w:rFonts w:ascii="仿宋_GB2312"/>
          <w:color w:val="000000"/>
          <w:szCs w:val="32"/>
        </w:rPr>
      </w:pPr>
      <w:r>
        <w:rPr>
          <w:rFonts w:hint="eastAsia" w:ascii="仿宋_GB2312"/>
          <w:b/>
          <w:bCs/>
          <w:color w:val="000000"/>
          <w:szCs w:val="32"/>
        </w:rPr>
        <w:t xml:space="preserve">第四十条 </w:t>
      </w:r>
      <w:r>
        <w:rPr>
          <w:rFonts w:hint="eastAsia" w:ascii="仿宋_GB2312"/>
          <w:color w:val="000000"/>
          <w:szCs w:val="32"/>
        </w:rPr>
        <w:t>市发展改革委应加强对相关政府购买服务合同的管理，督促相关主体履约尽责。</w:t>
      </w:r>
    </w:p>
    <w:p>
      <w:pPr>
        <w:overflowPunct w:val="0"/>
        <w:spacing w:line="610" w:lineRule="exact"/>
        <w:ind w:firstLine="624" w:firstLineChars="200"/>
        <w:rPr>
          <w:rFonts w:ascii="仿宋_GB2312"/>
          <w:b/>
          <w:bCs/>
          <w:color w:val="000000"/>
          <w:szCs w:val="32"/>
        </w:rPr>
      </w:pPr>
      <w:r>
        <w:rPr>
          <w:rFonts w:hint="eastAsia" w:ascii="仿宋_GB2312"/>
          <w:b/>
          <w:bCs/>
          <w:color w:val="000000"/>
          <w:szCs w:val="32"/>
        </w:rPr>
        <w:t xml:space="preserve">第四十一条 </w:t>
      </w:r>
      <w:r>
        <w:rPr>
          <w:rFonts w:hint="eastAsia" w:ascii="仿宋_GB2312"/>
          <w:color w:val="000000"/>
          <w:szCs w:val="32"/>
        </w:rPr>
        <w:t>本指引由市发展改革委负责解释。</w:t>
      </w:r>
    </w:p>
    <w:p>
      <w:pPr>
        <w:overflowPunct w:val="0"/>
        <w:spacing w:line="610" w:lineRule="exact"/>
        <w:ind w:firstLine="624" w:firstLineChars="200"/>
        <w:rPr>
          <w:sz w:val="10"/>
        </w:rPr>
      </w:pPr>
      <w:r>
        <w:rPr>
          <w:rFonts w:hint="eastAsia" w:ascii="仿宋_GB2312"/>
          <w:b/>
          <w:bCs/>
          <w:color w:val="000000"/>
          <w:szCs w:val="32"/>
        </w:rPr>
        <w:t xml:space="preserve">第四十二条 </w:t>
      </w:r>
      <w:r>
        <w:rPr>
          <w:rFonts w:hint="eastAsia" w:ascii="仿宋_GB2312"/>
          <w:color w:val="000000"/>
          <w:szCs w:val="32"/>
        </w:rPr>
        <w:t>本指引自2021年12月13日起施行，有效期5年。</w:t>
      </w:r>
    </w:p>
    <w:sectPr>
      <w:footerReference r:id="rId3" w:type="default"/>
      <w:footerReference r:id="rId4" w:type="even"/>
      <w:pgSz w:w="11906" w:h="16838"/>
      <w:pgMar w:top="2098" w:right="1474" w:bottom="1985" w:left="1588" w:header="851" w:footer="1361" w:gutter="0"/>
      <w:pgNumType w:fmt="decimal"/>
      <w:cols w:space="425" w:num="1"/>
      <w:docGrid w:type="linesAndChars" w:linePitch="573" w:charSpace="-18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文鼎小标宋简">
    <w:altName w:val="微软雅黑"/>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ind w:left="350" w:right="36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tabs>
                              <w:tab w:val="clear" w:pos="4153"/>
                              <w:tab w:val="clear" w:pos="8306"/>
                            </w:tabs>
                            <w:ind w:left="350" w:right="360"/>
                            <w:jc w:val="right"/>
                          </w:pPr>
                          <w:r>
                            <w:rPr>
                              <w:rStyle w:val="19"/>
                              <w:rFonts w:hint="eastAsia"/>
                            </w:rPr>
                            <w:t>－</w:t>
                          </w:r>
                          <w:r>
                            <w:rPr>
                              <w:rStyle w:val="19"/>
                            </w:rPr>
                            <w:fldChar w:fldCharType="begin"/>
                          </w:r>
                          <w:r>
                            <w:rPr>
                              <w:rStyle w:val="19"/>
                            </w:rPr>
                            <w:instrText xml:space="preserve"> PAGE </w:instrText>
                          </w:r>
                          <w:r>
                            <w:rPr>
                              <w:rStyle w:val="19"/>
                            </w:rPr>
                            <w:fldChar w:fldCharType="separate"/>
                          </w:r>
                          <w:r>
                            <w:rPr>
                              <w:rStyle w:val="19"/>
                            </w:rPr>
                            <w:t>17</w:t>
                          </w:r>
                          <w:r>
                            <w:rPr>
                              <w:rStyle w:val="19"/>
                            </w:rPr>
                            <w:fldChar w:fldCharType="end"/>
                          </w:r>
                          <w:r>
                            <w:rPr>
                              <w:rStyle w:val="19"/>
                              <w:rFonts w:hint="eastAsia"/>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tabs>
                        <w:tab w:val="clear" w:pos="4153"/>
                        <w:tab w:val="clear" w:pos="8306"/>
                      </w:tabs>
                      <w:ind w:left="350" w:right="360"/>
                      <w:jc w:val="right"/>
                    </w:pPr>
                    <w:r>
                      <w:rPr>
                        <w:rStyle w:val="19"/>
                        <w:rFonts w:hint="eastAsia"/>
                      </w:rPr>
                      <w:t>－</w:t>
                    </w:r>
                    <w:r>
                      <w:rPr>
                        <w:rStyle w:val="19"/>
                      </w:rPr>
                      <w:fldChar w:fldCharType="begin"/>
                    </w:r>
                    <w:r>
                      <w:rPr>
                        <w:rStyle w:val="19"/>
                      </w:rPr>
                      <w:instrText xml:space="preserve"> PAGE </w:instrText>
                    </w:r>
                    <w:r>
                      <w:rPr>
                        <w:rStyle w:val="19"/>
                      </w:rPr>
                      <w:fldChar w:fldCharType="separate"/>
                    </w:r>
                    <w:r>
                      <w:rPr>
                        <w:rStyle w:val="19"/>
                      </w:rPr>
                      <w:t>17</w:t>
                    </w:r>
                    <w:r>
                      <w:rPr>
                        <w:rStyle w:val="19"/>
                      </w:rPr>
                      <w:fldChar w:fldCharType="end"/>
                    </w:r>
                    <w:r>
                      <w:rPr>
                        <w:rStyle w:val="19"/>
                        <w:rFonts w:hint="eastAsia"/>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ind w:left="350"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tabs>
                              <w:tab w:val="clear" w:pos="4153"/>
                              <w:tab w:val="clear" w:pos="8306"/>
                            </w:tabs>
                            <w:ind w:left="350" w:right="360"/>
                          </w:pPr>
                          <w:r>
                            <w:rPr>
                              <w:rStyle w:val="19"/>
                              <w:rFonts w:hint="eastAsia"/>
                            </w:rPr>
                            <w:t>－</w:t>
                          </w:r>
                          <w:r>
                            <w:rPr>
                              <w:rStyle w:val="19"/>
                            </w:rPr>
                            <w:fldChar w:fldCharType="begin"/>
                          </w:r>
                          <w:r>
                            <w:rPr>
                              <w:rStyle w:val="19"/>
                            </w:rPr>
                            <w:instrText xml:space="preserve"> PAGE </w:instrText>
                          </w:r>
                          <w:r>
                            <w:rPr>
                              <w:rStyle w:val="19"/>
                            </w:rPr>
                            <w:fldChar w:fldCharType="separate"/>
                          </w:r>
                          <w:r>
                            <w:rPr>
                              <w:rStyle w:val="19"/>
                            </w:rPr>
                            <w:t>18</w:t>
                          </w:r>
                          <w:r>
                            <w:rPr>
                              <w:rStyle w:val="19"/>
                            </w:rPr>
                            <w:fldChar w:fldCharType="end"/>
                          </w:r>
                          <w:r>
                            <w:rPr>
                              <w:rStyle w:val="19"/>
                              <w:rFonts w:hint="eastAsia"/>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tabs>
                        <w:tab w:val="clear" w:pos="4153"/>
                        <w:tab w:val="clear" w:pos="8306"/>
                      </w:tabs>
                      <w:ind w:left="350" w:right="360"/>
                    </w:pPr>
                    <w:r>
                      <w:rPr>
                        <w:rStyle w:val="19"/>
                        <w:rFonts w:hint="eastAsia"/>
                      </w:rPr>
                      <w:t>－</w:t>
                    </w:r>
                    <w:r>
                      <w:rPr>
                        <w:rStyle w:val="19"/>
                      </w:rPr>
                      <w:fldChar w:fldCharType="begin"/>
                    </w:r>
                    <w:r>
                      <w:rPr>
                        <w:rStyle w:val="19"/>
                      </w:rPr>
                      <w:instrText xml:space="preserve"> PAGE </w:instrText>
                    </w:r>
                    <w:r>
                      <w:rPr>
                        <w:rStyle w:val="19"/>
                      </w:rPr>
                      <w:fldChar w:fldCharType="separate"/>
                    </w:r>
                    <w:r>
                      <w:rPr>
                        <w:rStyle w:val="19"/>
                      </w:rPr>
                      <w:t>18</w:t>
                    </w:r>
                    <w:r>
                      <w:rPr>
                        <w:rStyle w:val="19"/>
                      </w:rPr>
                      <w:fldChar w:fldCharType="end"/>
                    </w:r>
                    <w:r>
                      <w:rPr>
                        <w:rStyle w:val="19"/>
                        <w:rFonts w:hint="eastAsia"/>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6"/>
      <w:lvlText w:val=""/>
      <w:lvlJc w:val="left"/>
      <w:pPr>
        <w:tabs>
          <w:tab w:val="left" w:pos="360"/>
        </w:tabs>
        <w:ind w:left="360" w:hanging="360" w:hangingChars="20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evenAndOddHeaders w:val="1"/>
  <w:drawingGridHorizontalSpacing w:val="311"/>
  <w:drawingGridVerticalSpacing w:val="573"/>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ZjllNWI0MTE2ZWQyNjk3MjdkMDA3MjZlMzhkMzEifQ=="/>
  </w:docVars>
  <w:rsids>
    <w:rsidRoot w:val="00D854D0"/>
    <w:rsid w:val="00053E31"/>
    <w:rsid w:val="00054F43"/>
    <w:rsid w:val="00057017"/>
    <w:rsid w:val="00061068"/>
    <w:rsid w:val="000C06F2"/>
    <w:rsid w:val="000C5CB1"/>
    <w:rsid w:val="000D2A55"/>
    <w:rsid w:val="001028E8"/>
    <w:rsid w:val="00103E56"/>
    <w:rsid w:val="001052A5"/>
    <w:rsid w:val="001175C5"/>
    <w:rsid w:val="00117A6C"/>
    <w:rsid w:val="00117FA9"/>
    <w:rsid w:val="00122BF4"/>
    <w:rsid w:val="0013268F"/>
    <w:rsid w:val="001407C6"/>
    <w:rsid w:val="001A2408"/>
    <w:rsid w:val="001A3569"/>
    <w:rsid w:val="001B05C9"/>
    <w:rsid w:val="001C1C99"/>
    <w:rsid w:val="001F0FB5"/>
    <w:rsid w:val="001F3A0C"/>
    <w:rsid w:val="0020480D"/>
    <w:rsid w:val="002162BE"/>
    <w:rsid w:val="00221002"/>
    <w:rsid w:val="00241C24"/>
    <w:rsid w:val="002715D8"/>
    <w:rsid w:val="00273724"/>
    <w:rsid w:val="00276A14"/>
    <w:rsid w:val="00277C5A"/>
    <w:rsid w:val="002867AD"/>
    <w:rsid w:val="002A7B09"/>
    <w:rsid w:val="002C136D"/>
    <w:rsid w:val="002C6CC2"/>
    <w:rsid w:val="002E23D5"/>
    <w:rsid w:val="002F244F"/>
    <w:rsid w:val="0034341B"/>
    <w:rsid w:val="00365934"/>
    <w:rsid w:val="003662D8"/>
    <w:rsid w:val="00370389"/>
    <w:rsid w:val="00372AD8"/>
    <w:rsid w:val="00373542"/>
    <w:rsid w:val="00386647"/>
    <w:rsid w:val="00397E4F"/>
    <w:rsid w:val="003A0962"/>
    <w:rsid w:val="003B243E"/>
    <w:rsid w:val="003F4B2F"/>
    <w:rsid w:val="004020EC"/>
    <w:rsid w:val="004028DB"/>
    <w:rsid w:val="0041447D"/>
    <w:rsid w:val="00425034"/>
    <w:rsid w:val="00451281"/>
    <w:rsid w:val="0045363C"/>
    <w:rsid w:val="00464C97"/>
    <w:rsid w:val="00497E55"/>
    <w:rsid w:val="004D1BA4"/>
    <w:rsid w:val="004D587E"/>
    <w:rsid w:val="00517043"/>
    <w:rsid w:val="00533BD3"/>
    <w:rsid w:val="00550D2A"/>
    <w:rsid w:val="00553C77"/>
    <w:rsid w:val="005664D5"/>
    <w:rsid w:val="00580901"/>
    <w:rsid w:val="005939DE"/>
    <w:rsid w:val="005B0446"/>
    <w:rsid w:val="005B6C7C"/>
    <w:rsid w:val="005C01DB"/>
    <w:rsid w:val="005C05E4"/>
    <w:rsid w:val="005D241A"/>
    <w:rsid w:val="005E6B09"/>
    <w:rsid w:val="005F0B09"/>
    <w:rsid w:val="0062212F"/>
    <w:rsid w:val="00634B48"/>
    <w:rsid w:val="006548E0"/>
    <w:rsid w:val="00660B13"/>
    <w:rsid w:val="0067528A"/>
    <w:rsid w:val="006C31F4"/>
    <w:rsid w:val="006D22EB"/>
    <w:rsid w:val="0071339C"/>
    <w:rsid w:val="0071566C"/>
    <w:rsid w:val="0072321C"/>
    <w:rsid w:val="0073432B"/>
    <w:rsid w:val="00765BE8"/>
    <w:rsid w:val="007764BF"/>
    <w:rsid w:val="00782E2C"/>
    <w:rsid w:val="008150AF"/>
    <w:rsid w:val="00825CC7"/>
    <w:rsid w:val="008372C2"/>
    <w:rsid w:val="00860A7E"/>
    <w:rsid w:val="0088512E"/>
    <w:rsid w:val="00887904"/>
    <w:rsid w:val="008941B4"/>
    <w:rsid w:val="008B7E6C"/>
    <w:rsid w:val="008C4507"/>
    <w:rsid w:val="008D6841"/>
    <w:rsid w:val="008F38B7"/>
    <w:rsid w:val="009065D5"/>
    <w:rsid w:val="00936A03"/>
    <w:rsid w:val="00943D6F"/>
    <w:rsid w:val="009A0DFB"/>
    <w:rsid w:val="009F1DA5"/>
    <w:rsid w:val="009F6BFC"/>
    <w:rsid w:val="00A1722E"/>
    <w:rsid w:val="00A17986"/>
    <w:rsid w:val="00A3318E"/>
    <w:rsid w:val="00A40E76"/>
    <w:rsid w:val="00A4329A"/>
    <w:rsid w:val="00A44D0E"/>
    <w:rsid w:val="00A80290"/>
    <w:rsid w:val="00A91C4A"/>
    <w:rsid w:val="00A92504"/>
    <w:rsid w:val="00A96D6B"/>
    <w:rsid w:val="00AA70E6"/>
    <w:rsid w:val="00AB18EC"/>
    <w:rsid w:val="00AE67CE"/>
    <w:rsid w:val="00B00A49"/>
    <w:rsid w:val="00B01C34"/>
    <w:rsid w:val="00B1330C"/>
    <w:rsid w:val="00B15F93"/>
    <w:rsid w:val="00B167E3"/>
    <w:rsid w:val="00B322D5"/>
    <w:rsid w:val="00B357ED"/>
    <w:rsid w:val="00B42B27"/>
    <w:rsid w:val="00B53DAD"/>
    <w:rsid w:val="00B65C07"/>
    <w:rsid w:val="00B728DD"/>
    <w:rsid w:val="00B829FF"/>
    <w:rsid w:val="00B83C4C"/>
    <w:rsid w:val="00B92365"/>
    <w:rsid w:val="00BA6C70"/>
    <w:rsid w:val="00BB01EA"/>
    <w:rsid w:val="00BC01D8"/>
    <w:rsid w:val="00BF1400"/>
    <w:rsid w:val="00BF37BF"/>
    <w:rsid w:val="00BF4701"/>
    <w:rsid w:val="00C02E3E"/>
    <w:rsid w:val="00C10710"/>
    <w:rsid w:val="00C443C1"/>
    <w:rsid w:val="00C50D28"/>
    <w:rsid w:val="00C762F9"/>
    <w:rsid w:val="00C811A9"/>
    <w:rsid w:val="00C94B39"/>
    <w:rsid w:val="00C964CC"/>
    <w:rsid w:val="00CB4C5B"/>
    <w:rsid w:val="00CD555A"/>
    <w:rsid w:val="00D0488C"/>
    <w:rsid w:val="00D215B5"/>
    <w:rsid w:val="00D2730B"/>
    <w:rsid w:val="00D32F07"/>
    <w:rsid w:val="00D43445"/>
    <w:rsid w:val="00D84E13"/>
    <w:rsid w:val="00D854D0"/>
    <w:rsid w:val="00DA0C73"/>
    <w:rsid w:val="00DA58F1"/>
    <w:rsid w:val="00DB1B8B"/>
    <w:rsid w:val="00DB1EBB"/>
    <w:rsid w:val="00DD71DF"/>
    <w:rsid w:val="00DF55D3"/>
    <w:rsid w:val="00E14D6B"/>
    <w:rsid w:val="00E4482E"/>
    <w:rsid w:val="00E52534"/>
    <w:rsid w:val="00E9561B"/>
    <w:rsid w:val="00EB6411"/>
    <w:rsid w:val="00EC5271"/>
    <w:rsid w:val="00EF1845"/>
    <w:rsid w:val="00F05343"/>
    <w:rsid w:val="00F1628E"/>
    <w:rsid w:val="00F569C1"/>
    <w:rsid w:val="00F70B3A"/>
    <w:rsid w:val="00F74DFF"/>
    <w:rsid w:val="00F77ECE"/>
    <w:rsid w:val="00F94739"/>
    <w:rsid w:val="00FA1460"/>
    <w:rsid w:val="00FC2CC7"/>
    <w:rsid w:val="00FC403B"/>
    <w:rsid w:val="00FC4F0E"/>
    <w:rsid w:val="00FD113B"/>
    <w:rsid w:val="00FE0EB0"/>
    <w:rsid w:val="00FE1E40"/>
    <w:rsid w:val="0A8F2751"/>
    <w:rsid w:val="580A4919"/>
    <w:rsid w:val="72EFE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adjustRightInd w:val="0"/>
      <w:jc w:val="distribute"/>
      <w:outlineLvl w:val="0"/>
    </w:pPr>
    <w:rPr>
      <w:rFonts w:eastAsia="文鼎小标宋简"/>
      <w:b/>
      <w:vanish/>
      <w:color w:val="FF0000"/>
      <w:kern w:val="44"/>
      <w:sz w:val="72"/>
    </w:rPr>
  </w:style>
  <w:style w:type="paragraph" w:styleId="3">
    <w:name w:val="heading 2"/>
    <w:basedOn w:val="1"/>
    <w:next w:val="4"/>
    <w:qFormat/>
    <w:uiPriority w:val="0"/>
    <w:pPr>
      <w:keepNext/>
      <w:keepLines/>
      <w:spacing w:before="260" w:after="260" w:line="416" w:lineRule="auto"/>
      <w:outlineLvl w:val="1"/>
    </w:pPr>
    <w:rPr>
      <w:rFonts w:ascii="Arial" w:hAnsi="Arial" w:eastAsia="黑体"/>
      <w:b/>
    </w:rPr>
  </w:style>
  <w:style w:type="paragraph" w:styleId="5">
    <w:name w:val="heading 3"/>
    <w:basedOn w:val="1"/>
    <w:next w:val="4"/>
    <w:qFormat/>
    <w:uiPriority w:val="0"/>
    <w:pPr>
      <w:keepNext/>
      <w:keepLines/>
      <w:spacing w:before="1000" w:after="400"/>
      <w:jc w:val="center"/>
      <w:outlineLvl w:val="2"/>
    </w:pPr>
    <w:rPr>
      <w:rFonts w:ascii="文鼎小标宋简" w:eastAsia="文鼎小标宋简"/>
      <w:sz w:val="4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630"/>
    </w:pPr>
    <w:rPr>
      <w:kern w:val="0"/>
    </w:rPr>
  </w:style>
  <w:style w:type="paragraph" w:styleId="6">
    <w:name w:val="List Bullet"/>
    <w:basedOn w:val="1"/>
    <w:qFormat/>
    <w:uiPriority w:val="0"/>
    <w:pPr>
      <w:numPr>
        <w:ilvl w:val="0"/>
        <w:numId w:val="1"/>
      </w:numPr>
    </w:pPr>
    <w:rPr>
      <w:rFonts w:eastAsia="宋体"/>
      <w:sz w:val="21"/>
      <w:szCs w:val="24"/>
    </w:rPr>
  </w:style>
  <w:style w:type="paragraph" w:styleId="7">
    <w:name w:val="Document Map"/>
    <w:basedOn w:val="1"/>
    <w:link w:val="125"/>
    <w:unhideWhenUsed/>
    <w:qFormat/>
    <w:uiPriority w:val="0"/>
    <w:pPr>
      <w:shd w:val="clear" w:color="auto" w:fill="000080"/>
    </w:pPr>
    <w:rPr>
      <w:rFonts w:eastAsia="宋体"/>
      <w:sz w:val="21"/>
      <w:szCs w:val="24"/>
    </w:rPr>
  </w:style>
  <w:style w:type="paragraph" w:styleId="8">
    <w:name w:val="annotation text"/>
    <w:basedOn w:val="1"/>
    <w:link w:val="29"/>
    <w:semiHidden/>
    <w:unhideWhenUsed/>
    <w:qFormat/>
    <w:uiPriority w:val="99"/>
    <w:pPr>
      <w:jc w:val="left"/>
    </w:pPr>
    <w:rPr>
      <w:rFonts w:eastAsia="宋体"/>
      <w:sz w:val="21"/>
      <w:szCs w:val="24"/>
    </w:rPr>
  </w:style>
  <w:style w:type="paragraph" w:styleId="9">
    <w:name w:val="Body Text"/>
    <w:basedOn w:val="1"/>
    <w:link w:val="32"/>
    <w:qFormat/>
    <w:uiPriority w:val="99"/>
    <w:pPr>
      <w:jc w:val="center"/>
    </w:pPr>
    <w:rPr>
      <w:rFonts w:ascii="黑体" w:eastAsia="黑体"/>
      <w:sz w:val="44"/>
      <w:szCs w:val="24"/>
    </w:rPr>
  </w:style>
  <w:style w:type="paragraph" w:styleId="10">
    <w:name w:val="Body Text Indent"/>
    <w:basedOn w:val="1"/>
    <w:link w:val="34"/>
    <w:qFormat/>
    <w:uiPriority w:val="0"/>
    <w:pPr>
      <w:spacing w:after="120"/>
      <w:ind w:left="420" w:leftChars="200"/>
    </w:pPr>
  </w:style>
  <w:style w:type="paragraph" w:styleId="11">
    <w:name w:val="Date"/>
    <w:basedOn w:val="1"/>
    <w:next w:val="1"/>
    <w:link w:val="69"/>
    <w:qFormat/>
    <w:uiPriority w:val="99"/>
  </w:style>
  <w:style w:type="paragraph" w:styleId="12">
    <w:name w:val="Balloon Text"/>
    <w:basedOn w:val="1"/>
    <w:link w:val="31"/>
    <w:semiHidden/>
    <w:unhideWhenUsed/>
    <w:qFormat/>
    <w:uiPriority w:val="99"/>
    <w:rPr>
      <w:rFonts w:eastAsia="宋体"/>
      <w:sz w:val="18"/>
      <w:szCs w:val="18"/>
    </w:rPr>
  </w:style>
  <w:style w:type="paragraph" w:styleId="13">
    <w:name w:val="footer"/>
    <w:basedOn w:val="1"/>
    <w:link w:val="23"/>
    <w:qFormat/>
    <w:uiPriority w:val="99"/>
    <w:pPr>
      <w:tabs>
        <w:tab w:val="center" w:pos="4153"/>
        <w:tab w:val="right" w:pos="8306"/>
      </w:tabs>
      <w:snapToGrid w:val="0"/>
      <w:jc w:val="left"/>
    </w:pPr>
    <w:rPr>
      <w:sz w:val="18"/>
    </w:rPr>
  </w:style>
  <w:style w:type="paragraph" w:styleId="14">
    <w:name w:val="header"/>
    <w:basedOn w:val="1"/>
    <w:link w:val="26"/>
    <w:qFormat/>
    <w:uiPriority w:val="99"/>
    <w:pPr>
      <w:pBdr>
        <w:bottom w:val="single" w:color="auto" w:sz="6" w:space="1"/>
      </w:pBdr>
      <w:tabs>
        <w:tab w:val="center" w:pos="4153"/>
        <w:tab w:val="right" w:pos="8306"/>
      </w:tabs>
      <w:snapToGrid w:val="0"/>
      <w:jc w:val="center"/>
    </w:pPr>
    <w:rPr>
      <w:sz w:val="18"/>
    </w:rPr>
  </w:style>
  <w:style w:type="paragraph" w:styleId="15">
    <w:name w:val="annotation subject"/>
    <w:basedOn w:val="8"/>
    <w:next w:val="8"/>
    <w:link w:val="30"/>
    <w:semiHidden/>
    <w:unhideWhenUsed/>
    <w:qFormat/>
    <w:uiPriority w:val="99"/>
    <w:rPr>
      <w:b/>
      <w:bCs/>
    </w:rPr>
  </w:style>
  <w:style w:type="table" w:styleId="17">
    <w:name w:val="Table Grid"/>
    <w:basedOn w:val="16"/>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qFormat/>
    <w:uiPriority w:val="0"/>
    <w:rPr>
      <w:rFonts w:eastAsia="宋体"/>
      <w:sz w:val="28"/>
    </w:rPr>
  </w:style>
  <w:style w:type="character" w:styleId="20">
    <w:name w:val="FollowedHyperlink"/>
    <w:unhideWhenUsed/>
    <w:qFormat/>
    <w:uiPriority w:val="99"/>
    <w:rPr>
      <w:color w:val="800080"/>
      <w:u w:val="single"/>
    </w:rPr>
  </w:style>
  <w:style w:type="character" w:styleId="21">
    <w:name w:val="Hyperlink"/>
    <w:unhideWhenUsed/>
    <w:qFormat/>
    <w:uiPriority w:val="99"/>
    <w:rPr>
      <w:color w:val="0000FF"/>
      <w:u w:val="single"/>
    </w:rPr>
  </w:style>
  <w:style w:type="character" w:styleId="22">
    <w:name w:val="annotation reference"/>
    <w:semiHidden/>
    <w:unhideWhenUsed/>
    <w:qFormat/>
    <w:uiPriority w:val="99"/>
    <w:rPr>
      <w:sz w:val="21"/>
      <w:szCs w:val="21"/>
    </w:rPr>
  </w:style>
  <w:style w:type="character" w:customStyle="1" w:styleId="23">
    <w:name w:val="页脚 Char"/>
    <w:link w:val="13"/>
    <w:semiHidden/>
    <w:qFormat/>
    <w:uiPriority w:val="99"/>
    <w:rPr>
      <w:rFonts w:eastAsia="仿宋_GB2312"/>
      <w:kern w:val="2"/>
      <w:sz w:val="18"/>
      <w:lang w:val="en-US" w:eastAsia="zh-CN" w:bidi="ar-SA"/>
    </w:rPr>
  </w:style>
  <w:style w:type="paragraph" w:customStyle="1" w:styleId="24">
    <w:name w:val="主题词"/>
    <w:basedOn w:val="1"/>
    <w:qFormat/>
    <w:uiPriority w:val="0"/>
    <w:pPr>
      <w:framePr w:wrap="notBeside" w:vAnchor="margin" w:hAnchor="margin" w:yAlign="bottom"/>
      <w:ind w:left="1246" w:hanging="1246"/>
    </w:pPr>
    <w:rPr>
      <w:rFonts w:eastAsia="文鼎小标宋简"/>
    </w:rPr>
  </w:style>
  <w:style w:type="paragraph" w:customStyle="1" w:styleId="25">
    <w:name w:val="附件"/>
    <w:basedOn w:val="1"/>
    <w:qFormat/>
    <w:uiPriority w:val="0"/>
    <w:pPr>
      <w:ind w:left="1638" w:hanging="1016"/>
    </w:pPr>
  </w:style>
  <w:style w:type="character" w:customStyle="1" w:styleId="26">
    <w:name w:val="页眉 Char"/>
    <w:link w:val="14"/>
    <w:semiHidden/>
    <w:qFormat/>
    <w:uiPriority w:val="99"/>
    <w:rPr>
      <w:rFonts w:eastAsia="仿宋_GB2312"/>
      <w:kern w:val="2"/>
      <w:sz w:val="18"/>
      <w:lang w:val="en-US" w:eastAsia="zh-CN" w:bidi="ar-SA"/>
    </w:rPr>
  </w:style>
  <w:style w:type="paragraph" w:customStyle="1" w:styleId="27">
    <w:name w:val="秘密紧急"/>
    <w:basedOn w:val="1"/>
    <w:qFormat/>
    <w:uiPriority w:val="0"/>
    <w:pPr>
      <w:jc w:val="right"/>
    </w:pPr>
    <w:rPr>
      <w:rFonts w:ascii="黑体" w:eastAsia="黑体"/>
    </w:rPr>
  </w:style>
  <w:style w:type="paragraph" w:customStyle="1" w:styleId="28">
    <w:name w:val="抄 送"/>
    <w:basedOn w:val="24"/>
    <w:qFormat/>
    <w:uiPriority w:val="0"/>
    <w:pPr>
      <w:ind w:left="0" w:firstLine="0"/>
    </w:pPr>
    <w:rPr>
      <w:rFonts w:eastAsia="仿宋_GB2312"/>
    </w:rPr>
  </w:style>
  <w:style w:type="character" w:customStyle="1" w:styleId="29">
    <w:name w:val="批注文字 Char"/>
    <w:link w:val="8"/>
    <w:semiHidden/>
    <w:qFormat/>
    <w:uiPriority w:val="99"/>
    <w:rPr>
      <w:rFonts w:eastAsia="宋体"/>
      <w:kern w:val="2"/>
      <w:sz w:val="21"/>
      <w:szCs w:val="24"/>
      <w:lang w:val="en-US" w:eastAsia="zh-CN" w:bidi="ar-SA"/>
    </w:rPr>
  </w:style>
  <w:style w:type="character" w:customStyle="1" w:styleId="30">
    <w:name w:val="批注主题 Char"/>
    <w:link w:val="15"/>
    <w:semiHidden/>
    <w:qFormat/>
    <w:uiPriority w:val="99"/>
    <w:rPr>
      <w:rFonts w:eastAsia="宋体"/>
      <w:b/>
      <w:bCs/>
      <w:kern w:val="2"/>
      <w:sz w:val="21"/>
      <w:szCs w:val="24"/>
      <w:lang w:val="en-US" w:eastAsia="zh-CN" w:bidi="ar-SA"/>
    </w:rPr>
  </w:style>
  <w:style w:type="character" w:customStyle="1" w:styleId="31">
    <w:name w:val="批注框文本 Char"/>
    <w:link w:val="12"/>
    <w:semiHidden/>
    <w:qFormat/>
    <w:uiPriority w:val="99"/>
    <w:rPr>
      <w:rFonts w:eastAsia="宋体"/>
      <w:kern w:val="2"/>
      <w:sz w:val="18"/>
      <w:szCs w:val="18"/>
      <w:lang w:val="en-US" w:eastAsia="zh-CN" w:bidi="ar-SA"/>
    </w:rPr>
  </w:style>
  <w:style w:type="character" w:customStyle="1" w:styleId="32">
    <w:name w:val="正文文本 Char"/>
    <w:link w:val="9"/>
    <w:qFormat/>
    <w:locked/>
    <w:uiPriority w:val="99"/>
    <w:rPr>
      <w:rFonts w:ascii="黑体" w:eastAsia="黑体"/>
      <w:kern w:val="2"/>
      <w:sz w:val="44"/>
      <w:szCs w:val="24"/>
      <w:lang w:val="en-US" w:eastAsia="zh-CN" w:bidi="ar-SA"/>
    </w:rPr>
  </w:style>
  <w:style w:type="paragraph" w:customStyle="1" w:styleId="33">
    <w:name w:val="样式 仿宋_GB2312 三号"/>
    <w:basedOn w:val="1"/>
    <w:qFormat/>
    <w:uiPriority w:val="0"/>
    <w:pPr>
      <w:spacing w:line="540" w:lineRule="exact"/>
      <w:ind w:firstLine="200" w:firstLineChars="200"/>
    </w:pPr>
    <w:rPr>
      <w:rFonts w:ascii="仿宋_GB2312" w:hAnsi="仿宋_GB2312" w:cs="宋体"/>
    </w:rPr>
  </w:style>
  <w:style w:type="character" w:customStyle="1" w:styleId="34">
    <w:name w:val="正文文本缩进 Char"/>
    <w:link w:val="10"/>
    <w:qFormat/>
    <w:uiPriority w:val="0"/>
    <w:rPr>
      <w:rFonts w:eastAsia="仿宋_GB2312"/>
      <w:kern w:val="2"/>
      <w:sz w:val="32"/>
    </w:rPr>
  </w:style>
  <w:style w:type="paragraph" w:customStyle="1" w:styleId="35">
    <w:name w:val="首行缩进:  2 字符 + 首行缩进:  2 字符"/>
    <w:basedOn w:val="1"/>
    <w:qFormat/>
    <w:uiPriority w:val="0"/>
    <w:pPr>
      <w:spacing w:line="560" w:lineRule="exact"/>
      <w:ind w:firstLine="200" w:firstLineChars="200"/>
    </w:pPr>
    <w:rPr>
      <w:rFonts w:cs="宋体"/>
    </w:rPr>
  </w:style>
  <w:style w:type="paragraph" w:customStyle="1" w:styleId="36">
    <w:name w:val="首行缩进2字符"/>
    <w:basedOn w:val="1"/>
    <w:qFormat/>
    <w:uiPriority w:val="0"/>
    <w:pPr>
      <w:spacing w:line="560" w:lineRule="exact"/>
      <w:ind w:firstLine="200" w:firstLineChars="200"/>
    </w:pPr>
    <w:rPr>
      <w:rFonts w:ascii="仿宋_GB2312" w:hAnsi="仿宋_GB2312"/>
    </w:rPr>
  </w:style>
  <w:style w:type="paragraph" w:customStyle="1" w:styleId="37">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8">
    <w:name w:val="font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
    <w:name w:val="font7"/>
    <w:basedOn w:val="1"/>
    <w:qFormat/>
    <w:uiPriority w:val="0"/>
    <w:pPr>
      <w:widowControl/>
      <w:spacing w:before="100" w:beforeAutospacing="1" w:after="100" w:afterAutospacing="1"/>
      <w:jc w:val="left"/>
    </w:pPr>
    <w:rPr>
      <w:rFonts w:eastAsia="宋体"/>
      <w:kern w:val="0"/>
      <w:sz w:val="20"/>
    </w:rPr>
  </w:style>
  <w:style w:type="paragraph" w:customStyle="1" w:styleId="40">
    <w:name w:val="xl1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41">
    <w:name w:val="xl1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42">
    <w:name w:val="xl1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43">
    <w:name w:val="xl1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44">
    <w:name w:val="xl1251"/>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45">
    <w:name w:val="xl1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cs="宋体"/>
      <w:kern w:val="0"/>
      <w:sz w:val="24"/>
      <w:szCs w:val="24"/>
    </w:rPr>
  </w:style>
  <w:style w:type="paragraph" w:customStyle="1" w:styleId="46">
    <w:name w:val="xl1253"/>
    <w:basedOn w:val="1"/>
    <w:qFormat/>
    <w:uiPriority w:val="0"/>
    <w:pPr>
      <w:widowControl/>
      <w:spacing w:before="100" w:beforeAutospacing="1" w:after="100" w:afterAutospacing="1"/>
      <w:jc w:val="right"/>
    </w:pPr>
    <w:rPr>
      <w:rFonts w:ascii="宋体" w:hAnsi="宋体" w:eastAsia="宋体" w:cs="宋体"/>
      <w:kern w:val="0"/>
      <w:sz w:val="24"/>
      <w:szCs w:val="24"/>
    </w:rPr>
  </w:style>
  <w:style w:type="paragraph" w:customStyle="1" w:styleId="47">
    <w:name w:val="xl1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cs="宋体"/>
      <w:kern w:val="0"/>
      <w:sz w:val="24"/>
      <w:szCs w:val="24"/>
    </w:rPr>
  </w:style>
  <w:style w:type="paragraph" w:customStyle="1" w:styleId="48">
    <w:name w:val="xl1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49">
    <w:name w:val="xl12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
    <w:name w:val="xl1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51">
    <w:name w:val="xl1258"/>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52">
    <w:name w:val="xl1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cs="宋体"/>
      <w:kern w:val="0"/>
      <w:sz w:val="24"/>
      <w:szCs w:val="24"/>
    </w:rPr>
  </w:style>
  <w:style w:type="paragraph" w:customStyle="1" w:styleId="53">
    <w:name w:val="xl1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54">
    <w:name w:val="xl1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宋体" w:cs="宋体"/>
      <w:kern w:val="0"/>
      <w:sz w:val="24"/>
      <w:szCs w:val="24"/>
    </w:rPr>
  </w:style>
  <w:style w:type="paragraph" w:customStyle="1" w:styleId="55">
    <w:name w:val="xl1262"/>
    <w:basedOn w:val="1"/>
    <w:qFormat/>
    <w:uiPriority w:val="0"/>
    <w:pPr>
      <w:widowControl/>
      <w:spacing w:before="100" w:beforeAutospacing="1" w:after="100" w:afterAutospacing="1"/>
      <w:jc w:val="left"/>
    </w:pPr>
    <w:rPr>
      <w:rFonts w:ascii="仿宋_GB2312" w:hAnsi="宋体" w:cs="宋体"/>
      <w:kern w:val="0"/>
      <w:sz w:val="24"/>
      <w:szCs w:val="24"/>
    </w:rPr>
  </w:style>
  <w:style w:type="paragraph" w:customStyle="1" w:styleId="56">
    <w:name w:val="xl1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57">
    <w:name w:val="xl1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仿宋_GB2312" w:hAnsi="宋体" w:cs="宋体"/>
      <w:kern w:val="0"/>
      <w:sz w:val="24"/>
      <w:szCs w:val="24"/>
    </w:rPr>
  </w:style>
  <w:style w:type="paragraph" w:customStyle="1" w:styleId="58">
    <w:name w:val="xl1265"/>
    <w:basedOn w:val="1"/>
    <w:qFormat/>
    <w:uiPriority w:val="0"/>
    <w:pPr>
      <w:widowControl/>
      <w:spacing w:before="100" w:beforeAutospacing="1" w:after="100" w:afterAutospacing="1"/>
      <w:jc w:val="center"/>
    </w:pPr>
    <w:rPr>
      <w:rFonts w:ascii="仿宋_GB2312" w:hAnsi="宋体" w:cs="宋体"/>
      <w:kern w:val="0"/>
      <w:sz w:val="24"/>
      <w:szCs w:val="24"/>
    </w:rPr>
  </w:style>
  <w:style w:type="paragraph" w:customStyle="1" w:styleId="59">
    <w:name w:val="xl1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0">
    <w:name w:val="xl126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仿宋_GB2312" w:hAnsi="宋体" w:cs="宋体"/>
      <w:kern w:val="0"/>
      <w:sz w:val="24"/>
      <w:szCs w:val="24"/>
    </w:rPr>
  </w:style>
  <w:style w:type="paragraph" w:customStyle="1" w:styleId="61">
    <w:name w:val="xl1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62">
    <w:name w:val="xl1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0"/>
    </w:rPr>
  </w:style>
  <w:style w:type="paragraph" w:customStyle="1" w:styleId="63">
    <w:name w:val="xl1270"/>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64">
    <w:name w:val="xl1271"/>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仿宋_GB2312" w:hAnsi="宋体" w:cs="宋体"/>
      <w:kern w:val="0"/>
      <w:sz w:val="24"/>
      <w:szCs w:val="24"/>
    </w:rPr>
  </w:style>
  <w:style w:type="paragraph" w:customStyle="1" w:styleId="65">
    <w:name w:val="xl1272"/>
    <w:basedOn w:val="1"/>
    <w:qFormat/>
    <w:uiPriority w:val="0"/>
    <w:pPr>
      <w:widowControl/>
      <w:pBdr>
        <w:top w:val="single" w:color="auto" w:sz="4" w:space="0"/>
        <w:bottom w:val="single" w:color="auto" w:sz="4" w:space="0"/>
      </w:pBdr>
      <w:spacing w:before="100" w:beforeAutospacing="1" w:after="100" w:afterAutospacing="1"/>
      <w:jc w:val="right"/>
    </w:pPr>
    <w:rPr>
      <w:rFonts w:ascii="仿宋_GB2312" w:hAnsi="宋体" w:cs="宋体"/>
      <w:kern w:val="0"/>
      <w:sz w:val="24"/>
      <w:szCs w:val="24"/>
    </w:rPr>
  </w:style>
  <w:style w:type="paragraph" w:customStyle="1" w:styleId="66">
    <w:name w:val="xl127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仿宋_GB2312" w:hAnsi="宋体" w:cs="宋体"/>
      <w:kern w:val="0"/>
      <w:sz w:val="24"/>
      <w:szCs w:val="24"/>
    </w:rPr>
  </w:style>
  <w:style w:type="paragraph" w:customStyle="1" w:styleId="67">
    <w:name w:val="xl1274"/>
    <w:basedOn w:val="1"/>
    <w:qFormat/>
    <w:uiPriority w:val="0"/>
    <w:pPr>
      <w:widowControl/>
      <w:pBdr>
        <w:top w:val="single" w:color="auto" w:sz="4" w:space="0"/>
        <w:bottom w:val="single" w:color="auto" w:sz="4" w:space="0"/>
      </w:pBdr>
      <w:spacing w:before="100" w:beforeAutospacing="1" w:after="100" w:afterAutospacing="1"/>
      <w:jc w:val="center"/>
    </w:pPr>
    <w:rPr>
      <w:rFonts w:ascii="仿宋_GB2312" w:hAnsi="宋体" w:cs="宋体"/>
      <w:kern w:val="0"/>
      <w:sz w:val="24"/>
      <w:szCs w:val="24"/>
    </w:rPr>
  </w:style>
  <w:style w:type="paragraph" w:customStyle="1" w:styleId="68">
    <w:name w:val="xl127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character" w:customStyle="1" w:styleId="69">
    <w:name w:val="日期 Char"/>
    <w:link w:val="11"/>
    <w:qFormat/>
    <w:uiPriority w:val="99"/>
    <w:rPr>
      <w:rFonts w:eastAsia="仿宋_GB2312"/>
      <w:kern w:val="2"/>
      <w:sz w:val="32"/>
    </w:rPr>
  </w:style>
  <w:style w:type="paragraph" w:customStyle="1" w:styleId="70">
    <w:name w:val="xl1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71">
    <w:name w:val="xl1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color w:val="FF0000"/>
      <w:kern w:val="0"/>
      <w:sz w:val="24"/>
      <w:szCs w:val="24"/>
    </w:rPr>
  </w:style>
  <w:style w:type="paragraph" w:customStyle="1" w:styleId="72">
    <w:name w:val="xl1278"/>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仿宋_GB2312" w:hAnsi="宋体" w:cs="宋体"/>
      <w:kern w:val="0"/>
      <w:sz w:val="24"/>
      <w:szCs w:val="24"/>
    </w:rPr>
  </w:style>
  <w:style w:type="paragraph" w:customStyle="1" w:styleId="73">
    <w:name w:val="xl1279"/>
    <w:basedOn w:val="1"/>
    <w:qFormat/>
    <w:uiPriority w:val="0"/>
    <w:pPr>
      <w:widowControl/>
      <w:pBdr>
        <w:top w:val="single" w:color="auto" w:sz="4" w:space="0"/>
        <w:bottom w:val="single" w:color="auto" w:sz="4" w:space="0"/>
      </w:pBdr>
      <w:spacing w:before="100" w:beforeAutospacing="1" w:after="100" w:afterAutospacing="1"/>
      <w:jc w:val="right"/>
    </w:pPr>
    <w:rPr>
      <w:rFonts w:ascii="仿宋_GB2312" w:hAnsi="宋体" w:cs="宋体"/>
      <w:kern w:val="0"/>
      <w:sz w:val="24"/>
      <w:szCs w:val="24"/>
    </w:rPr>
  </w:style>
  <w:style w:type="paragraph" w:customStyle="1" w:styleId="74">
    <w:name w:val="xl128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仿宋_GB2312" w:hAnsi="宋体" w:cs="宋体"/>
      <w:kern w:val="0"/>
      <w:sz w:val="24"/>
      <w:szCs w:val="24"/>
    </w:rPr>
  </w:style>
  <w:style w:type="paragraph" w:customStyle="1" w:styleId="75">
    <w:name w:val="xl1281"/>
    <w:basedOn w:val="1"/>
    <w:qFormat/>
    <w:uiPriority w:val="0"/>
    <w:pPr>
      <w:widowControl/>
      <w:pBdr>
        <w:top w:val="single" w:color="auto" w:sz="4" w:space="0"/>
        <w:bottom w:val="single" w:color="auto" w:sz="4" w:space="0"/>
      </w:pBdr>
      <w:spacing w:before="100" w:beforeAutospacing="1" w:after="100" w:afterAutospacing="1"/>
      <w:jc w:val="center"/>
    </w:pPr>
    <w:rPr>
      <w:rFonts w:ascii="仿宋_GB2312" w:hAnsi="宋体" w:cs="宋体"/>
      <w:kern w:val="0"/>
      <w:sz w:val="24"/>
      <w:szCs w:val="24"/>
    </w:rPr>
  </w:style>
  <w:style w:type="paragraph" w:customStyle="1" w:styleId="76">
    <w:name w:val="xl128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77">
    <w:name w:val="xl7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仿宋_GB2312" w:hAnsi="宋体" w:cs="宋体"/>
      <w:kern w:val="0"/>
      <w:sz w:val="24"/>
      <w:szCs w:val="24"/>
    </w:rPr>
  </w:style>
  <w:style w:type="paragraph" w:customStyle="1" w:styleId="78">
    <w:name w:val="xl72"/>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9">
    <w:name w:val="xl73"/>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8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8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8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color w:val="000000"/>
      <w:kern w:val="0"/>
      <w:sz w:val="24"/>
      <w:szCs w:val="24"/>
    </w:rPr>
  </w:style>
  <w:style w:type="paragraph" w:customStyle="1" w:styleId="8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8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8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cs="宋体"/>
      <w:kern w:val="0"/>
      <w:sz w:val="24"/>
      <w:szCs w:val="24"/>
    </w:rPr>
  </w:style>
  <w:style w:type="paragraph" w:customStyle="1" w:styleId="86">
    <w:name w:val="xl81"/>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87">
    <w:name w:val="xl8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cs="宋体"/>
      <w:kern w:val="0"/>
      <w:sz w:val="24"/>
      <w:szCs w:val="24"/>
    </w:rPr>
  </w:style>
  <w:style w:type="paragraph" w:customStyle="1" w:styleId="89">
    <w:name w:val="xl8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0">
    <w:name w:val="xl8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9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93">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仿宋_GB2312" w:hAnsi="宋体" w:cs="宋体"/>
      <w:kern w:val="0"/>
      <w:sz w:val="24"/>
      <w:szCs w:val="24"/>
    </w:rPr>
  </w:style>
  <w:style w:type="paragraph" w:customStyle="1" w:styleId="94">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仿宋_GB2312" w:hAnsi="宋体" w:cs="宋体"/>
      <w:kern w:val="0"/>
      <w:sz w:val="24"/>
      <w:szCs w:val="24"/>
    </w:rPr>
  </w:style>
  <w:style w:type="paragraph" w:customStyle="1" w:styleId="9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9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仿宋_GB2312" w:hAnsi="宋体" w:cs="宋体"/>
      <w:kern w:val="0"/>
      <w:sz w:val="24"/>
      <w:szCs w:val="24"/>
    </w:rPr>
  </w:style>
  <w:style w:type="paragraph" w:customStyle="1" w:styleId="97">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_GB2312" w:hAnsi="宋体" w:cs="宋体"/>
      <w:kern w:val="0"/>
      <w:sz w:val="24"/>
      <w:szCs w:val="24"/>
    </w:rPr>
  </w:style>
  <w:style w:type="paragraph" w:customStyle="1" w:styleId="98">
    <w:name w:val="xl93"/>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仿宋_GB2312" w:hAnsi="宋体" w:cs="宋体"/>
      <w:kern w:val="0"/>
      <w:sz w:val="24"/>
      <w:szCs w:val="24"/>
    </w:rPr>
  </w:style>
  <w:style w:type="paragraph" w:customStyle="1" w:styleId="99">
    <w:name w:val="xl9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_GB2312" w:hAnsi="宋体" w:cs="宋体"/>
      <w:kern w:val="0"/>
      <w:sz w:val="24"/>
      <w:szCs w:val="24"/>
    </w:rPr>
  </w:style>
  <w:style w:type="paragraph" w:customStyle="1" w:styleId="10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color w:val="000000"/>
      <w:kern w:val="0"/>
      <w:sz w:val="24"/>
      <w:szCs w:val="24"/>
    </w:rPr>
  </w:style>
  <w:style w:type="paragraph" w:customStyle="1" w:styleId="10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10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10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104">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105">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106">
    <w:name w:val="xl101"/>
    <w:basedOn w:val="1"/>
    <w:qFormat/>
    <w:uiPriority w:val="0"/>
    <w:pPr>
      <w:widowControl/>
      <w:spacing w:before="100" w:beforeAutospacing="1" w:after="100" w:afterAutospacing="1"/>
      <w:jc w:val="left"/>
    </w:pPr>
    <w:rPr>
      <w:rFonts w:ascii="仿宋_GB2312" w:hAnsi="宋体" w:cs="宋体"/>
      <w:kern w:val="0"/>
      <w:sz w:val="24"/>
      <w:szCs w:val="24"/>
    </w:rPr>
  </w:style>
  <w:style w:type="paragraph" w:customStyle="1" w:styleId="107">
    <w:name w:val="xl102"/>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仿宋_GB2312" w:hAnsi="宋体" w:cs="宋体"/>
      <w:kern w:val="0"/>
      <w:sz w:val="24"/>
      <w:szCs w:val="24"/>
    </w:rPr>
  </w:style>
  <w:style w:type="paragraph" w:customStyle="1" w:styleId="108">
    <w:name w:val="xl103"/>
    <w:basedOn w:val="1"/>
    <w:qFormat/>
    <w:uiPriority w:val="0"/>
    <w:pPr>
      <w:widowControl/>
      <w:pBdr>
        <w:top w:val="single" w:color="auto" w:sz="4" w:space="0"/>
        <w:bottom w:val="single" w:color="auto" w:sz="4" w:space="0"/>
      </w:pBdr>
      <w:spacing w:before="100" w:beforeAutospacing="1" w:after="100" w:afterAutospacing="1"/>
      <w:jc w:val="right"/>
    </w:pPr>
    <w:rPr>
      <w:rFonts w:ascii="仿宋_GB2312" w:hAnsi="宋体" w:cs="宋体"/>
      <w:kern w:val="0"/>
      <w:sz w:val="24"/>
      <w:szCs w:val="24"/>
    </w:rPr>
  </w:style>
  <w:style w:type="paragraph" w:customStyle="1" w:styleId="10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cs="宋体"/>
      <w:kern w:val="0"/>
      <w:sz w:val="24"/>
      <w:szCs w:val="24"/>
    </w:rPr>
  </w:style>
  <w:style w:type="paragraph" w:customStyle="1" w:styleId="11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11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112">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cs="宋体"/>
      <w:kern w:val="0"/>
      <w:sz w:val="24"/>
      <w:szCs w:val="24"/>
    </w:rPr>
  </w:style>
  <w:style w:type="paragraph" w:customStyle="1" w:styleId="113">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cs="宋体"/>
      <w:color w:val="000000"/>
      <w:kern w:val="0"/>
      <w:sz w:val="24"/>
      <w:szCs w:val="24"/>
    </w:rPr>
  </w:style>
  <w:style w:type="paragraph" w:customStyle="1" w:styleId="114">
    <w:name w:val="xl10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仿宋_GB2312" w:hAnsi="宋体" w:cs="宋体"/>
      <w:kern w:val="0"/>
      <w:sz w:val="24"/>
      <w:szCs w:val="24"/>
    </w:rPr>
  </w:style>
  <w:style w:type="paragraph" w:customStyle="1" w:styleId="115">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116">
    <w:name w:val="xl11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仿宋_GB2312" w:hAnsi="宋体" w:cs="宋体"/>
      <w:kern w:val="0"/>
      <w:sz w:val="24"/>
      <w:szCs w:val="24"/>
    </w:rPr>
  </w:style>
  <w:style w:type="paragraph" w:customStyle="1" w:styleId="117">
    <w:name w:val="xl112"/>
    <w:basedOn w:val="1"/>
    <w:qFormat/>
    <w:uiPriority w:val="0"/>
    <w:pPr>
      <w:widowControl/>
      <w:pBdr>
        <w:top w:val="single" w:color="auto" w:sz="4" w:space="0"/>
        <w:bottom w:val="single" w:color="auto" w:sz="4" w:space="0"/>
      </w:pBdr>
      <w:spacing w:before="100" w:beforeAutospacing="1" w:after="100" w:afterAutospacing="1"/>
      <w:jc w:val="center"/>
    </w:pPr>
    <w:rPr>
      <w:rFonts w:ascii="仿宋_GB2312" w:hAnsi="宋体" w:cs="宋体"/>
      <w:kern w:val="0"/>
      <w:sz w:val="24"/>
      <w:szCs w:val="24"/>
    </w:rPr>
  </w:style>
  <w:style w:type="paragraph" w:customStyle="1" w:styleId="118">
    <w:name w:val="xl11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119">
    <w:name w:val="xl11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仿宋_GB2312" w:hAnsi="宋体" w:cs="宋体"/>
      <w:kern w:val="0"/>
      <w:sz w:val="24"/>
      <w:szCs w:val="24"/>
    </w:rPr>
  </w:style>
  <w:style w:type="paragraph" w:customStyle="1" w:styleId="120">
    <w:name w:val="xl115"/>
    <w:basedOn w:val="1"/>
    <w:qFormat/>
    <w:uiPriority w:val="0"/>
    <w:pPr>
      <w:widowControl/>
      <w:pBdr>
        <w:top w:val="single" w:color="auto" w:sz="4" w:space="0"/>
        <w:bottom w:val="single" w:color="auto" w:sz="4" w:space="0"/>
      </w:pBdr>
      <w:spacing w:before="100" w:beforeAutospacing="1" w:after="100" w:afterAutospacing="1"/>
      <w:jc w:val="center"/>
    </w:pPr>
    <w:rPr>
      <w:rFonts w:ascii="仿宋_GB2312" w:hAnsi="宋体" w:cs="宋体"/>
      <w:kern w:val="0"/>
      <w:sz w:val="24"/>
      <w:szCs w:val="24"/>
    </w:rPr>
  </w:style>
  <w:style w:type="paragraph" w:customStyle="1" w:styleId="121">
    <w:name w:val="xl11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122">
    <w:name w:val="xl117"/>
    <w:basedOn w:val="1"/>
    <w:qFormat/>
    <w:uiPriority w:val="0"/>
    <w:pPr>
      <w:widowControl/>
      <w:pBdr>
        <w:left w:val="single" w:color="auto" w:sz="4" w:space="0"/>
        <w:bottom w:val="single" w:color="auto" w:sz="4" w:space="0"/>
      </w:pBdr>
      <w:spacing w:before="100" w:beforeAutospacing="1" w:after="100" w:afterAutospacing="1"/>
      <w:jc w:val="center"/>
    </w:pPr>
    <w:rPr>
      <w:rFonts w:ascii="仿宋_GB2312" w:hAnsi="宋体" w:cs="宋体"/>
      <w:kern w:val="0"/>
      <w:sz w:val="24"/>
      <w:szCs w:val="24"/>
    </w:rPr>
  </w:style>
  <w:style w:type="paragraph" w:customStyle="1" w:styleId="123">
    <w:name w:val="xl118"/>
    <w:basedOn w:val="1"/>
    <w:qFormat/>
    <w:uiPriority w:val="0"/>
    <w:pPr>
      <w:widowControl/>
      <w:pBdr>
        <w:bottom w:val="single" w:color="auto" w:sz="4" w:space="0"/>
      </w:pBdr>
      <w:spacing w:before="100" w:beforeAutospacing="1" w:after="100" w:afterAutospacing="1"/>
      <w:jc w:val="center"/>
    </w:pPr>
    <w:rPr>
      <w:rFonts w:ascii="仿宋_GB2312" w:hAnsi="宋体" w:cs="宋体"/>
      <w:kern w:val="0"/>
      <w:sz w:val="24"/>
      <w:szCs w:val="24"/>
    </w:rPr>
  </w:style>
  <w:style w:type="paragraph" w:customStyle="1" w:styleId="124">
    <w:name w:val="xl119"/>
    <w:basedOn w:val="1"/>
    <w:qFormat/>
    <w:uiPriority w:val="0"/>
    <w:pPr>
      <w:widowControl/>
      <w:pBdr>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character" w:customStyle="1" w:styleId="125">
    <w:name w:val="文档结构图 Char"/>
    <w:link w:val="7"/>
    <w:qFormat/>
    <w:uiPriority w:val="0"/>
    <w:rPr>
      <w:kern w:val="2"/>
      <w:sz w:val="21"/>
      <w:szCs w:val="24"/>
      <w:shd w:val="clear" w:color="auto" w:fill="000080"/>
    </w:rPr>
  </w:style>
  <w:style w:type="paragraph" w:customStyle="1" w:styleId="126">
    <w:name w:val="font8"/>
    <w:basedOn w:val="1"/>
    <w:qFormat/>
    <w:uiPriority w:val="0"/>
    <w:pPr>
      <w:widowControl/>
      <w:spacing w:before="100" w:beforeAutospacing="1" w:after="100" w:afterAutospacing="1"/>
      <w:jc w:val="left"/>
    </w:pPr>
    <w:rPr>
      <w:rFonts w:eastAsia="宋体"/>
      <w:kern w:val="0"/>
      <w:sz w:val="24"/>
      <w:szCs w:val="24"/>
    </w:rPr>
  </w:style>
  <w:style w:type="paragraph" w:customStyle="1" w:styleId="127">
    <w:name w:val="font9"/>
    <w:basedOn w:val="1"/>
    <w:qFormat/>
    <w:uiPriority w:val="0"/>
    <w:pPr>
      <w:widowControl/>
      <w:spacing w:before="100" w:beforeAutospacing="1" w:after="100" w:afterAutospacing="1"/>
      <w:jc w:val="left"/>
    </w:pPr>
    <w:rPr>
      <w:rFonts w:ascii="仿宋_GB2312" w:hAnsi="宋体" w:cs="宋体"/>
      <w:kern w:val="0"/>
      <w:sz w:val="24"/>
      <w:szCs w:val="24"/>
    </w:rPr>
  </w:style>
  <w:style w:type="paragraph" w:customStyle="1" w:styleId="128">
    <w:name w:val="font1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29">
    <w:name w:val="font11"/>
    <w:basedOn w:val="1"/>
    <w:qFormat/>
    <w:uiPriority w:val="0"/>
    <w:pPr>
      <w:widowControl/>
      <w:spacing w:before="100" w:beforeAutospacing="1" w:after="100" w:afterAutospacing="1"/>
      <w:jc w:val="left"/>
    </w:pPr>
    <w:rPr>
      <w:rFonts w:ascii="仿宋_GB2312" w:hAnsi="宋体" w:cs="宋体"/>
      <w:kern w:val="0"/>
      <w:sz w:val="24"/>
      <w:szCs w:val="24"/>
    </w:rPr>
  </w:style>
  <w:style w:type="paragraph" w:customStyle="1" w:styleId="130">
    <w:name w:val="font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仿宋_GB2312" w:hAnsi="宋体" w:cs="宋体"/>
      <w:kern w:val="0"/>
      <w:sz w:val="24"/>
      <w:szCs w:val="24"/>
    </w:rPr>
  </w:style>
  <w:style w:type="paragraph" w:customStyle="1" w:styleId="132">
    <w:name w:val="Char1"/>
    <w:basedOn w:val="1"/>
    <w:qFormat/>
    <w:uiPriority w:val="0"/>
    <w:pPr>
      <w:widowControl/>
      <w:spacing w:after="160" w:line="240" w:lineRule="exact"/>
      <w:jc w:val="left"/>
    </w:pPr>
  </w:style>
  <w:style w:type="paragraph" w:customStyle="1" w:styleId="133">
    <w:name w:val="xl1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cs="宋体"/>
      <w:kern w:val="0"/>
      <w:sz w:val="24"/>
      <w:szCs w:val="24"/>
    </w:rPr>
  </w:style>
  <w:style w:type="paragraph" w:customStyle="1" w:styleId="134">
    <w:name w:val="_Style 122"/>
    <w:basedOn w:val="1"/>
    <w:next w:val="1"/>
    <w:unhideWhenUsed/>
    <w:qFormat/>
    <w:uiPriority w:val="39"/>
    <w:pPr>
      <w:widowControl/>
      <w:tabs>
        <w:tab w:val="right" w:leader="dot" w:pos="8844"/>
      </w:tabs>
      <w:spacing w:after="100" w:line="276" w:lineRule="auto"/>
      <w:jc w:val="left"/>
    </w:pPr>
    <w:rPr>
      <w:rFonts w:ascii="仿宋_GB2312" w:hAnsi="宋体"/>
      <w:b/>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szdrc\C:\Documents%20and%20Settings\Administrator\Application%20Data\Microsoft\Templates\&#22269;&#26631;&#20844;&#25991;&#27169;&#26495;\A2%20&#20844;&#25991;_&#26222;&#36890;_&#26080;&#32418;&#2283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A2 公文_普通_无红头</Template>
  <Pages>16</Pages>
  <Words>6627</Words>
  <Characters>6654</Characters>
  <Lines>50</Lines>
  <Paragraphs>14</Paragraphs>
  <TotalTime>2</TotalTime>
  <ScaleCrop>false</ScaleCrop>
  <LinksUpToDate>false</LinksUpToDate>
  <CharactersWithSpaces>6719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2021-12-09T12:41:00Z</dcterms:created>
  <dc:creator>汤靖</dc:creator>
  <cp:lastModifiedBy>小陈</cp:lastModifiedBy>
  <cp:lastPrinted>2019-05-28T11:16:00Z</cp:lastPrinted>
  <dcterms:modified xsi:type="dcterms:W3CDTF">2023-01-31T02:51:40Z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CFAAB5B335004EED9483642955E85BA0</vt:lpwstr>
  </property>
</Properties>
</file>