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pageBreakBefore w:val="0"/>
        <w:widowControl w:val="0"/>
        <w:kinsoku/>
        <w:wordWrap/>
        <w:overflowPunct/>
        <w:topLinePunct w:val="0"/>
        <w:autoSpaceDE/>
        <w:autoSpaceDN/>
        <w:bidi w:val="0"/>
        <w:adjustRightInd w:val="0"/>
        <w:snapToGrid w:val="0"/>
        <w:spacing w:line="540" w:lineRule="exact"/>
        <w:ind w:firstLine="640"/>
        <w:textAlignment w:val="auto"/>
      </w:pPr>
      <w:bookmarkStart w:id="0" w:name="_GoBack"/>
      <w:bookmarkEnd w:id="0"/>
    </w:p>
    <w:p>
      <w:pPr>
        <w:pStyle w:val="17"/>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ascii="宋体" w:hAnsi="宋体" w:eastAsia="宋体" w:cs="宋体"/>
          <w:b/>
          <w:bCs w:val="0"/>
          <w:sz w:val="44"/>
        </w:rPr>
      </w:pPr>
      <w:r>
        <w:rPr>
          <w:rFonts w:hint="eastAsia" w:ascii="宋体" w:hAnsi="宋体" w:eastAsia="宋体" w:cs="宋体"/>
          <w:b/>
          <w:bCs w:val="0"/>
          <w:sz w:val="44"/>
        </w:rPr>
        <w:t>深圳市用能预算管理实施方案（试行）</w:t>
      </w:r>
    </w:p>
    <w:p>
      <w:pPr>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eastAsia"/>
          <w:lang w:eastAsia="zh-CN"/>
        </w:rPr>
      </w:pPr>
    </w:p>
    <w:p>
      <w:pPr>
        <w:pageBreakBefore w:val="0"/>
        <w:widowControl w:val="0"/>
        <w:kinsoku/>
        <w:wordWrap/>
        <w:overflowPunct/>
        <w:topLinePunct w:val="0"/>
        <w:autoSpaceDE/>
        <w:autoSpaceDN/>
        <w:bidi w:val="0"/>
        <w:adjustRightInd w:val="0"/>
        <w:snapToGrid w:val="0"/>
        <w:spacing w:line="540" w:lineRule="exact"/>
        <w:ind w:firstLine="640"/>
        <w:jc w:val="both"/>
        <w:textAlignment w:val="auto"/>
      </w:pPr>
      <w:r>
        <w:rPr>
          <w:rFonts w:hint="eastAsia"/>
        </w:rPr>
        <w:t>为贯彻落实党中央、国务院关于完善能耗“双控”制度、推进节能减排工作部署要求，推动科学有序实行用能预算管理、优化能源要素合理配置，确保完成省下达我市的“十四五”能耗双控目标任务，助力</w:t>
      </w:r>
      <w:r>
        <w:rPr>
          <w:rFonts w:hint="eastAsia"/>
          <w:lang w:val="en-US" w:eastAsia="zh-CN"/>
        </w:rPr>
        <w:t>以先行示范标准</w:t>
      </w:r>
      <w:r>
        <w:rPr>
          <w:rFonts w:hint="eastAsia"/>
        </w:rPr>
        <w:t>实现碳达峰</w:t>
      </w:r>
      <w:r>
        <w:rPr>
          <w:rFonts w:hint="eastAsia"/>
          <w:lang w:val="en-US" w:eastAsia="zh-CN"/>
        </w:rPr>
        <w:t>碳中和</w:t>
      </w:r>
      <w:r>
        <w:rPr>
          <w:rFonts w:hint="eastAsia"/>
        </w:rPr>
        <w:t>目标，特制定本方案。</w:t>
      </w:r>
    </w:p>
    <w:p>
      <w:pPr>
        <w:pStyle w:val="17"/>
        <w:keepNext w:val="0"/>
        <w:keepLines w:val="0"/>
        <w:pageBreakBefore w:val="0"/>
        <w:widowControl w:val="0"/>
        <w:kinsoku/>
        <w:wordWrap/>
        <w:overflowPunct/>
        <w:topLinePunct w:val="0"/>
        <w:autoSpaceDE/>
        <w:autoSpaceDN/>
        <w:bidi w:val="0"/>
        <w:adjustRightInd w:val="0"/>
        <w:snapToGrid w:val="0"/>
        <w:spacing w:line="540" w:lineRule="exact"/>
        <w:textAlignment w:val="auto"/>
      </w:pPr>
      <w:r>
        <w:rPr>
          <w:rFonts w:hint="eastAsia"/>
        </w:rPr>
        <w:t>一、总体要求</w:t>
      </w:r>
    </w:p>
    <w:p>
      <w:pPr>
        <w:pStyle w:val="29"/>
        <w:pageBreakBefore w:val="0"/>
        <w:widowControl w:val="0"/>
        <w:kinsoku/>
        <w:wordWrap/>
        <w:overflowPunct/>
        <w:topLinePunct w:val="0"/>
        <w:autoSpaceDE/>
        <w:autoSpaceDN/>
        <w:bidi w:val="0"/>
        <w:adjustRightInd w:val="0"/>
        <w:snapToGrid w:val="0"/>
        <w:spacing w:line="540" w:lineRule="exact"/>
        <w:ind w:firstLine="640"/>
        <w:textAlignment w:val="auto"/>
      </w:pPr>
      <w:r>
        <w:rPr>
          <w:rFonts w:hint="eastAsia"/>
        </w:rPr>
        <w:t>以习近平新时代中国特色社会主义思想为指导，深入贯彻党的十九大和十九届历次全会精神，深入贯彻习近平生态文明思想，立足新发展阶段，完整、准确、全面贯彻新发展理念，构建新发展格局，推动高质量发展。坚持有效市场和有为政府紧密结合，发挥能耗“双控”制度对合理配置能源资源、提高能源利用效率、推动能源绿色低碳转型的激励作用，有效增强能源消费总量管理弹性，构建“节约优先、分级管理、弹性激励”的市、区两级用能预算管理体系，实现高效规范、科学合理用能。</w:t>
      </w:r>
    </w:p>
    <w:p>
      <w:pPr>
        <w:pStyle w:val="17"/>
        <w:keepNext w:val="0"/>
        <w:keepLines w:val="0"/>
        <w:pageBreakBefore w:val="0"/>
        <w:widowControl w:val="0"/>
        <w:kinsoku/>
        <w:wordWrap/>
        <w:overflowPunct/>
        <w:topLinePunct w:val="0"/>
        <w:autoSpaceDE/>
        <w:autoSpaceDN/>
        <w:bidi w:val="0"/>
        <w:adjustRightInd w:val="0"/>
        <w:snapToGrid w:val="0"/>
        <w:spacing w:line="540" w:lineRule="exact"/>
        <w:textAlignment w:val="auto"/>
      </w:pPr>
      <w:r>
        <w:t>二、建立用能预算管理制度</w:t>
      </w:r>
    </w:p>
    <w:p>
      <w:pPr>
        <w:pStyle w:val="29"/>
        <w:pageBreakBefore w:val="0"/>
        <w:widowControl w:val="0"/>
        <w:kinsoku/>
        <w:wordWrap/>
        <w:overflowPunct/>
        <w:topLinePunct w:val="0"/>
        <w:autoSpaceDE/>
        <w:autoSpaceDN/>
        <w:bidi w:val="0"/>
        <w:adjustRightInd w:val="0"/>
        <w:snapToGrid w:val="0"/>
        <w:spacing w:line="540" w:lineRule="exact"/>
        <w:ind w:firstLine="640"/>
        <w:textAlignment w:val="auto"/>
      </w:pPr>
      <w:r>
        <w:rPr>
          <w:rFonts w:hint="eastAsia"/>
        </w:rPr>
        <w:t>市、区发展改革部门会同各行业主管部门开展本级用能预算编制，构建覆盖各主要国民经济行业的“横向”和贯穿固定资产投资全流程的“纵向”用能预算管理体系，加强对用能单位节能改造和用能管理指导。完善重点用能单位与重点用能项目管理台账，每季度统计监测用能执行情况，按用能预算表（详见附</w:t>
      </w:r>
      <w:r>
        <w:rPr>
          <w:rFonts w:hint="eastAsia"/>
          <w:lang w:eastAsia="zh-CN"/>
        </w:rPr>
        <w:t>表</w:t>
      </w:r>
      <w:r>
        <w:rPr>
          <w:rFonts w:hint="eastAsia"/>
        </w:rPr>
        <w:t>）要求登记实际能源消费。</w:t>
      </w:r>
    </w:p>
    <w:p>
      <w:pPr>
        <w:pStyle w:val="18"/>
        <w:pageBreakBefore w:val="0"/>
        <w:widowControl w:val="0"/>
        <w:kinsoku/>
        <w:wordWrap/>
        <w:overflowPunct/>
        <w:topLinePunct w:val="0"/>
        <w:autoSpaceDE/>
        <w:autoSpaceDN/>
        <w:bidi w:val="0"/>
        <w:adjustRightInd w:val="0"/>
        <w:snapToGrid w:val="0"/>
        <w:spacing w:line="540" w:lineRule="exact"/>
        <w:ind w:firstLine="643"/>
        <w:textAlignment w:val="auto"/>
      </w:pPr>
      <w:r>
        <w:rPr>
          <w:rFonts w:hint="eastAsia"/>
        </w:rPr>
        <w:t>（一）用能预算管理范围</w:t>
      </w:r>
    </w:p>
    <w:p>
      <w:pPr>
        <w:pStyle w:val="29"/>
        <w:pageBreakBefore w:val="0"/>
        <w:widowControl w:val="0"/>
        <w:kinsoku/>
        <w:wordWrap/>
        <w:overflowPunct/>
        <w:topLinePunct w:val="0"/>
        <w:autoSpaceDE/>
        <w:autoSpaceDN/>
        <w:bidi w:val="0"/>
        <w:adjustRightInd w:val="0"/>
        <w:snapToGrid w:val="0"/>
        <w:spacing w:line="540" w:lineRule="exact"/>
        <w:ind w:firstLine="640"/>
        <w:textAlignment w:val="auto"/>
      </w:pPr>
      <w:r>
        <w:rPr>
          <w:rFonts w:hint="eastAsia"/>
        </w:rPr>
        <w:t>各区（新区、深汕特别合作区，下同）根据本辖区</w:t>
      </w:r>
      <w:r>
        <w:t>年度和</w:t>
      </w:r>
      <w:r>
        <w:rPr>
          <w:rFonts w:hint="eastAsia"/>
        </w:rPr>
        <w:t>“十四五”能耗双控目标，将重点用能领域、单位和项目纳入用能预算管理。</w:t>
      </w:r>
    </w:p>
    <w:p>
      <w:pPr>
        <w:pStyle w:val="29"/>
        <w:pageBreakBefore w:val="0"/>
        <w:widowControl w:val="0"/>
        <w:kinsoku/>
        <w:wordWrap/>
        <w:overflowPunct/>
        <w:topLinePunct w:val="0"/>
        <w:autoSpaceDE/>
        <w:autoSpaceDN/>
        <w:bidi w:val="0"/>
        <w:adjustRightInd w:val="0"/>
        <w:snapToGrid w:val="0"/>
        <w:spacing w:line="540" w:lineRule="exact"/>
        <w:ind w:firstLine="643"/>
        <w:textAlignment w:val="auto"/>
      </w:pPr>
      <w:r>
        <w:rPr>
          <w:rFonts w:hint="eastAsia"/>
          <w:b/>
        </w:rPr>
        <w:t>1.重点用能领域：</w:t>
      </w:r>
      <w:r>
        <w:rPr>
          <w:rFonts w:hint="eastAsia"/>
        </w:rPr>
        <w:t>工业、交通运输仓储邮政业、非工业交通领域（除工业、交通运输仓储邮政业外的行业和居民生活消费）。</w:t>
      </w:r>
    </w:p>
    <w:p>
      <w:pPr>
        <w:pStyle w:val="29"/>
        <w:pageBreakBefore w:val="0"/>
        <w:widowControl w:val="0"/>
        <w:kinsoku/>
        <w:wordWrap/>
        <w:overflowPunct/>
        <w:topLinePunct w:val="0"/>
        <w:autoSpaceDE/>
        <w:autoSpaceDN/>
        <w:bidi w:val="0"/>
        <w:adjustRightInd w:val="0"/>
        <w:snapToGrid w:val="0"/>
        <w:spacing w:line="540" w:lineRule="exact"/>
        <w:ind w:firstLine="643"/>
        <w:textAlignment w:val="auto"/>
      </w:pPr>
      <w:r>
        <w:rPr>
          <w:rFonts w:hint="eastAsia"/>
          <w:b/>
        </w:rPr>
        <w:t>2.重点用能单位：</w:t>
      </w:r>
      <w:r>
        <w:rPr>
          <w:rFonts w:hint="eastAsia"/>
        </w:rPr>
        <w:t>年综合能源消费量</w:t>
      </w:r>
      <w:r>
        <w:t>1</w:t>
      </w:r>
      <w:r>
        <w:rPr>
          <w:rFonts w:hint="eastAsia"/>
        </w:rPr>
        <w:t>000吨标准煤（当量值，下同）及以上的工业、软件信息服务业、交通运输业、批发零售业等行业用能企业。</w:t>
      </w:r>
    </w:p>
    <w:p>
      <w:pPr>
        <w:pStyle w:val="29"/>
        <w:pageBreakBefore w:val="0"/>
        <w:widowControl w:val="0"/>
        <w:kinsoku/>
        <w:wordWrap/>
        <w:overflowPunct/>
        <w:topLinePunct w:val="0"/>
        <w:autoSpaceDE/>
        <w:autoSpaceDN/>
        <w:bidi w:val="0"/>
        <w:adjustRightInd w:val="0"/>
        <w:snapToGrid w:val="0"/>
        <w:spacing w:line="540" w:lineRule="exact"/>
        <w:ind w:firstLine="643"/>
        <w:textAlignment w:val="auto"/>
      </w:pPr>
      <w:r>
        <w:rPr>
          <w:rFonts w:hint="eastAsia"/>
          <w:b/>
        </w:rPr>
        <w:t>3.重点用能项目：</w:t>
      </w:r>
      <w:r>
        <w:rPr>
          <w:rFonts w:hint="eastAsia"/>
        </w:rPr>
        <w:t>计划建成投产的年综合能源消费量1000吨标准煤及以上（或年综合能源消费量不满</w:t>
      </w:r>
      <w:r>
        <w:t>1000吨标准煤，但</w:t>
      </w:r>
      <w:r>
        <w:rPr>
          <w:rFonts w:hint="eastAsia"/>
        </w:rPr>
        <w:t>年电力消费量满5</w:t>
      </w:r>
      <w:r>
        <w:t>00万千瓦时</w:t>
      </w:r>
      <w:r>
        <w:rPr>
          <w:rFonts w:hint="eastAsia"/>
        </w:rPr>
        <w:t>）的固定资产投资项目。</w:t>
      </w:r>
    </w:p>
    <w:p>
      <w:pPr>
        <w:pStyle w:val="18"/>
        <w:pageBreakBefore w:val="0"/>
        <w:widowControl w:val="0"/>
        <w:kinsoku/>
        <w:wordWrap/>
        <w:overflowPunct/>
        <w:topLinePunct w:val="0"/>
        <w:autoSpaceDE/>
        <w:autoSpaceDN/>
        <w:bidi w:val="0"/>
        <w:adjustRightInd w:val="0"/>
        <w:snapToGrid w:val="0"/>
        <w:spacing w:line="540" w:lineRule="exact"/>
        <w:ind w:firstLine="643"/>
        <w:textAlignment w:val="auto"/>
        <w:rPr>
          <w:rFonts w:hint="default"/>
          <w:lang w:val="en"/>
        </w:rPr>
      </w:pPr>
      <w:r>
        <w:rPr>
          <w:rFonts w:hint="eastAsia"/>
        </w:rPr>
        <w:t>（二）用能预算管理</w:t>
      </w:r>
      <w:r>
        <w:rPr>
          <w:rFonts w:hint="default"/>
          <w:lang w:val="en"/>
        </w:rPr>
        <w:t>主要任务</w:t>
      </w:r>
    </w:p>
    <w:p>
      <w:pPr>
        <w:pStyle w:val="29"/>
        <w:pageBreakBefore w:val="0"/>
        <w:widowControl w:val="0"/>
        <w:kinsoku/>
        <w:wordWrap/>
        <w:overflowPunct/>
        <w:topLinePunct w:val="0"/>
        <w:autoSpaceDE/>
        <w:autoSpaceDN/>
        <w:bidi w:val="0"/>
        <w:adjustRightInd w:val="0"/>
        <w:snapToGrid w:val="0"/>
        <w:spacing w:line="540" w:lineRule="exact"/>
        <w:ind w:firstLine="643"/>
        <w:textAlignment w:val="auto"/>
      </w:pPr>
      <w:r>
        <w:rPr>
          <w:rFonts w:hint="eastAsia"/>
          <w:b/>
          <w:bCs/>
        </w:rPr>
        <w:t>1.年度用能预算供给与实际用能支出总体保持动态平衡。</w:t>
      </w:r>
      <w:r>
        <w:rPr>
          <w:rFonts w:hint="eastAsia"/>
        </w:rPr>
        <w:t>用能预算供给基于辖区上年度能耗总量、本年度能耗强度下降目标以及本年度预期经济增速</w:t>
      </w:r>
      <w:r>
        <w:rPr>
          <w:rFonts w:hint="eastAsia"/>
          <w:lang w:eastAsia="zh-CN"/>
        </w:rPr>
        <w:t>测算</w:t>
      </w:r>
      <w:r>
        <w:rPr>
          <w:rFonts w:hint="default"/>
          <w:lang w:val="en" w:eastAsia="zh-CN"/>
        </w:rPr>
        <w:t>，与用能预算支出取得初步平衡</w:t>
      </w:r>
      <w:r>
        <w:rPr>
          <w:rFonts w:hint="eastAsia"/>
        </w:rPr>
        <w:t>。</w:t>
      </w:r>
      <w:r>
        <w:rPr>
          <w:rFonts w:hint="eastAsia"/>
          <w:lang w:eastAsia="zh-CN"/>
        </w:rPr>
        <w:t>“十四五”期间新增可再生能源电力消费量不纳入能耗总量考核，</w:t>
      </w:r>
      <w:r>
        <w:rPr>
          <w:rFonts w:hint="eastAsia"/>
        </w:rPr>
        <w:t>原料用能和能耗单列项目新增用能不纳入用能预算支出。</w:t>
      </w:r>
    </w:p>
    <w:p>
      <w:pPr>
        <w:pStyle w:val="21"/>
        <w:pageBreakBefore w:val="0"/>
        <w:widowControl w:val="0"/>
        <w:kinsoku/>
        <w:wordWrap/>
        <w:overflowPunct/>
        <w:topLinePunct w:val="0"/>
        <w:autoSpaceDE/>
        <w:autoSpaceDN/>
        <w:bidi w:val="0"/>
        <w:adjustRightInd w:val="0"/>
        <w:snapToGrid w:val="0"/>
        <w:spacing w:line="540" w:lineRule="exact"/>
        <w:ind w:firstLine="643"/>
        <w:textAlignment w:val="auto"/>
        <w:rPr>
          <w:b w:val="0"/>
          <w:bCs w:val="0"/>
        </w:rPr>
      </w:pPr>
      <w:r>
        <w:t>2</w:t>
      </w:r>
      <w:r>
        <w:rPr>
          <w:rFonts w:hint="eastAsia"/>
        </w:rPr>
        <w:t>.</w:t>
      </w:r>
      <w:r>
        <w:rPr>
          <w:rFonts w:hint="eastAsia"/>
          <w:lang w:eastAsia="zh-CN"/>
        </w:rPr>
        <w:t>保障</w:t>
      </w:r>
      <w:r>
        <w:rPr>
          <w:rFonts w:hint="eastAsia"/>
        </w:rPr>
        <w:t>新上项目用能</w:t>
      </w:r>
      <w:r>
        <w:rPr>
          <w:rFonts w:hint="eastAsia"/>
          <w:lang w:eastAsia="zh-CN"/>
        </w:rPr>
        <w:t>需求</w:t>
      </w:r>
      <w:r>
        <w:rPr>
          <w:rFonts w:hint="eastAsia"/>
        </w:rPr>
        <w:t>。</w:t>
      </w:r>
      <w:r>
        <w:rPr>
          <w:rFonts w:hint="eastAsia"/>
          <w:b w:val="0"/>
          <w:bCs w:val="0"/>
        </w:rPr>
        <w:t>建立重点用能项目管理台账，探索开展能耗产出效益评价，</w:t>
      </w:r>
      <w:r>
        <w:rPr>
          <w:rFonts w:hint="eastAsia"/>
          <w:b w:val="0"/>
          <w:bCs w:val="0"/>
          <w:lang w:eastAsia="zh-CN"/>
        </w:rPr>
        <w:t>综合考虑项目能耗规模、单位增加值能耗、能耗产出效益（投资额、就业、税收、民生保障等）、计划建设进度等因素，进行用能指标保障优先级排序登记。对新上</w:t>
      </w:r>
      <w:r>
        <w:rPr>
          <w:rFonts w:hint="eastAsia"/>
          <w:b w:val="0"/>
          <w:bCs w:val="0"/>
        </w:rPr>
        <w:t>居民生活、</w:t>
      </w:r>
      <w:r>
        <w:rPr>
          <w:rFonts w:hint="eastAsia"/>
          <w:b w:val="0"/>
          <w:bCs w:val="0"/>
          <w:lang w:eastAsia="zh-CN"/>
        </w:rPr>
        <w:t>社会</w:t>
      </w:r>
      <w:r>
        <w:rPr>
          <w:rFonts w:hint="eastAsia"/>
          <w:b w:val="0"/>
          <w:bCs w:val="0"/>
        </w:rPr>
        <w:t>事业、</w:t>
      </w:r>
      <w:r>
        <w:rPr>
          <w:rFonts w:hint="eastAsia"/>
          <w:b w:val="0"/>
          <w:bCs w:val="0"/>
          <w:lang w:eastAsia="zh-CN"/>
        </w:rPr>
        <w:t>重大科技基础设施和科研平台</w:t>
      </w:r>
      <w:r>
        <w:rPr>
          <w:rFonts w:hint="eastAsia"/>
          <w:b w:val="0"/>
          <w:bCs w:val="0"/>
        </w:rPr>
        <w:t>以及高成长性战略性新兴产业和未来产业</w:t>
      </w:r>
      <w:r>
        <w:rPr>
          <w:rFonts w:hint="eastAsia"/>
          <w:b w:val="0"/>
          <w:bCs w:val="0"/>
          <w:lang w:eastAsia="zh-CN"/>
        </w:rPr>
        <w:t>类项目</w:t>
      </w:r>
      <w:r>
        <w:rPr>
          <w:rFonts w:hint="eastAsia"/>
          <w:b w:val="0"/>
          <w:bCs w:val="0"/>
        </w:rPr>
        <w:t>，</w:t>
      </w:r>
      <w:r>
        <w:rPr>
          <w:rFonts w:hint="eastAsia"/>
          <w:b w:val="0"/>
          <w:bCs w:val="0"/>
          <w:lang w:eastAsia="zh-CN"/>
        </w:rPr>
        <w:t>积极保障重点</w:t>
      </w:r>
      <w:r>
        <w:rPr>
          <w:rFonts w:hint="eastAsia"/>
          <w:b w:val="0"/>
          <w:bCs w:val="0"/>
        </w:rPr>
        <w:t>项目用能需求。</w:t>
      </w:r>
    </w:p>
    <w:p>
      <w:pPr>
        <w:pStyle w:val="29"/>
        <w:pageBreakBefore w:val="0"/>
        <w:widowControl w:val="0"/>
        <w:kinsoku/>
        <w:wordWrap/>
        <w:overflowPunct/>
        <w:topLinePunct w:val="0"/>
        <w:autoSpaceDE/>
        <w:autoSpaceDN/>
        <w:bidi w:val="0"/>
        <w:adjustRightInd w:val="0"/>
        <w:snapToGrid w:val="0"/>
        <w:spacing w:line="540" w:lineRule="exact"/>
        <w:ind w:firstLine="643"/>
        <w:textAlignment w:val="auto"/>
      </w:pPr>
      <w:r>
        <w:rPr>
          <w:b/>
          <w:bCs/>
        </w:rPr>
        <w:t>3.</w:t>
      </w:r>
      <w:r>
        <w:rPr>
          <w:rFonts w:hint="eastAsia"/>
          <w:b/>
          <w:bCs/>
          <w:lang w:eastAsia="zh-CN"/>
        </w:rPr>
        <w:t>鼓励</w:t>
      </w:r>
      <w:r>
        <w:rPr>
          <w:rFonts w:hint="eastAsia"/>
          <w:b/>
          <w:bCs/>
        </w:rPr>
        <w:t>企业</w:t>
      </w:r>
      <w:r>
        <w:rPr>
          <w:rFonts w:hint="eastAsia"/>
          <w:b/>
          <w:bCs/>
          <w:lang w:eastAsia="zh-CN"/>
        </w:rPr>
        <w:t>拓展</w:t>
      </w:r>
      <w:r>
        <w:rPr>
          <w:rFonts w:hint="eastAsia"/>
          <w:b/>
          <w:bCs/>
        </w:rPr>
        <w:t>用能</w:t>
      </w:r>
      <w:r>
        <w:rPr>
          <w:rFonts w:hint="eastAsia"/>
          <w:b/>
          <w:bCs/>
          <w:lang w:eastAsia="zh-CN"/>
        </w:rPr>
        <w:t>空间</w:t>
      </w:r>
      <w:r>
        <w:rPr>
          <w:rFonts w:hint="eastAsia"/>
          <w:b/>
          <w:bCs/>
        </w:rPr>
        <w:t>。</w:t>
      </w:r>
      <w:r>
        <w:t>建立存量重点用能单位台账</w:t>
      </w:r>
      <w:r>
        <w:rPr>
          <w:rFonts w:hint="eastAsia"/>
        </w:rPr>
        <w:t>，</w:t>
      </w:r>
      <w:r>
        <w:rPr>
          <w:rFonts w:hint="default"/>
          <w:lang w:val="en"/>
        </w:rPr>
        <w:t>登记支出的预算指标原则上与实际产能和能效水平相匹配，</w:t>
      </w:r>
      <w:r>
        <w:rPr>
          <w:rFonts w:hint="eastAsia"/>
          <w:lang w:eastAsia="zh-CN"/>
        </w:rPr>
        <w:t>对于</w:t>
      </w:r>
      <w:r>
        <w:rPr>
          <w:rFonts w:hint="eastAsia"/>
        </w:rPr>
        <w:t>扩大产能、提升能效</w:t>
      </w:r>
      <w:r>
        <w:rPr>
          <w:rFonts w:hint="eastAsia"/>
          <w:lang w:eastAsia="zh-CN"/>
        </w:rPr>
        <w:t>的，给予用能总量激励，对</w:t>
      </w:r>
      <w:r>
        <w:rPr>
          <w:rFonts w:hint="default"/>
          <w:lang w:val="en" w:eastAsia="zh-CN"/>
        </w:rPr>
        <w:t>能耗</w:t>
      </w:r>
      <w:r>
        <w:rPr>
          <w:rFonts w:hint="eastAsia"/>
          <w:lang w:eastAsia="zh-CN"/>
        </w:rPr>
        <w:t>高、排放</w:t>
      </w:r>
      <w:r>
        <w:rPr>
          <w:rFonts w:hint="default"/>
          <w:lang w:val="en" w:eastAsia="zh-CN"/>
        </w:rPr>
        <w:t>高</w:t>
      </w:r>
      <w:r>
        <w:rPr>
          <w:rFonts w:hint="eastAsia"/>
          <w:lang w:eastAsia="zh-CN"/>
        </w:rPr>
        <w:t>、水平</w:t>
      </w:r>
      <w:r>
        <w:rPr>
          <w:rFonts w:hint="default"/>
          <w:lang w:val="en" w:eastAsia="zh-CN"/>
        </w:rPr>
        <w:t>低的，合理确定年度用能总量</w:t>
      </w:r>
      <w:r>
        <w:rPr>
          <w:rFonts w:hint="eastAsia"/>
        </w:rPr>
        <w:t>。</w:t>
      </w:r>
      <w:r>
        <w:rPr>
          <w:rFonts w:hint="default"/>
          <w:lang w:val="en" w:eastAsia="zh-CN"/>
        </w:rPr>
        <w:t>对标</w:t>
      </w:r>
      <w:r>
        <w:rPr>
          <w:rFonts w:hint="eastAsia"/>
          <w:lang w:eastAsia="zh-CN"/>
        </w:rPr>
        <w:t>单位产品能耗限额标准先进值，及高耗能行业重点领域能效标杆水平，</w:t>
      </w:r>
      <w:r>
        <w:rPr>
          <w:rFonts w:hint="eastAsia"/>
        </w:rPr>
        <w:t>组织开展节能诊断、能效对标、节能监察，编制淘汰落后与节能改造项目清单。鼓励重点用能单位</w:t>
      </w:r>
      <w:r>
        <w:rPr>
          <w:rFonts w:hint="eastAsia"/>
          <w:lang w:eastAsia="zh-CN"/>
        </w:rPr>
        <w:t>淘汰落后产能、实施</w:t>
      </w:r>
      <w:r>
        <w:rPr>
          <w:rFonts w:hint="eastAsia"/>
        </w:rPr>
        <w:t>节能</w:t>
      </w:r>
      <w:r>
        <w:rPr>
          <w:rFonts w:hint="eastAsia"/>
          <w:lang w:eastAsia="zh-CN"/>
        </w:rPr>
        <w:t>技术</w:t>
      </w:r>
      <w:r>
        <w:rPr>
          <w:rFonts w:hint="eastAsia"/>
        </w:rPr>
        <w:t>改造</w:t>
      </w:r>
      <w:r>
        <w:rPr>
          <w:rFonts w:hint="eastAsia"/>
          <w:lang w:eastAsia="zh-CN"/>
        </w:rPr>
        <w:t>或能耗减量等量替代，腾出的</w:t>
      </w:r>
      <w:r>
        <w:rPr>
          <w:rFonts w:hint="eastAsia"/>
        </w:rPr>
        <w:t>用能空间</w:t>
      </w:r>
      <w:r>
        <w:rPr>
          <w:rFonts w:hint="default"/>
          <w:lang w:val="en"/>
        </w:rPr>
        <w:t>统筹支持</w:t>
      </w:r>
      <w:r>
        <w:rPr>
          <w:rFonts w:hint="eastAsia"/>
          <w:lang w:eastAsia="zh-CN"/>
        </w:rPr>
        <w:t>用能单位自身发展或者保障地区</w:t>
      </w:r>
      <w:r>
        <w:rPr>
          <w:rFonts w:hint="default"/>
          <w:lang w:val="en" w:eastAsia="zh-CN"/>
        </w:rPr>
        <w:t>新上</w:t>
      </w:r>
      <w:r>
        <w:rPr>
          <w:rFonts w:hint="eastAsia"/>
          <w:lang w:eastAsia="zh-CN"/>
        </w:rPr>
        <w:t>项目用能需求。</w:t>
      </w:r>
      <w:r>
        <w:rPr>
          <w:rFonts w:hint="eastAsia"/>
        </w:rPr>
        <w:t>支持用能单位通过电力市场交易购买可再生能源电力或绿色电力证书。</w:t>
      </w:r>
    </w:p>
    <w:p>
      <w:pPr>
        <w:pStyle w:val="17"/>
        <w:keepNext w:val="0"/>
        <w:keepLines w:val="0"/>
        <w:pageBreakBefore w:val="0"/>
        <w:widowControl w:val="0"/>
        <w:kinsoku/>
        <w:wordWrap/>
        <w:overflowPunct/>
        <w:topLinePunct w:val="0"/>
        <w:autoSpaceDE/>
        <w:autoSpaceDN/>
        <w:bidi w:val="0"/>
        <w:adjustRightInd w:val="0"/>
        <w:snapToGrid w:val="0"/>
        <w:spacing w:line="540" w:lineRule="exact"/>
        <w:textAlignment w:val="auto"/>
      </w:pPr>
      <w:r>
        <w:rPr>
          <w:rFonts w:hint="eastAsia"/>
        </w:rPr>
        <w:t>三、用能预算管理操作流程</w:t>
      </w:r>
    </w:p>
    <w:p>
      <w:pPr>
        <w:pStyle w:val="29"/>
        <w:pageBreakBefore w:val="0"/>
        <w:widowControl w:val="0"/>
        <w:kinsoku/>
        <w:wordWrap/>
        <w:overflowPunct/>
        <w:topLinePunct w:val="0"/>
        <w:autoSpaceDE/>
        <w:autoSpaceDN/>
        <w:bidi w:val="0"/>
        <w:adjustRightInd w:val="0"/>
        <w:snapToGrid w:val="0"/>
        <w:spacing w:line="540" w:lineRule="exact"/>
        <w:ind w:firstLine="643"/>
        <w:textAlignment w:val="auto"/>
        <w:outlineLvl w:val="1"/>
      </w:pPr>
      <w:r>
        <w:rPr>
          <w:rFonts w:hint="eastAsia" w:ascii="楷体_GB2312" w:hAnsi="楷体" w:eastAsia="楷体_GB2312"/>
          <w:b/>
          <w:szCs w:val="32"/>
        </w:rPr>
        <w:t>（一）</w:t>
      </w:r>
      <w:r>
        <w:rPr>
          <w:rFonts w:ascii="楷体_GB2312" w:hAnsi="楷体" w:eastAsia="楷体_GB2312"/>
          <w:b/>
          <w:szCs w:val="32"/>
        </w:rPr>
        <w:t>预算编制</w:t>
      </w:r>
      <w:r>
        <w:rPr>
          <w:rFonts w:hint="eastAsia" w:ascii="楷体_GB2312" w:hAnsi="楷体" w:eastAsia="楷体_GB2312"/>
          <w:b/>
          <w:szCs w:val="32"/>
        </w:rPr>
        <w:t>。</w:t>
      </w:r>
      <w:r>
        <w:rPr>
          <w:rFonts w:hint="eastAsia"/>
        </w:rPr>
        <w:t>各区发展改革部门会同统计和相关行业主管部门，于每年</w:t>
      </w:r>
      <w:r>
        <w:t>10</w:t>
      </w:r>
      <w:r>
        <w:rPr>
          <w:rFonts w:hint="eastAsia"/>
        </w:rPr>
        <w:t>月开展辖区次年预期用能总量以及重点领域、单位和项目用能需求情况测算，形成用能预算方案，并于次年</w:t>
      </w:r>
      <w:r>
        <w:t>2</w:t>
      </w:r>
      <w:r>
        <w:rPr>
          <w:rFonts w:hint="eastAsia"/>
        </w:rPr>
        <w:t>月底前向报市发展改革部门。</w:t>
      </w:r>
    </w:p>
    <w:p>
      <w:pPr>
        <w:pageBreakBefore w:val="0"/>
        <w:widowControl w:val="0"/>
        <w:kinsoku/>
        <w:wordWrap/>
        <w:overflowPunct/>
        <w:topLinePunct w:val="0"/>
        <w:autoSpaceDE/>
        <w:autoSpaceDN/>
        <w:bidi w:val="0"/>
        <w:adjustRightInd w:val="0"/>
        <w:snapToGrid w:val="0"/>
        <w:spacing w:line="540" w:lineRule="exact"/>
        <w:ind w:firstLine="643"/>
        <w:jc w:val="both"/>
        <w:textAlignment w:val="auto"/>
        <w:outlineLvl w:val="1"/>
      </w:pPr>
      <w:r>
        <w:rPr>
          <w:rFonts w:hint="eastAsia" w:ascii="楷体_GB2312" w:hAnsi="楷体" w:eastAsia="楷体_GB2312"/>
          <w:b/>
          <w:szCs w:val="32"/>
        </w:rPr>
        <w:t>（二）预算</w:t>
      </w:r>
      <w:r>
        <w:rPr>
          <w:rFonts w:hint="eastAsia" w:ascii="楷体_GB2312" w:hAnsi="楷体" w:eastAsia="楷体_GB2312"/>
          <w:b/>
          <w:szCs w:val="32"/>
          <w:lang w:eastAsia="zh-CN"/>
        </w:rPr>
        <w:t>备案</w:t>
      </w:r>
      <w:r>
        <w:rPr>
          <w:rFonts w:hint="eastAsia" w:ascii="楷体_GB2312" w:hAnsi="楷体" w:eastAsia="楷体_GB2312"/>
          <w:b/>
          <w:szCs w:val="32"/>
        </w:rPr>
        <w:t>。</w:t>
      </w:r>
      <w:r>
        <w:rPr>
          <w:rFonts w:hint="eastAsia"/>
        </w:rPr>
        <w:t>市发展改革部门根据市政府确定的能耗双控目标，对各区</w:t>
      </w:r>
      <w:r>
        <w:t>年度</w:t>
      </w:r>
      <w:r>
        <w:rPr>
          <w:rFonts w:hint="eastAsia"/>
        </w:rPr>
        <w:t>用能预算方案予以备案。</w:t>
      </w:r>
    </w:p>
    <w:p>
      <w:pPr>
        <w:pageBreakBefore w:val="0"/>
        <w:widowControl w:val="0"/>
        <w:kinsoku/>
        <w:wordWrap/>
        <w:overflowPunct/>
        <w:topLinePunct w:val="0"/>
        <w:autoSpaceDE/>
        <w:autoSpaceDN/>
        <w:bidi w:val="0"/>
        <w:adjustRightInd w:val="0"/>
        <w:snapToGrid w:val="0"/>
        <w:spacing w:line="540" w:lineRule="exact"/>
        <w:ind w:firstLine="643"/>
        <w:jc w:val="both"/>
        <w:textAlignment w:val="auto"/>
        <w:outlineLvl w:val="1"/>
      </w:pPr>
      <w:r>
        <w:rPr>
          <w:rFonts w:hint="eastAsia" w:ascii="楷体_GB2312" w:hAnsi="楷体" w:eastAsia="楷体_GB2312"/>
          <w:b/>
          <w:szCs w:val="32"/>
        </w:rPr>
        <w:t>（三）预算执行。</w:t>
      </w:r>
      <w:r>
        <w:rPr>
          <w:rFonts w:hint="eastAsia"/>
        </w:rPr>
        <w:t>市发展改革部门按季监测各区（新区、深汕特别合作区）用能预算管理方案执行情况。</w:t>
      </w:r>
    </w:p>
    <w:p>
      <w:pPr>
        <w:pageBreakBefore w:val="0"/>
        <w:widowControl w:val="0"/>
        <w:kinsoku/>
        <w:wordWrap/>
        <w:overflowPunct/>
        <w:topLinePunct w:val="0"/>
        <w:autoSpaceDE/>
        <w:autoSpaceDN/>
        <w:bidi w:val="0"/>
        <w:adjustRightInd w:val="0"/>
        <w:snapToGrid w:val="0"/>
        <w:spacing w:line="540" w:lineRule="exact"/>
        <w:ind w:firstLine="643"/>
        <w:jc w:val="both"/>
        <w:textAlignment w:val="auto"/>
        <w:outlineLvl w:val="1"/>
      </w:pPr>
      <w:r>
        <w:rPr>
          <w:rFonts w:hint="eastAsia" w:ascii="楷体_GB2312" w:hAnsi="楷体" w:eastAsia="楷体_GB2312"/>
          <w:b/>
          <w:szCs w:val="32"/>
        </w:rPr>
        <w:t>（四）预算调整。</w:t>
      </w:r>
      <w:r>
        <w:rPr>
          <w:rFonts w:hint="eastAsia"/>
          <w:bCs/>
        </w:rPr>
        <w:t>各</w:t>
      </w:r>
      <w:r>
        <w:rPr>
          <w:rFonts w:hint="eastAsia"/>
        </w:rPr>
        <w:t>区根据实际用能</w:t>
      </w:r>
      <w:r>
        <w:rPr>
          <w:rFonts w:hint="eastAsia"/>
          <w:lang w:eastAsia="zh-CN"/>
        </w:rPr>
        <w:t>和经济增速情况</w:t>
      </w:r>
      <w:r>
        <w:rPr>
          <w:rFonts w:hint="eastAsia"/>
        </w:rPr>
        <w:t>，</w:t>
      </w:r>
      <w:r>
        <w:rPr>
          <w:rFonts w:hint="eastAsia" w:ascii="仿宋_GB2312" w:hAnsi="仿宋_GB2312" w:eastAsia="仿宋_GB2312" w:cs="仿宋_GB2312"/>
          <w:b w:val="0"/>
          <w:bCs/>
          <w:szCs w:val="32"/>
          <w:lang w:eastAsia="zh-CN"/>
        </w:rPr>
        <w:t>按照</w:t>
      </w:r>
      <w:r>
        <w:rPr>
          <w:rFonts w:hint="eastAsia" w:cs="仿宋_GB2312"/>
          <w:b w:val="0"/>
          <w:bCs/>
          <w:szCs w:val="32"/>
          <w:lang w:eastAsia="zh-CN"/>
        </w:rPr>
        <w:t>能源消费总量需求与经济增长相匹配的原则，</w:t>
      </w:r>
      <w:r>
        <w:rPr>
          <w:rFonts w:hint="eastAsia"/>
        </w:rPr>
        <w:t>于每年</w:t>
      </w:r>
      <w:r>
        <w:t>8</w:t>
      </w:r>
      <w:r>
        <w:rPr>
          <w:rFonts w:hint="eastAsia"/>
        </w:rPr>
        <w:t>月底前向市发展改革部门提出年度</w:t>
      </w:r>
      <w:r>
        <w:t>用能预算管理方案</w:t>
      </w:r>
      <w:r>
        <w:rPr>
          <w:rFonts w:hint="eastAsia"/>
        </w:rPr>
        <w:t>调整申请，</w:t>
      </w:r>
      <w:r>
        <w:rPr>
          <w:rFonts w:hint="default"/>
          <w:lang w:val="en"/>
        </w:rPr>
        <w:t>报</w:t>
      </w:r>
      <w:r>
        <w:rPr>
          <w:rFonts w:hint="eastAsia"/>
        </w:rPr>
        <w:t>市发展改革部门</w:t>
      </w:r>
      <w:r>
        <w:rPr>
          <w:rFonts w:hint="eastAsia"/>
          <w:lang w:eastAsia="zh-CN"/>
        </w:rPr>
        <w:t>备案</w:t>
      </w:r>
      <w:r>
        <w:rPr>
          <w:rFonts w:hint="eastAsia"/>
        </w:rPr>
        <w:t>。</w:t>
      </w:r>
    </w:p>
    <w:p>
      <w:pPr>
        <w:pageBreakBefore w:val="0"/>
        <w:widowControl w:val="0"/>
        <w:kinsoku/>
        <w:wordWrap/>
        <w:overflowPunct/>
        <w:topLinePunct w:val="0"/>
        <w:autoSpaceDE/>
        <w:autoSpaceDN/>
        <w:bidi w:val="0"/>
        <w:adjustRightInd w:val="0"/>
        <w:snapToGrid w:val="0"/>
        <w:spacing w:line="540" w:lineRule="exact"/>
        <w:ind w:firstLine="643"/>
        <w:jc w:val="both"/>
        <w:textAlignment w:val="auto"/>
        <w:outlineLvl w:val="1"/>
      </w:pPr>
      <w:r>
        <w:rPr>
          <w:rFonts w:hint="eastAsia" w:ascii="楷体_GB2312" w:hAnsi="楷体" w:eastAsia="楷体_GB2312"/>
          <w:b/>
          <w:szCs w:val="32"/>
        </w:rPr>
        <w:t>（五）预算评价</w:t>
      </w:r>
      <w:r>
        <w:rPr>
          <w:rFonts w:hint="eastAsia"/>
          <w:b/>
        </w:rPr>
        <w:t>。</w:t>
      </w:r>
      <w:r>
        <w:rPr>
          <w:rFonts w:hint="eastAsia"/>
        </w:rPr>
        <w:t>市发展改革部门会同统计和相关行业主管部门，于次年2月底前对各区本年度经</w:t>
      </w:r>
      <w:r>
        <w:rPr>
          <w:rFonts w:hint="eastAsia"/>
          <w:lang w:eastAsia="zh-CN"/>
        </w:rPr>
        <w:t>备案</w:t>
      </w:r>
      <w:r>
        <w:rPr>
          <w:rFonts w:hint="eastAsia"/>
        </w:rPr>
        <w:t>的用能预算管理方案的执行情况进行</w:t>
      </w:r>
      <w:r>
        <w:t>评价</w:t>
      </w:r>
      <w:r>
        <w:rPr>
          <w:rFonts w:hint="eastAsia"/>
        </w:rPr>
        <w:t>，并作为各区制定次年用能预算管理方案的重要依据。</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b w:val="0"/>
        </w:rPr>
      </w:pPr>
      <w:r>
        <w:rPr>
          <w:b w:val="0"/>
        </w:rPr>
        <w:t>四、用能预算管理责任分工</w:t>
      </w:r>
    </w:p>
    <w:p>
      <w:pPr>
        <w:pageBreakBefore w:val="0"/>
        <w:widowControl w:val="0"/>
        <w:kinsoku/>
        <w:wordWrap/>
        <w:overflowPunct/>
        <w:topLinePunct w:val="0"/>
        <w:autoSpaceDE/>
        <w:autoSpaceDN/>
        <w:bidi w:val="0"/>
        <w:adjustRightInd w:val="0"/>
        <w:snapToGrid w:val="0"/>
        <w:spacing w:line="540" w:lineRule="exact"/>
        <w:ind w:firstLine="643"/>
        <w:jc w:val="both"/>
        <w:textAlignment w:val="auto"/>
        <w:outlineLvl w:val="1"/>
        <w:rPr>
          <w:rStyle w:val="30"/>
        </w:rPr>
      </w:pPr>
      <w:r>
        <w:rPr>
          <w:rFonts w:hint="eastAsia" w:ascii="楷体_GB2312" w:hAnsi="楷体" w:eastAsia="楷体_GB2312"/>
          <w:b/>
          <w:szCs w:val="32"/>
        </w:rPr>
        <w:t>（一）发展改革部门</w:t>
      </w:r>
      <w:r>
        <w:rPr>
          <w:rFonts w:ascii="楷体" w:hAnsi="楷体" w:eastAsia="楷体"/>
          <w:b/>
          <w:szCs w:val="32"/>
        </w:rPr>
        <w:t>。</w:t>
      </w:r>
      <w:r>
        <w:rPr>
          <w:rStyle w:val="30"/>
          <w:rFonts w:hint="eastAsia"/>
        </w:rPr>
        <w:t>市发展改革委负责统筹全市用能预算管理，指导各区开展用能预算管理工作；下达</w:t>
      </w:r>
      <w:r>
        <w:rPr>
          <w:rStyle w:val="30"/>
          <w:rFonts w:hint="eastAsia"/>
          <w:lang w:eastAsia="zh-CN"/>
        </w:rPr>
        <w:t>“十四五”</w:t>
      </w:r>
      <w:r>
        <w:rPr>
          <w:rStyle w:val="30"/>
          <w:rFonts w:hint="eastAsia"/>
        </w:rPr>
        <w:t>年度能耗双控目标</w:t>
      </w:r>
      <w:r>
        <w:rPr>
          <w:rStyle w:val="30"/>
          <w:rFonts w:hint="eastAsia"/>
          <w:lang w:eastAsia="zh-CN"/>
        </w:rPr>
        <w:t>并备案</w:t>
      </w:r>
      <w:r>
        <w:rPr>
          <w:rStyle w:val="30"/>
          <w:rFonts w:hint="eastAsia"/>
        </w:rPr>
        <w:t>各区的用能预算方案；组织建</w:t>
      </w:r>
      <w:r>
        <w:rPr>
          <w:rStyle w:val="30"/>
        </w:rPr>
        <w:t>立</w:t>
      </w:r>
      <w:r>
        <w:rPr>
          <w:rStyle w:val="30"/>
          <w:rFonts w:hint="eastAsia"/>
        </w:rPr>
        <w:t>全市能耗在线监测系统与用能预算管理</w:t>
      </w:r>
      <w:r>
        <w:rPr>
          <w:rStyle w:val="30"/>
        </w:rPr>
        <w:t>信息化</w:t>
      </w:r>
      <w:r>
        <w:rPr>
          <w:rStyle w:val="30"/>
          <w:rFonts w:hint="eastAsia"/>
        </w:rPr>
        <w:t>系统。各区发展改革部门负责统筹本辖区用能预算管理，组织编制用能预算方案，建立重点用能项目管理台账，报市发展改革委</w:t>
      </w:r>
      <w:r>
        <w:rPr>
          <w:rStyle w:val="30"/>
          <w:rFonts w:hint="eastAsia"/>
          <w:lang w:eastAsia="zh-CN"/>
        </w:rPr>
        <w:t>备案</w:t>
      </w:r>
      <w:r>
        <w:rPr>
          <w:rStyle w:val="30"/>
          <w:rFonts w:hint="eastAsia"/>
        </w:rPr>
        <w:t>。</w:t>
      </w:r>
    </w:p>
    <w:p>
      <w:pPr>
        <w:pageBreakBefore w:val="0"/>
        <w:widowControl w:val="0"/>
        <w:kinsoku/>
        <w:wordWrap/>
        <w:overflowPunct/>
        <w:topLinePunct w:val="0"/>
        <w:autoSpaceDE/>
        <w:autoSpaceDN/>
        <w:bidi w:val="0"/>
        <w:adjustRightInd w:val="0"/>
        <w:snapToGrid w:val="0"/>
        <w:spacing w:line="540" w:lineRule="exact"/>
        <w:ind w:firstLine="643"/>
        <w:jc w:val="both"/>
        <w:textAlignment w:val="auto"/>
        <w:outlineLvl w:val="1"/>
        <w:rPr>
          <w:rStyle w:val="30"/>
        </w:rPr>
      </w:pPr>
      <w:r>
        <w:rPr>
          <w:rFonts w:hint="eastAsia" w:ascii="楷体_GB2312" w:hAnsi="楷体" w:eastAsia="楷体_GB2312"/>
          <w:b/>
          <w:szCs w:val="32"/>
        </w:rPr>
        <w:t>（二）统计</w:t>
      </w:r>
      <w:r>
        <w:rPr>
          <w:rFonts w:ascii="楷体_GB2312" w:hAnsi="楷体" w:eastAsia="楷体_GB2312"/>
          <w:b/>
          <w:szCs w:val="32"/>
        </w:rPr>
        <w:t>部门</w:t>
      </w:r>
      <w:r>
        <w:rPr>
          <w:rFonts w:hint="eastAsia" w:ascii="楷体" w:hAnsi="楷体" w:eastAsia="楷体"/>
          <w:b/>
          <w:szCs w:val="32"/>
        </w:rPr>
        <w:t>。</w:t>
      </w:r>
      <w:r>
        <w:rPr>
          <w:rStyle w:val="30"/>
          <w:rFonts w:hint="eastAsia"/>
        </w:rPr>
        <w:t>市统计局负责制定各区能源消费总量及各领域能源消费量的统计核算规则，指导区统计部门测算辖区各季度用能总量支出情况，核算各区能源消费总量和强度。区统计部门负责为各区用能预算管理工作提供数据支撑。市、区统计部门配合发展改革部门编制年度用能预算表，提供各领域重点用能单位名单，核实重点用能单位年度用能总量数据。</w:t>
      </w:r>
    </w:p>
    <w:p>
      <w:pPr>
        <w:pageBreakBefore w:val="0"/>
        <w:widowControl w:val="0"/>
        <w:kinsoku/>
        <w:wordWrap/>
        <w:overflowPunct/>
        <w:topLinePunct w:val="0"/>
        <w:autoSpaceDE/>
        <w:autoSpaceDN/>
        <w:bidi w:val="0"/>
        <w:adjustRightInd w:val="0"/>
        <w:snapToGrid w:val="0"/>
        <w:spacing w:line="540" w:lineRule="exact"/>
        <w:ind w:firstLine="643"/>
        <w:jc w:val="both"/>
        <w:textAlignment w:val="auto"/>
        <w:outlineLvl w:val="1"/>
        <w:rPr>
          <w:rStyle w:val="30"/>
        </w:rPr>
      </w:pPr>
      <w:r>
        <w:rPr>
          <w:rFonts w:hint="eastAsia" w:ascii="楷体_GB2312" w:hAnsi="楷体" w:eastAsia="楷体_GB2312"/>
          <w:b/>
          <w:szCs w:val="32"/>
        </w:rPr>
        <w:t>（三）行业主管部门。</w:t>
      </w:r>
      <w:r>
        <w:rPr>
          <w:rStyle w:val="30"/>
          <w:rFonts w:hint="eastAsia"/>
        </w:rPr>
        <w:t>市、区各行业主管部门配合发展改革部门编制用能预算方案，指导本行业重点用能单位开展“十四五”节能诊断、</w:t>
      </w:r>
      <w:r>
        <w:rPr>
          <w:rStyle w:val="30"/>
        </w:rPr>
        <w:t>制定节能改造</w:t>
      </w:r>
      <w:r>
        <w:rPr>
          <w:rStyle w:val="30"/>
          <w:rFonts w:hint="eastAsia"/>
        </w:rPr>
        <w:t>措施和目标任务，编制本行业重点用能单位用能预算表，并采取有效措施保障预算目标的实现。</w:t>
      </w:r>
      <w:r>
        <w:rPr>
          <w:rStyle w:val="30"/>
          <w:rFonts w:hint="eastAsia"/>
          <w:lang w:val="en-US" w:eastAsia="zh-CN"/>
        </w:rPr>
        <w:t>市、区</w:t>
      </w:r>
      <w:r>
        <w:rPr>
          <w:rStyle w:val="30"/>
          <w:rFonts w:hint="eastAsia"/>
        </w:rPr>
        <w:t>工业和信息化部门、交通运输部门、商务部门、住房建设部门、机关事务管理部门分别负责指导工业与软件信息服务业、交通运输（含物流）业、批发零售业、大型公共建筑、公共机构等领域重点用能单位的节能改造和用能管理。</w:t>
      </w:r>
    </w:p>
    <w:p>
      <w:pPr>
        <w:pageBreakBefore w:val="0"/>
        <w:widowControl w:val="0"/>
        <w:kinsoku/>
        <w:wordWrap/>
        <w:overflowPunct/>
        <w:topLinePunct w:val="0"/>
        <w:autoSpaceDE/>
        <w:autoSpaceDN/>
        <w:bidi w:val="0"/>
        <w:adjustRightInd w:val="0"/>
        <w:snapToGrid w:val="0"/>
        <w:spacing w:line="540" w:lineRule="exact"/>
        <w:ind w:firstLine="643"/>
        <w:jc w:val="both"/>
        <w:textAlignment w:val="auto"/>
        <w:outlineLvl w:val="1"/>
      </w:pPr>
      <w:r>
        <w:rPr>
          <w:rFonts w:hint="eastAsia" w:ascii="楷体_GB2312" w:hAnsi="楷体" w:eastAsia="楷体_GB2312"/>
          <w:b/>
          <w:szCs w:val="32"/>
        </w:rPr>
        <w:t>（四）供电</w:t>
      </w:r>
      <w:r>
        <w:rPr>
          <w:rFonts w:hint="eastAsia" w:ascii="楷体_GB2312" w:hAnsi="楷体" w:eastAsia="楷体_GB2312"/>
          <w:b/>
          <w:szCs w:val="32"/>
          <w:lang w:eastAsia="zh-CN"/>
        </w:rPr>
        <w:t>部门</w:t>
      </w:r>
      <w:r>
        <w:rPr>
          <w:rFonts w:hint="eastAsia" w:ascii="楷体_GB2312" w:hAnsi="楷体" w:eastAsia="楷体_GB2312"/>
          <w:b/>
          <w:szCs w:val="32"/>
        </w:rPr>
        <w:t>。</w:t>
      </w:r>
      <w:r>
        <w:rPr>
          <w:rFonts w:hint="eastAsia"/>
        </w:rPr>
        <w:t>市、区供电局配合发展改革部门编制年度用能预算表，提供全市、各区、各重点用能领域用电量数据。市供电局负责统计本市用能单位购入的</w:t>
      </w:r>
      <w:r>
        <w:t>可再生能源电量或绿色电力证书</w:t>
      </w:r>
      <w:r>
        <w:rPr>
          <w:rFonts w:hint="eastAsia"/>
        </w:rPr>
        <w:t>，</w:t>
      </w:r>
      <w:r>
        <w:t>核算全市及各区的可再生能源消纳情况</w:t>
      </w:r>
      <w:r>
        <w:rPr>
          <w:rFonts w:hint="eastAsia"/>
        </w:rPr>
        <w:t>。</w:t>
      </w:r>
    </w:p>
    <w:p>
      <w:pPr>
        <w:pStyle w:val="17"/>
        <w:keepNext w:val="0"/>
        <w:keepLines w:val="0"/>
        <w:pageBreakBefore w:val="0"/>
        <w:widowControl w:val="0"/>
        <w:kinsoku/>
        <w:wordWrap/>
        <w:overflowPunct/>
        <w:topLinePunct w:val="0"/>
        <w:autoSpaceDE/>
        <w:autoSpaceDN/>
        <w:bidi w:val="0"/>
        <w:adjustRightInd w:val="0"/>
        <w:snapToGrid w:val="0"/>
        <w:spacing w:line="540" w:lineRule="exact"/>
        <w:textAlignment w:val="auto"/>
      </w:pPr>
      <w:r>
        <w:t>五</w:t>
      </w:r>
      <w:r>
        <w:rPr>
          <w:rFonts w:hint="eastAsia"/>
        </w:rPr>
        <w:t>、</w:t>
      </w:r>
      <w:r>
        <w:t>保障措施</w:t>
      </w:r>
    </w:p>
    <w:p>
      <w:pPr>
        <w:pStyle w:val="18"/>
        <w:pageBreakBefore w:val="0"/>
        <w:widowControl w:val="0"/>
        <w:kinsoku/>
        <w:wordWrap/>
        <w:overflowPunct/>
        <w:topLinePunct w:val="0"/>
        <w:autoSpaceDE/>
        <w:autoSpaceDN/>
        <w:bidi w:val="0"/>
        <w:adjustRightInd w:val="0"/>
        <w:snapToGrid w:val="0"/>
        <w:spacing w:line="540" w:lineRule="exact"/>
        <w:ind w:firstLine="643"/>
        <w:textAlignment w:val="auto"/>
      </w:pPr>
      <w:r>
        <w:rPr>
          <w:rFonts w:hint="eastAsia"/>
        </w:rPr>
        <w:t>（一）强化技术支撑。</w:t>
      </w:r>
      <w:r>
        <w:rPr>
          <w:rFonts w:hint="eastAsia" w:ascii="仿宋_GB2312" w:eastAsia="仿宋_GB2312" w:hAnsiTheme="minorEastAsia"/>
          <w:b w:val="0"/>
        </w:rPr>
        <w:t>市工业和信息化部门牵头建立节能诊断服务机构推荐名单，</w:t>
      </w:r>
      <w:r>
        <w:rPr>
          <w:rStyle w:val="30"/>
          <w:rFonts w:hint="eastAsia"/>
          <w:b w:val="0"/>
        </w:rPr>
        <w:t>鼓励工业企业、公共建筑、大型园区等借助第三方机构实施深度节能诊断服务工作。鼓励搭建由节能技术装备供应商、节能服务公司、绿色金融机构等构成的综合服务平台，推动综合能源服务、合同能源管理</w:t>
      </w:r>
      <w:r>
        <w:rPr>
          <w:rStyle w:val="30"/>
          <w:b w:val="0"/>
        </w:rPr>
        <w:t>等</w:t>
      </w:r>
      <w:r>
        <w:rPr>
          <w:rStyle w:val="30"/>
          <w:rFonts w:hint="eastAsia"/>
          <w:b w:val="0"/>
        </w:rPr>
        <w:t>项目实施。</w:t>
      </w:r>
    </w:p>
    <w:p>
      <w:pPr>
        <w:pStyle w:val="18"/>
        <w:pageBreakBefore w:val="0"/>
        <w:widowControl w:val="0"/>
        <w:kinsoku/>
        <w:wordWrap/>
        <w:overflowPunct/>
        <w:topLinePunct w:val="0"/>
        <w:autoSpaceDE/>
        <w:autoSpaceDN/>
        <w:bidi w:val="0"/>
        <w:adjustRightInd w:val="0"/>
        <w:snapToGrid w:val="0"/>
        <w:spacing w:line="540" w:lineRule="exact"/>
        <w:ind w:firstLine="643"/>
        <w:textAlignment w:val="auto"/>
      </w:pPr>
      <w:r>
        <w:rPr>
          <w:rFonts w:hint="eastAsia"/>
        </w:rPr>
        <w:t>（二）提升基础能力。</w:t>
      </w:r>
      <w:r>
        <w:rPr>
          <w:rStyle w:val="30"/>
          <w:rFonts w:hint="eastAsia"/>
          <w:b w:val="0"/>
        </w:rPr>
        <w:t>加强能源生产、流通和消费统计，完善能源统计核算和监测方法，建立全市信息化监测与统计管理平台。加快推动重点用能单位能源统计和节能管理的数字化转型，实现能源计量数据在线看、实时看，设备节能控制一键管、智能管。加强节能管理能力建设，推动能源管理专业人才培训和认证，落实重点用能单位能源管理岗位备案。</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850" w:gutter="0"/>
      <w:pgNumType w:start="1"/>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687A5534-37D0-4570-9F37-711E6FFC4665}"/>
  </w:font>
  <w:font w:name="仿宋_GB2312">
    <w:altName w:val="仿宋"/>
    <w:panose1 w:val="02010609030101010101"/>
    <w:charset w:val="86"/>
    <w:family w:val="modern"/>
    <w:pitch w:val="default"/>
    <w:sig w:usb0="00000000" w:usb1="00000000" w:usb2="00000000" w:usb3="00000000" w:csb0="00040000" w:csb1="00000000"/>
    <w:embedRegular r:id="rId2" w:fontKey="{4AFCFBCF-7135-4C9D-8818-C37068819E3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embedRegular r:id="rId3" w:fontKey="{1E248438-F87B-4A55-9CEB-EC56E4CC51F0}"/>
  </w:font>
  <w:font w:name="楷体">
    <w:panose1 w:val="02010609060101010101"/>
    <w:charset w:val="86"/>
    <w:family w:val="auto"/>
    <w:pitch w:val="default"/>
    <w:sig w:usb0="800002BF" w:usb1="38CF7CFA" w:usb2="00000016" w:usb3="00000000" w:csb0="00040001" w:csb1="00000000"/>
    <w:embedRegular r:id="rId4" w:fontKey="{9F5DB0D4-02F2-4440-B31F-920A391137B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spacing w:line="240" w:lineRule="auto"/>
      <w:ind w:firstLine="0" w:firstLineChars="0"/>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0" w:firstLineChars="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ind w:firstLine="0" w:firstLineChars="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10" w:firstLineChars="111"/>
      <w:rPr>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displayBackgroundShape w:val="1"/>
  <w:embedTrueTypeFonts/>
  <w:saveSubsetFonts/>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wYTc4ZmVkZmI1ZWYxMGU3MzVmZDRiNjE2YzkzMjkifQ=="/>
    <w:docVar w:name="KGWebUrl" w:val="http://szoafile.sz.gov.cn//file/download?md5Path=77322f22ddfbeb77d092395f3073f633@34986&amp;webOffice=1&amp;identityId=6E07A52D9E8EA4F0B6CF148145556296&amp;token=7a32ae7ed3ec42d1b603741c6e7fa41c&amp;identityId=6E07A52D9E8EA4F0B6CF148145556296&amp;wjbh=B202204969&amp;hddyid=LCA010001_HD_01&amp;fileSrcName=2022_04_20_11_53_37_ddcba643480d4a7dbfa2d3d6fb0ffafc.docx"/>
  </w:docVars>
  <w:rsids>
    <w:rsidRoot w:val="00172A27"/>
    <w:rsid w:val="00000282"/>
    <w:rsid w:val="00004648"/>
    <w:rsid w:val="00011F8F"/>
    <w:rsid w:val="00012325"/>
    <w:rsid w:val="000145BD"/>
    <w:rsid w:val="00014D14"/>
    <w:rsid w:val="000173F9"/>
    <w:rsid w:val="0002297E"/>
    <w:rsid w:val="00022F5D"/>
    <w:rsid w:val="000230FA"/>
    <w:rsid w:val="00027417"/>
    <w:rsid w:val="000325AB"/>
    <w:rsid w:val="00032833"/>
    <w:rsid w:val="00032DD4"/>
    <w:rsid w:val="0003593F"/>
    <w:rsid w:val="000407B7"/>
    <w:rsid w:val="000409E3"/>
    <w:rsid w:val="000410F5"/>
    <w:rsid w:val="00045123"/>
    <w:rsid w:val="00050FDE"/>
    <w:rsid w:val="000514DF"/>
    <w:rsid w:val="00062671"/>
    <w:rsid w:val="00065E26"/>
    <w:rsid w:val="00070C98"/>
    <w:rsid w:val="000717CA"/>
    <w:rsid w:val="00073573"/>
    <w:rsid w:val="000741BC"/>
    <w:rsid w:val="00074E12"/>
    <w:rsid w:val="0007572F"/>
    <w:rsid w:val="0008052A"/>
    <w:rsid w:val="000826D0"/>
    <w:rsid w:val="0008402A"/>
    <w:rsid w:val="00093F26"/>
    <w:rsid w:val="000947A9"/>
    <w:rsid w:val="000976C9"/>
    <w:rsid w:val="000A35FE"/>
    <w:rsid w:val="000B0E78"/>
    <w:rsid w:val="000C49B5"/>
    <w:rsid w:val="000C4C76"/>
    <w:rsid w:val="000D31DD"/>
    <w:rsid w:val="000D3E5F"/>
    <w:rsid w:val="000D6117"/>
    <w:rsid w:val="000D7543"/>
    <w:rsid w:val="000D7724"/>
    <w:rsid w:val="000E2E0E"/>
    <w:rsid w:val="000E45B4"/>
    <w:rsid w:val="000F6CCD"/>
    <w:rsid w:val="00105581"/>
    <w:rsid w:val="00107164"/>
    <w:rsid w:val="00121EB3"/>
    <w:rsid w:val="001251DC"/>
    <w:rsid w:val="00125607"/>
    <w:rsid w:val="00126573"/>
    <w:rsid w:val="00132691"/>
    <w:rsid w:val="001328B9"/>
    <w:rsid w:val="001345CF"/>
    <w:rsid w:val="00134E73"/>
    <w:rsid w:val="00141185"/>
    <w:rsid w:val="001425E8"/>
    <w:rsid w:val="00142A30"/>
    <w:rsid w:val="0015468C"/>
    <w:rsid w:val="00164619"/>
    <w:rsid w:val="00164BCA"/>
    <w:rsid w:val="00171E9C"/>
    <w:rsid w:val="00172A27"/>
    <w:rsid w:val="00173AE1"/>
    <w:rsid w:val="001758E6"/>
    <w:rsid w:val="00186E5F"/>
    <w:rsid w:val="00190C24"/>
    <w:rsid w:val="00195502"/>
    <w:rsid w:val="00196123"/>
    <w:rsid w:val="00197BB8"/>
    <w:rsid w:val="001A06EF"/>
    <w:rsid w:val="001A3A1C"/>
    <w:rsid w:val="001A6807"/>
    <w:rsid w:val="001B088E"/>
    <w:rsid w:val="001B13C0"/>
    <w:rsid w:val="001B2A12"/>
    <w:rsid w:val="001B4293"/>
    <w:rsid w:val="001C0F9F"/>
    <w:rsid w:val="001C13FB"/>
    <w:rsid w:val="001C40EF"/>
    <w:rsid w:val="001D1443"/>
    <w:rsid w:val="001D3A66"/>
    <w:rsid w:val="001D5C0B"/>
    <w:rsid w:val="001D71F2"/>
    <w:rsid w:val="001D7580"/>
    <w:rsid w:val="001E1BA0"/>
    <w:rsid w:val="001E2D57"/>
    <w:rsid w:val="001E51A9"/>
    <w:rsid w:val="001E67AE"/>
    <w:rsid w:val="001F22D2"/>
    <w:rsid w:val="001F2D6C"/>
    <w:rsid w:val="001F430B"/>
    <w:rsid w:val="001F69C5"/>
    <w:rsid w:val="001F77B1"/>
    <w:rsid w:val="00202E83"/>
    <w:rsid w:val="002067C9"/>
    <w:rsid w:val="0021168E"/>
    <w:rsid w:val="002116C9"/>
    <w:rsid w:val="00213540"/>
    <w:rsid w:val="00224BE0"/>
    <w:rsid w:val="00227FD0"/>
    <w:rsid w:val="0024040B"/>
    <w:rsid w:val="00242190"/>
    <w:rsid w:val="00246AB9"/>
    <w:rsid w:val="002515EC"/>
    <w:rsid w:val="0026182D"/>
    <w:rsid w:val="00261D22"/>
    <w:rsid w:val="00265BB7"/>
    <w:rsid w:val="00266E55"/>
    <w:rsid w:val="002672C2"/>
    <w:rsid w:val="002701B1"/>
    <w:rsid w:val="00276B69"/>
    <w:rsid w:val="0028259E"/>
    <w:rsid w:val="00282B15"/>
    <w:rsid w:val="00284ACB"/>
    <w:rsid w:val="002860D6"/>
    <w:rsid w:val="00287073"/>
    <w:rsid w:val="002A2B8E"/>
    <w:rsid w:val="002A3679"/>
    <w:rsid w:val="002A463B"/>
    <w:rsid w:val="002A5869"/>
    <w:rsid w:val="002A7B12"/>
    <w:rsid w:val="002B3636"/>
    <w:rsid w:val="002C4120"/>
    <w:rsid w:val="002C598F"/>
    <w:rsid w:val="002C6319"/>
    <w:rsid w:val="002D3222"/>
    <w:rsid w:val="002D60C9"/>
    <w:rsid w:val="002E1D92"/>
    <w:rsid w:val="002E33DC"/>
    <w:rsid w:val="002E40AB"/>
    <w:rsid w:val="002E42B5"/>
    <w:rsid w:val="002E5BC2"/>
    <w:rsid w:val="002E6FC4"/>
    <w:rsid w:val="002E6FF8"/>
    <w:rsid w:val="002F330B"/>
    <w:rsid w:val="002F6E73"/>
    <w:rsid w:val="002F7EEF"/>
    <w:rsid w:val="003018FC"/>
    <w:rsid w:val="0030353E"/>
    <w:rsid w:val="0030574C"/>
    <w:rsid w:val="003100A5"/>
    <w:rsid w:val="00310866"/>
    <w:rsid w:val="00311FA4"/>
    <w:rsid w:val="003133A4"/>
    <w:rsid w:val="00321D83"/>
    <w:rsid w:val="00331230"/>
    <w:rsid w:val="00333842"/>
    <w:rsid w:val="00334929"/>
    <w:rsid w:val="0033535A"/>
    <w:rsid w:val="00335A07"/>
    <w:rsid w:val="00336CF7"/>
    <w:rsid w:val="00342F81"/>
    <w:rsid w:val="003457AF"/>
    <w:rsid w:val="0034692D"/>
    <w:rsid w:val="0035406C"/>
    <w:rsid w:val="003549F6"/>
    <w:rsid w:val="003648E8"/>
    <w:rsid w:val="00366680"/>
    <w:rsid w:val="00367924"/>
    <w:rsid w:val="00372985"/>
    <w:rsid w:val="00376A39"/>
    <w:rsid w:val="00376EB7"/>
    <w:rsid w:val="00377907"/>
    <w:rsid w:val="00380F73"/>
    <w:rsid w:val="00386A24"/>
    <w:rsid w:val="003879CC"/>
    <w:rsid w:val="00387E6B"/>
    <w:rsid w:val="0039539C"/>
    <w:rsid w:val="00396212"/>
    <w:rsid w:val="003A06A3"/>
    <w:rsid w:val="003A0C70"/>
    <w:rsid w:val="003A19EF"/>
    <w:rsid w:val="003A1DCB"/>
    <w:rsid w:val="003A3091"/>
    <w:rsid w:val="003A5705"/>
    <w:rsid w:val="003B3643"/>
    <w:rsid w:val="003C16F6"/>
    <w:rsid w:val="003C35DE"/>
    <w:rsid w:val="003C59BF"/>
    <w:rsid w:val="003C5AAB"/>
    <w:rsid w:val="003C70F4"/>
    <w:rsid w:val="003D0CA8"/>
    <w:rsid w:val="003D24FE"/>
    <w:rsid w:val="003E0881"/>
    <w:rsid w:val="003E165D"/>
    <w:rsid w:val="003E4F7D"/>
    <w:rsid w:val="003E7172"/>
    <w:rsid w:val="003F1CC8"/>
    <w:rsid w:val="003F2315"/>
    <w:rsid w:val="003F4C21"/>
    <w:rsid w:val="00405943"/>
    <w:rsid w:val="00407129"/>
    <w:rsid w:val="00417920"/>
    <w:rsid w:val="004225AB"/>
    <w:rsid w:val="004304B7"/>
    <w:rsid w:val="00433693"/>
    <w:rsid w:val="00433884"/>
    <w:rsid w:val="00435BE6"/>
    <w:rsid w:val="00445128"/>
    <w:rsid w:val="00446148"/>
    <w:rsid w:val="0045053E"/>
    <w:rsid w:val="00460B4F"/>
    <w:rsid w:val="00465433"/>
    <w:rsid w:val="0046560C"/>
    <w:rsid w:val="0046707F"/>
    <w:rsid w:val="004706A2"/>
    <w:rsid w:val="0047333C"/>
    <w:rsid w:val="004758F1"/>
    <w:rsid w:val="00477C25"/>
    <w:rsid w:val="00484924"/>
    <w:rsid w:val="00490F30"/>
    <w:rsid w:val="00491BC6"/>
    <w:rsid w:val="00491D35"/>
    <w:rsid w:val="00495FEF"/>
    <w:rsid w:val="00496741"/>
    <w:rsid w:val="004A1737"/>
    <w:rsid w:val="004A3335"/>
    <w:rsid w:val="004A383C"/>
    <w:rsid w:val="004A4AB0"/>
    <w:rsid w:val="004A4E42"/>
    <w:rsid w:val="004A6236"/>
    <w:rsid w:val="004A7792"/>
    <w:rsid w:val="004B0C0F"/>
    <w:rsid w:val="004B3550"/>
    <w:rsid w:val="004B4311"/>
    <w:rsid w:val="004B48A8"/>
    <w:rsid w:val="004B59F9"/>
    <w:rsid w:val="004B794A"/>
    <w:rsid w:val="004C5DE8"/>
    <w:rsid w:val="004C7EF5"/>
    <w:rsid w:val="004D2149"/>
    <w:rsid w:val="004D24B8"/>
    <w:rsid w:val="004D3A71"/>
    <w:rsid w:val="004D4512"/>
    <w:rsid w:val="004D561E"/>
    <w:rsid w:val="004E4B56"/>
    <w:rsid w:val="004E554D"/>
    <w:rsid w:val="004E610B"/>
    <w:rsid w:val="004F0024"/>
    <w:rsid w:val="004F22DF"/>
    <w:rsid w:val="004F3947"/>
    <w:rsid w:val="004F46B2"/>
    <w:rsid w:val="004F494F"/>
    <w:rsid w:val="004F4B42"/>
    <w:rsid w:val="0050279E"/>
    <w:rsid w:val="00502BE0"/>
    <w:rsid w:val="00506523"/>
    <w:rsid w:val="00506B5B"/>
    <w:rsid w:val="005108DA"/>
    <w:rsid w:val="00511565"/>
    <w:rsid w:val="00512AFC"/>
    <w:rsid w:val="00513FAF"/>
    <w:rsid w:val="0051572A"/>
    <w:rsid w:val="00522CFB"/>
    <w:rsid w:val="0052477F"/>
    <w:rsid w:val="00525114"/>
    <w:rsid w:val="005347B6"/>
    <w:rsid w:val="005417AC"/>
    <w:rsid w:val="00541B62"/>
    <w:rsid w:val="00542CC5"/>
    <w:rsid w:val="00543588"/>
    <w:rsid w:val="0054733A"/>
    <w:rsid w:val="00552E10"/>
    <w:rsid w:val="0055351A"/>
    <w:rsid w:val="00553A16"/>
    <w:rsid w:val="00555F0B"/>
    <w:rsid w:val="005601A2"/>
    <w:rsid w:val="00562A60"/>
    <w:rsid w:val="00562E94"/>
    <w:rsid w:val="005640E9"/>
    <w:rsid w:val="00570924"/>
    <w:rsid w:val="00573423"/>
    <w:rsid w:val="005737E7"/>
    <w:rsid w:val="00573C4B"/>
    <w:rsid w:val="00575940"/>
    <w:rsid w:val="00580736"/>
    <w:rsid w:val="0058106B"/>
    <w:rsid w:val="0059388A"/>
    <w:rsid w:val="00594BCC"/>
    <w:rsid w:val="00596F31"/>
    <w:rsid w:val="005A3218"/>
    <w:rsid w:val="005A5C66"/>
    <w:rsid w:val="005A70A9"/>
    <w:rsid w:val="005B0345"/>
    <w:rsid w:val="005B2237"/>
    <w:rsid w:val="005B38C7"/>
    <w:rsid w:val="005B4B0D"/>
    <w:rsid w:val="005B5096"/>
    <w:rsid w:val="005B6124"/>
    <w:rsid w:val="005C1B02"/>
    <w:rsid w:val="005C354B"/>
    <w:rsid w:val="005C3CB5"/>
    <w:rsid w:val="005E66FD"/>
    <w:rsid w:val="005F218F"/>
    <w:rsid w:val="00600982"/>
    <w:rsid w:val="006013B2"/>
    <w:rsid w:val="00601470"/>
    <w:rsid w:val="00602877"/>
    <w:rsid w:val="00612C96"/>
    <w:rsid w:val="00614183"/>
    <w:rsid w:val="0061770A"/>
    <w:rsid w:val="00617D1A"/>
    <w:rsid w:val="00620A42"/>
    <w:rsid w:val="00621011"/>
    <w:rsid w:val="00621FC9"/>
    <w:rsid w:val="00622594"/>
    <w:rsid w:val="006245B1"/>
    <w:rsid w:val="0062635B"/>
    <w:rsid w:val="00627B8D"/>
    <w:rsid w:val="006339F1"/>
    <w:rsid w:val="006360FD"/>
    <w:rsid w:val="00636B63"/>
    <w:rsid w:val="00636D3B"/>
    <w:rsid w:val="00637567"/>
    <w:rsid w:val="00640640"/>
    <w:rsid w:val="00642D57"/>
    <w:rsid w:val="0064480F"/>
    <w:rsid w:val="0065266C"/>
    <w:rsid w:val="00653573"/>
    <w:rsid w:val="00654712"/>
    <w:rsid w:val="006601C9"/>
    <w:rsid w:val="0066028A"/>
    <w:rsid w:val="00660FED"/>
    <w:rsid w:val="00662CA1"/>
    <w:rsid w:val="0066372F"/>
    <w:rsid w:val="006737AE"/>
    <w:rsid w:val="00680E23"/>
    <w:rsid w:val="00684985"/>
    <w:rsid w:val="00686282"/>
    <w:rsid w:val="006867EB"/>
    <w:rsid w:val="00693953"/>
    <w:rsid w:val="0069422C"/>
    <w:rsid w:val="006955AE"/>
    <w:rsid w:val="00695EC1"/>
    <w:rsid w:val="00697F26"/>
    <w:rsid w:val="006A0C08"/>
    <w:rsid w:val="006A4902"/>
    <w:rsid w:val="006A4CFC"/>
    <w:rsid w:val="006A4D33"/>
    <w:rsid w:val="006A5433"/>
    <w:rsid w:val="006B04CD"/>
    <w:rsid w:val="006B433F"/>
    <w:rsid w:val="006B7080"/>
    <w:rsid w:val="006B7F09"/>
    <w:rsid w:val="006D0314"/>
    <w:rsid w:val="006D0C6C"/>
    <w:rsid w:val="006D250F"/>
    <w:rsid w:val="006D7841"/>
    <w:rsid w:val="006D7DC6"/>
    <w:rsid w:val="006E027F"/>
    <w:rsid w:val="006E0712"/>
    <w:rsid w:val="006E2CC3"/>
    <w:rsid w:val="006E3B12"/>
    <w:rsid w:val="006F172E"/>
    <w:rsid w:val="006F397B"/>
    <w:rsid w:val="006F3ACE"/>
    <w:rsid w:val="00705092"/>
    <w:rsid w:val="00705C40"/>
    <w:rsid w:val="00706E4D"/>
    <w:rsid w:val="00707F9A"/>
    <w:rsid w:val="007130C9"/>
    <w:rsid w:val="00713521"/>
    <w:rsid w:val="007141AC"/>
    <w:rsid w:val="00716B58"/>
    <w:rsid w:val="007205EA"/>
    <w:rsid w:val="00725205"/>
    <w:rsid w:val="00740795"/>
    <w:rsid w:val="00742BC5"/>
    <w:rsid w:val="00747EFF"/>
    <w:rsid w:val="0075099E"/>
    <w:rsid w:val="0075167E"/>
    <w:rsid w:val="00751E3D"/>
    <w:rsid w:val="00752228"/>
    <w:rsid w:val="007538DA"/>
    <w:rsid w:val="007556A1"/>
    <w:rsid w:val="007571C0"/>
    <w:rsid w:val="007609F3"/>
    <w:rsid w:val="007702FA"/>
    <w:rsid w:val="00770D18"/>
    <w:rsid w:val="0077322A"/>
    <w:rsid w:val="0077441C"/>
    <w:rsid w:val="00777DD5"/>
    <w:rsid w:val="00785B7D"/>
    <w:rsid w:val="007872CB"/>
    <w:rsid w:val="007874A5"/>
    <w:rsid w:val="007A1457"/>
    <w:rsid w:val="007A5152"/>
    <w:rsid w:val="007A55B2"/>
    <w:rsid w:val="007B0100"/>
    <w:rsid w:val="007B46B2"/>
    <w:rsid w:val="007B5455"/>
    <w:rsid w:val="007B7C7B"/>
    <w:rsid w:val="007C4358"/>
    <w:rsid w:val="007D1C1B"/>
    <w:rsid w:val="007E35E7"/>
    <w:rsid w:val="007E4E33"/>
    <w:rsid w:val="007F0EB3"/>
    <w:rsid w:val="007F4998"/>
    <w:rsid w:val="007F51B0"/>
    <w:rsid w:val="007F6201"/>
    <w:rsid w:val="007F652F"/>
    <w:rsid w:val="007F6530"/>
    <w:rsid w:val="008012DC"/>
    <w:rsid w:val="0080421A"/>
    <w:rsid w:val="008060BD"/>
    <w:rsid w:val="00806BC6"/>
    <w:rsid w:val="008106E9"/>
    <w:rsid w:val="00810F24"/>
    <w:rsid w:val="00813D0E"/>
    <w:rsid w:val="00815FE1"/>
    <w:rsid w:val="00821817"/>
    <w:rsid w:val="00823C44"/>
    <w:rsid w:val="00825625"/>
    <w:rsid w:val="00827E0E"/>
    <w:rsid w:val="008405F0"/>
    <w:rsid w:val="008408D6"/>
    <w:rsid w:val="00840A7B"/>
    <w:rsid w:val="00842318"/>
    <w:rsid w:val="00843149"/>
    <w:rsid w:val="008470F6"/>
    <w:rsid w:val="008473B4"/>
    <w:rsid w:val="00850B75"/>
    <w:rsid w:val="008562E8"/>
    <w:rsid w:val="00857743"/>
    <w:rsid w:val="00857CC3"/>
    <w:rsid w:val="00863370"/>
    <w:rsid w:val="00864A40"/>
    <w:rsid w:val="00865A16"/>
    <w:rsid w:val="00865DE1"/>
    <w:rsid w:val="0087205E"/>
    <w:rsid w:val="00872DFC"/>
    <w:rsid w:val="008815BA"/>
    <w:rsid w:val="008822A0"/>
    <w:rsid w:val="00883503"/>
    <w:rsid w:val="00890482"/>
    <w:rsid w:val="008913AA"/>
    <w:rsid w:val="00892502"/>
    <w:rsid w:val="00896966"/>
    <w:rsid w:val="00896EA4"/>
    <w:rsid w:val="008974D1"/>
    <w:rsid w:val="008A369A"/>
    <w:rsid w:val="008B0C3C"/>
    <w:rsid w:val="008B0DE0"/>
    <w:rsid w:val="008B7066"/>
    <w:rsid w:val="008C75E2"/>
    <w:rsid w:val="008D4969"/>
    <w:rsid w:val="008D496D"/>
    <w:rsid w:val="008D57FE"/>
    <w:rsid w:val="008E1DC3"/>
    <w:rsid w:val="008E26A0"/>
    <w:rsid w:val="008E5563"/>
    <w:rsid w:val="008E5DCA"/>
    <w:rsid w:val="008F18DC"/>
    <w:rsid w:val="008F2206"/>
    <w:rsid w:val="00901141"/>
    <w:rsid w:val="00901ED5"/>
    <w:rsid w:val="00907445"/>
    <w:rsid w:val="0091181F"/>
    <w:rsid w:val="00911C17"/>
    <w:rsid w:val="00911E44"/>
    <w:rsid w:val="0091216D"/>
    <w:rsid w:val="00913E0E"/>
    <w:rsid w:val="00915473"/>
    <w:rsid w:val="00915B63"/>
    <w:rsid w:val="00917309"/>
    <w:rsid w:val="009221F8"/>
    <w:rsid w:val="00924BEE"/>
    <w:rsid w:val="0092575A"/>
    <w:rsid w:val="009265E2"/>
    <w:rsid w:val="00927941"/>
    <w:rsid w:val="00935C57"/>
    <w:rsid w:val="0094104A"/>
    <w:rsid w:val="00942296"/>
    <w:rsid w:val="00955C8C"/>
    <w:rsid w:val="0095625D"/>
    <w:rsid w:val="0095798E"/>
    <w:rsid w:val="00962C68"/>
    <w:rsid w:val="00967FC0"/>
    <w:rsid w:val="0097062C"/>
    <w:rsid w:val="009768C4"/>
    <w:rsid w:val="00976970"/>
    <w:rsid w:val="00986EAD"/>
    <w:rsid w:val="00990A2A"/>
    <w:rsid w:val="0099159F"/>
    <w:rsid w:val="009921F5"/>
    <w:rsid w:val="00996178"/>
    <w:rsid w:val="00996A67"/>
    <w:rsid w:val="00996C8D"/>
    <w:rsid w:val="00997D8B"/>
    <w:rsid w:val="00997E01"/>
    <w:rsid w:val="009A0246"/>
    <w:rsid w:val="009A255A"/>
    <w:rsid w:val="009B111F"/>
    <w:rsid w:val="009B33C6"/>
    <w:rsid w:val="009B6454"/>
    <w:rsid w:val="009B70D5"/>
    <w:rsid w:val="009C1FE5"/>
    <w:rsid w:val="009C2334"/>
    <w:rsid w:val="009D47E1"/>
    <w:rsid w:val="009D4F75"/>
    <w:rsid w:val="009D4F79"/>
    <w:rsid w:val="009D6B13"/>
    <w:rsid w:val="009E5626"/>
    <w:rsid w:val="009F266E"/>
    <w:rsid w:val="009F4376"/>
    <w:rsid w:val="009F58F4"/>
    <w:rsid w:val="009F67DE"/>
    <w:rsid w:val="00A028FD"/>
    <w:rsid w:val="00A02DCE"/>
    <w:rsid w:val="00A03DB0"/>
    <w:rsid w:val="00A06443"/>
    <w:rsid w:val="00A078A3"/>
    <w:rsid w:val="00A10970"/>
    <w:rsid w:val="00A13219"/>
    <w:rsid w:val="00A1559A"/>
    <w:rsid w:val="00A173ED"/>
    <w:rsid w:val="00A20AE5"/>
    <w:rsid w:val="00A23CE4"/>
    <w:rsid w:val="00A25F20"/>
    <w:rsid w:val="00A262DE"/>
    <w:rsid w:val="00A268EE"/>
    <w:rsid w:val="00A26957"/>
    <w:rsid w:val="00A26E91"/>
    <w:rsid w:val="00A274CA"/>
    <w:rsid w:val="00A4004D"/>
    <w:rsid w:val="00A43993"/>
    <w:rsid w:val="00A44E58"/>
    <w:rsid w:val="00A44EA3"/>
    <w:rsid w:val="00A50AD1"/>
    <w:rsid w:val="00A52080"/>
    <w:rsid w:val="00A53305"/>
    <w:rsid w:val="00A53E64"/>
    <w:rsid w:val="00A54941"/>
    <w:rsid w:val="00A56923"/>
    <w:rsid w:val="00A6187B"/>
    <w:rsid w:val="00A73729"/>
    <w:rsid w:val="00A812A6"/>
    <w:rsid w:val="00A92817"/>
    <w:rsid w:val="00A967D6"/>
    <w:rsid w:val="00A96E07"/>
    <w:rsid w:val="00AA2475"/>
    <w:rsid w:val="00AA53A7"/>
    <w:rsid w:val="00AA7E7D"/>
    <w:rsid w:val="00AB10EC"/>
    <w:rsid w:val="00AB1225"/>
    <w:rsid w:val="00AB48AB"/>
    <w:rsid w:val="00AB723A"/>
    <w:rsid w:val="00AC39E7"/>
    <w:rsid w:val="00AC3E7E"/>
    <w:rsid w:val="00AC4D34"/>
    <w:rsid w:val="00AC6A33"/>
    <w:rsid w:val="00AE4A00"/>
    <w:rsid w:val="00AE79DF"/>
    <w:rsid w:val="00AF5462"/>
    <w:rsid w:val="00AF5CEA"/>
    <w:rsid w:val="00B035ED"/>
    <w:rsid w:val="00B06539"/>
    <w:rsid w:val="00B11020"/>
    <w:rsid w:val="00B145CD"/>
    <w:rsid w:val="00B16122"/>
    <w:rsid w:val="00B17478"/>
    <w:rsid w:val="00B21D09"/>
    <w:rsid w:val="00B23603"/>
    <w:rsid w:val="00B26263"/>
    <w:rsid w:val="00B26D08"/>
    <w:rsid w:val="00B2795C"/>
    <w:rsid w:val="00B33DB0"/>
    <w:rsid w:val="00B354DD"/>
    <w:rsid w:val="00B41465"/>
    <w:rsid w:val="00B42FF8"/>
    <w:rsid w:val="00B45708"/>
    <w:rsid w:val="00B46821"/>
    <w:rsid w:val="00B518FF"/>
    <w:rsid w:val="00B547B2"/>
    <w:rsid w:val="00B6384D"/>
    <w:rsid w:val="00B65D80"/>
    <w:rsid w:val="00B67FD2"/>
    <w:rsid w:val="00B72994"/>
    <w:rsid w:val="00B735CC"/>
    <w:rsid w:val="00B75A66"/>
    <w:rsid w:val="00B82822"/>
    <w:rsid w:val="00B8603D"/>
    <w:rsid w:val="00B93026"/>
    <w:rsid w:val="00B95850"/>
    <w:rsid w:val="00BA1179"/>
    <w:rsid w:val="00BA2A0B"/>
    <w:rsid w:val="00BA3BC3"/>
    <w:rsid w:val="00BA3F0F"/>
    <w:rsid w:val="00BA55A9"/>
    <w:rsid w:val="00BA6011"/>
    <w:rsid w:val="00BB3FB8"/>
    <w:rsid w:val="00BB4251"/>
    <w:rsid w:val="00BB4515"/>
    <w:rsid w:val="00BB67D9"/>
    <w:rsid w:val="00BB717F"/>
    <w:rsid w:val="00BC00B7"/>
    <w:rsid w:val="00BC58FB"/>
    <w:rsid w:val="00BC5A39"/>
    <w:rsid w:val="00BD0104"/>
    <w:rsid w:val="00BD680A"/>
    <w:rsid w:val="00BD70F0"/>
    <w:rsid w:val="00BD7C69"/>
    <w:rsid w:val="00BD7EE0"/>
    <w:rsid w:val="00BE1FAC"/>
    <w:rsid w:val="00BE225E"/>
    <w:rsid w:val="00BE5044"/>
    <w:rsid w:val="00BE522C"/>
    <w:rsid w:val="00BE6815"/>
    <w:rsid w:val="00BE731E"/>
    <w:rsid w:val="00BF3348"/>
    <w:rsid w:val="00BF4A59"/>
    <w:rsid w:val="00C0015B"/>
    <w:rsid w:val="00C003E7"/>
    <w:rsid w:val="00C0183E"/>
    <w:rsid w:val="00C03F3D"/>
    <w:rsid w:val="00C066CB"/>
    <w:rsid w:val="00C0679D"/>
    <w:rsid w:val="00C103F8"/>
    <w:rsid w:val="00C112BB"/>
    <w:rsid w:val="00C143FD"/>
    <w:rsid w:val="00C1565D"/>
    <w:rsid w:val="00C172A9"/>
    <w:rsid w:val="00C2099E"/>
    <w:rsid w:val="00C22918"/>
    <w:rsid w:val="00C2341C"/>
    <w:rsid w:val="00C25D60"/>
    <w:rsid w:val="00C26431"/>
    <w:rsid w:val="00C317AD"/>
    <w:rsid w:val="00C32ECA"/>
    <w:rsid w:val="00C33ADF"/>
    <w:rsid w:val="00C35B0E"/>
    <w:rsid w:val="00C370FC"/>
    <w:rsid w:val="00C41D4D"/>
    <w:rsid w:val="00C43165"/>
    <w:rsid w:val="00C46CB1"/>
    <w:rsid w:val="00C52D01"/>
    <w:rsid w:val="00C53402"/>
    <w:rsid w:val="00C56538"/>
    <w:rsid w:val="00C57D89"/>
    <w:rsid w:val="00C63C6A"/>
    <w:rsid w:val="00C659F6"/>
    <w:rsid w:val="00C678B4"/>
    <w:rsid w:val="00C7299A"/>
    <w:rsid w:val="00C81006"/>
    <w:rsid w:val="00C872F1"/>
    <w:rsid w:val="00C87D11"/>
    <w:rsid w:val="00C973D7"/>
    <w:rsid w:val="00CA3326"/>
    <w:rsid w:val="00CA596B"/>
    <w:rsid w:val="00CB078A"/>
    <w:rsid w:val="00CD0227"/>
    <w:rsid w:val="00CD1054"/>
    <w:rsid w:val="00CD106D"/>
    <w:rsid w:val="00CD2150"/>
    <w:rsid w:val="00CD28AE"/>
    <w:rsid w:val="00CE1A78"/>
    <w:rsid w:val="00CE536D"/>
    <w:rsid w:val="00CE6B9F"/>
    <w:rsid w:val="00CE7013"/>
    <w:rsid w:val="00CF0E7A"/>
    <w:rsid w:val="00CF1888"/>
    <w:rsid w:val="00D063A4"/>
    <w:rsid w:val="00D11373"/>
    <w:rsid w:val="00D143A3"/>
    <w:rsid w:val="00D207A4"/>
    <w:rsid w:val="00D232EA"/>
    <w:rsid w:val="00D2417F"/>
    <w:rsid w:val="00D2574F"/>
    <w:rsid w:val="00D257E9"/>
    <w:rsid w:val="00D25806"/>
    <w:rsid w:val="00D40E98"/>
    <w:rsid w:val="00D41D90"/>
    <w:rsid w:val="00D4359F"/>
    <w:rsid w:val="00D45405"/>
    <w:rsid w:val="00D459DE"/>
    <w:rsid w:val="00D51E97"/>
    <w:rsid w:val="00D52A61"/>
    <w:rsid w:val="00D554EC"/>
    <w:rsid w:val="00D62DB8"/>
    <w:rsid w:val="00D64B81"/>
    <w:rsid w:val="00D65658"/>
    <w:rsid w:val="00D70FDB"/>
    <w:rsid w:val="00D7146C"/>
    <w:rsid w:val="00D71F52"/>
    <w:rsid w:val="00D75D7E"/>
    <w:rsid w:val="00D85485"/>
    <w:rsid w:val="00D8716A"/>
    <w:rsid w:val="00D93171"/>
    <w:rsid w:val="00D9506C"/>
    <w:rsid w:val="00D96DA3"/>
    <w:rsid w:val="00D97578"/>
    <w:rsid w:val="00D97703"/>
    <w:rsid w:val="00DA1051"/>
    <w:rsid w:val="00DA6778"/>
    <w:rsid w:val="00DB21C5"/>
    <w:rsid w:val="00DB31B9"/>
    <w:rsid w:val="00DB44EA"/>
    <w:rsid w:val="00DB4A90"/>
    <w:rsid w:val="00DB4D6E"/>
    <w:rsid w:val="00DC0333"/>
    <w:rsid w:val="00DC083F"/>
    <w:rsid w:val="00DC676C"/>
    <w:rsid w:val="00DD0220"/>
    <w:rsid w:val="00DD1969"/>
    <w:rsid w:val="00DD34E0"/>
    <w:rsid w:val="00DD399C"/>
    <w:rsid w:val="00DD3FB0"/>
    <w:rsid w:val="00DD6C6D"/>
    <w:rsid w:val="00DD786F"/>
    <w:rsid w:val="00DE04EB"/>
    <w:rsid w:val="00DE3B70"/>
    <w:rsid w:val="00DE6714"/>
    <w:rsid w:val="00DE755D"/>
    <w:rsid w:val="00DF15DB"/>
    <w:rsid w:val="00DF5419"/>
    <w:rsid w:val="00DF7188"/>
    <w:rsid w:val="00E00673"/>
    <w:rsid w:val="00E012F0"/>
    <w:rsid w:val="00E03383"/>
    <w:rsid w:val="00E12B85"/>
    <w:rsid w:val="00E22485"/>
    <w:rsid w:val="00E315C9"/>
    <w:rsid w:val="00E32E7A"/>
    <w:rsid w:val="00E40E8A"/>
    <w:rsid w:val="00E45159"/>
    <w:rsid w:val="00E472F4"/>
    <w:rsid w:val="00E50D5F"/>
    <w:rsid w:val="00E51DE2"/>
    <w:rsid w:val="00E524DF"/>
    <w:rsid w:val="00E5265D"/>
    <w:rsid w:val="00E607C5"/>
    <w:rsid w:val="00E60979"/>
    <w:rsid w:val="00E61403"/>
    <w:rsid w:val="00E6366C"/>
    <w:rsid w:val="00E667EF"/>
    <w:rsid w:val="00E7264F"/>
    <w:rsid w:val="00E74BF6"/>
    <w:rsid w:val="00E768B2"/>
    <w:rsid w:val="00E7736C"/>
    <w:rsid w:val="00E77AB0"/>
    <w:rsid w:val="00E83873"/>
    <w:rsid w:val="00E83F06"/>
    <w:rsid w:val="00E85008"/>
    <w:rsid w:val="00E86EB0"/>
    <w:rsid w:val="00E93487"/>
    <w:rsid w:val="00E93D35"/>
    <w:rsid w:val="00E94DCD"/>
    <w:rsid w:val="00E9627A"/>
    <w:rsid w:val="00EA0288"/>
    <w:rsid w:val="00EA7E0B"/>
    <w:rsid w:val="00EB353A"/>
    <w:rsid w:val="00EB3739"/>
    <w:rsid w:val="00EB562C"/>
    <w:rsid w:val="00EB5C2F"/>
    <w:rsid w:val="00EB7434"/>
    <w:rsid w:val="00EB7A50"/>
    <w:rsid w:val="00EC1597"/>
    <w:rsid w:val="00EC181D"/>
    <w:rsid w:val="00EC651B"/>
    <w:rsid w:val="00EC6AF1"/>
    <w:rsid w:val="00EC6EC9"/>
    <w:rsid w:val="00EC77F7"/>
    <w:rsid w:val="00ED73F7"/>
    <w:rsid w:val="00ED7A16"/>
    <w:rsid w:val="00EE1546"/>
    <w:rsid w:val="00EE299F"/>
    <w:rsid w:val="00EE33AA"/>
    <w:rsid w:val="00EE5514"/>
    <w:rsid w:val="00EE603D"/>
    <w:rsid w:val="00EF0650"/>
    <w:rsid w:val="00EF3EEF"/>
    <w:rsid w:val="00EF51F9"/>
    <w:rsid w:val="00F02740"/>
    <w:rsid w:val="00F04E9A"/>
    <w:rsid w:val="00F05432"/>
    <w:rsid w:val="00F0642A"/>
    <w:rsid w:val="00F137E2"/>
    <w:rsid w:val="00F148AC"/>
    <w:rsid w:val="00F229E1"/>
    <w:rsid w:val="00F24524"/>
    <w:rsid w:val="00F259BA"/>
    <w:rsid w:val="00F25EB5"/>
    <w:rsid w:val="00F314CE"/>
    <w:rsid w:val="00F33E86"/>
    <w:rsid w:val="00F36701"/>
    <w:rsid w:val="00F36E42"/>
    <w:rsid w:val="00F36FB1"/>
    <w:rsid w:val="00F37B53"/>
    <w:rsid w:val="00F42292"/>
    <w:rsid w:val="00F43EA0"/>
    <w:rsid w:val="00F44C85"/>
    <w:rsid w:val="00F46701"/>
    <w:rsid w:val="00F5415E"/>
    <w:rsid w:val="00F54682"/>
    <w:rsid w:val="00F56710"/>
    <w:rsid w:val="00F57252"/>
    <w:rsid w:val="00F578C8"/>
    <w:rsid w:val="00F6168B"/>
    <w:rsid w:val="00F71A94"/>
    <w:rsid w:val="00F86EC1"/>
    <w:rsid w:val="00F8756F"/>
    <w:rsid w:val="00F87E5A"/>
    <w:rsid w:val="00F9038F"/>
    <w:rsid w:val="00F91FE4"/>
    <w:rsid w:val="00F962D6"/>
    <w:rsid w:val="00F968E0"/>
    <w:rsid w:val="00F975E1"/>
    <w:rsid w:val="00FB4449"/>
    <w:rsid w:val="00FB7F45"/>
    <w:rsid w:val="00FB7FDF"/>
    <w:rsid w:val="00FC0327"/>
    <w:rsid w:val="00FC288F"/>
    <w:rsid w:val="00FD0C9B"/>
    <w:rsid w:val="00FD11B7"/>
    <w:rsid w:val="00FD44BA"/>
    <w:rsid w:val="00FD618B"/>
    <w:rsid w:val="00FE0DA4"/>
    <w:rsid w:val="00FE1DA2"/>
    <w:rsid w:val="00FF01C2"/>
    <w:rsid w:val="00FF02BA"/>
    <w:rsid w:val="00FF02D2"/>
    <w:rsid w:val="00FF1346"/>
    <w:rsid w:val="01B11D31"/>
    <w:rsid w:val="0D467BA4"/>
    <w:rsid w:val="149A2932"/>
    <w:rsid w:val="216960EA"/>
    <w:rsid w:val="269D3D83"/>
    <w:rsid w:val="279D445F"/>
    <w:rsid w:val="2E4E230D"/>
    <w:rsid w:val="35F50611"/>
    <w:rsid w:val="387D349E"/>
    <w:rsid w:val="3B65133A"/>
    <w:rsid w:val="41C9366E"/>
    <w:rsid w:val="439E690E"/>
    <w:rsid w:val="4D0E4F89"/>
    <w:rsid w:val="4E031388"/>
    <w:rsid w:val="50CE54ED"/>
    <w:rsid w:val="52F906D3"/>
    <w:rsid w:val="55687696"/>
    <w:rsid w:val="56410B7C"/>
    <w:rsid w:val="57EB7CEC"/>
    <w:rsid w:val="5BE3ED59"/>
    <w:rsid w:val="5D7F0362"/>
    <w:rsid w:val="5EDD6B09"/>
    <w:rsid w:val="5FC23D1D"/>
    <w:rsid w:val="5FE265FC"/>
    <w:rsid w:val="649F2FAE"/>
    <w:rsid w:val="68E31DDF"/>
    <w:rsid w:val="6E3A739C"/>
    <w:rsid w:val="6FE7C482"/>
    <w:rsid w:val="6FE831FF"/>
    <w:rsid w:val="761F66A8"/>
    <w:rsid w:val="78532FD6"/>
    <w:rsid w:val="797EC8AF"/>
    <w:rsid w:val="7ABFC2BE"/>
    <w:rsid w:val="7B8964D4"/>
    <w:rsid w:val="7BBB955F"/>
    <w:rsid w:val="7BFC9AF3"/>
    <w:rsid w:val="7C502AC3"/>
    <w:rsid w:val="7CDC5B30"/>
    <w:rsid w:val="7E3013A9"/>
    <w:rsid w:val="7EB1BAFB"/>
    <w:rsid w:val="7EF92094"/>
    <w:rsid w:val="7FE10CB3"/>
    <w:rsid w:val="9B3F3CBF"/>
    <w:rsid w:val="BD6F2863"/>
    <w:rsid w:val="BF9DDE96"/>
    <w:rsid w:val="D757436C"/>
    <w:rsid w:val="DF7EE673"/>
    <w:rsid w:val="DFFF05FA"/>
    <w:rsid w:val="E6BF65AC"/>
    <w:rsid w:val="F97B0C06"/>
    <w:rsid w:val="FBFBE6DF"/>
    <w:rsid w:val="FDF7EBB2"/>
    <w:rsid w:val="FF9698C6"/>
    <w:rsid w:val="FFBBA9C0"/>
    <w:rsid w:val="FFDFC99C"/>
    <w:rsid w:val="FFE5CE6A"/>
    <w:rsid w:val="FFF92464"/>
    <w:rsid w:val="FFFBB670"/>
    <w:rsid w:val="FFFFD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pPr>
    <w:rPr>
      <w:rFonts w:ascii="仿宋_GB2312" w:hAnsi="仿宋_GB2312" w:eastAsia="仿宋_GB2312" w:cstheme="minorBidi"/>
      <w:sz w:val="32"/>
      <w:szCs w:val="22"/>
      <w:lang w:val="en-US" w:eastAsia="zh-CN" w:bidi="ar-SA"/>
    </w:rPr>
  </w:style>
  <w:style w:type="paragraph" w:styleId="2">
    <w:name w:val="heading 1"/>
    <w:basedOn w:val="1"/>
    <w:next w:val="1"/>
    <w:link w:val="19"/>
    <w:qFormat/>
    <w:uiPriority w:val="0"/>
    <w:pPr>
      <w:keepNext/>
      <w:keepLines/>
      <w:outlineLvl w:val="0"/>
    </w:pPr>
    <w:rPr>
      <w:rFonts w:ascii="黑体" w:hAnsi="黑体" w:eastAsia="黑体" w:cs="仿宋_GB2312"/>
      <w:b/>
      <w:bCs/>
      <w:kern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7"/>
    <w:qFormat/>
    <w:uiPriority w:val="0"/>
  </w:style>
  <w:style w:type="paragraph" w:styleId="4">
    <w:name w:val="Plain Text"/>
    <w:basedOn w:val="1"/>
    <w:qFormat/>
    <w:uiPriority w:val="0"/>
    <w:rPr>
      <w:rFonts w:ascii="宋体" w:hAnsi="Courier New"/>
      <w:sz w:val="20"/>
      <w:szCs w:val="21"/>
    </w:rPr>
  </w:style>
  <w:style w:type="paragraph" w:styleId="5">
    <w:name w:val="endnote text"/>
    <w:basedOn w:val="1"/>
    <w:link w:val="32"/>
    <w:qFormat/>
    <w:uiPriority w:val="0"/>
  </w:style>
  <w:style w:type="paragraph" w:styleId="6">
    <w:name w:val="Balloon Text"/>
    <w:basedOn w:val="1"/>
    <w:link w:val="24"/>
    <w:qFormat/>
    <w:uiPriority w:val="0"/>
    <w:pPr>
      <w:spacing w:line="240" w:lineRule="auto"/>
    </w:pPr>
    <w:rPr>
      <w:sz w:val="18"/>
      <w:szCs w:val="18"/>
    </w:rPr>
  </w:style>
  <w:style w:type="paragraph" w:styleId="7">
    <w:name w:val="footer"/>
    <w:basedOn w:val="1"/>
    <w:link w:val="31"/>
    <w:qFormat/>
    <w:uiPriority w:val="99"/>
    <w:pPr>
      <w:tabs>
        <w:tab w:val="center" w:pos="4153"/>
        <w:tab w:val="right" w:pos="8306"/>
      </w:tabs>
      <w:spacing w:line="240" w:lineRule="atLeas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jc w:val="both"/>
    </w:pPr>
    <w:rPr>
      <w:sz w:val="18"/>
    </w:rPr>
  </w:style>
  <w:style w:type="paragraph" w:styleId="9">
    <w:name w:val="footnote text"/>
    <w:basedOn w:val="1"/>
    <w:link w:val="33"/>
    <w:qFormat/>
    <w:uiPriority w:val="0"/>
    <w:rPr>
      <w:sz w:val="18"/>
      <w:szCs w:val="18"/>
    </w:rPr>
  </w:style>
  <w:style w:type="paragraph" w:styleId="10">
    <w:name w:val="annotation subject"/>
    <w:basedOn w:val="3"/>
    <w:next w:val="3"/>
    <w:link w:val="28"/>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ndnote reference"/>
    <w:basedOn w:val="13"/>
    <w:qFormat/>
    <w:uiPriority w:val="0"/>
    <w:rPr>
      <w:vertAlign w:val="superscript"/>
    </w:rPr>
  </w:style>
  <w:style w:type="character" w:styleId="15">
    <w:name w:val="annotation reference"/>
    <w:basedOn w:val="13"/>
    <w:qFormat/>
    <w:uiPriority w:val="0"/>
    <w:rPr>
      <w:sz w:val="21"/>
      <w:szCs w:val="21"/>
    </w:rPr>
  </w:style>
  <w:style w:type="character" w:styleId="16">
    <w:name w:val="footnote reference"/>
    <w:basedOn w:val="13"/>
    <w:qFormat/>
    <w:uiPriority w:val="0"/>
    <w:rPr>
      <w:vertAlign w:val="superscript"/>
    </w:rPr>
  </w:style>
  <w:style w:type="paragraph" w:customStyle="1" w:styleId="17">
    <w:name w:val="一级标题"/>
    <w:basedOn w:val="2"/>
    <w:link w:val="20"/>
    <w:qFormat/>
    <w:uiPriority w:val="0"/>
    <w:pPr>
      <w:ind w:firstLine="640"/>
    </w:pPr>
    <w:rPr>
      <w:b w:val="0"/>
    </w:rPr>
  </w:style>
  <w:style w:type="paragraph" w:customStyle="1" w:styleId="18">
    <w:name w:val="二级标题"/>
    <w:basedOn w:val="1"/>
    <w:link w:val="22"/>
    <w:qFormat/>
    <w:uiPriority w:val="0"/>
    <w:pPr>
      <w:jc w:val="both"/>
      <w:outlineLvl w:val="1"/>
    </w:pPr>
    <w:rPr>
      <w:rFonts w:ascii="楷体_GB2312" w:hAnsi="楷体_GB2312" w:eastAsia="楷体_GB2312"/>
      <w:b/>
      <w:bCs/>
      <w:szCs w:val="32"/>
    </w:rPr>
  </w:style>
  <w:style w:type="character" w:customStyle="1" w:styleId="19">
    <w:name w:val="标题 1 字符"/>
    <w:basedOn w:val="13"/>
    <w:link w:val="2"/>
    <w:qFormat/>
    <w:uiPriority w:val="0"/>
    <w:rPr>
      <w:rFonts w:ascii="黑体" w:hAnsi="黑体" w:eastAsia="黑体" w:cs="仿宋_GB2312"/>
      <w:b/>
      <w:bCs/>
      <w:kern w:val="44"/>
      <w:sz w:val="21"/>
      <w:szCs w:val="44"/>
    </w:rPr>
  </w:style>
  <w:style w:type="character" w:customStyle="1" w:styleId="20">
    <w:name w:val="一级标题 Char"/>
    <w:basedOn w:val="19"/>
    <w:link w:val="17"/>
    <w:qFormat/>
    <w:uiPriority w:val="0"/>
    <w:rPr>
      <w:rFonts w:ascii="黑体" w:hAnsi="黑体" w:eastAsia="黑体" w:cs="仿宋_GB2312"/>
      <w:b w:val="0"/>
      <w:kern w:val="44"/>
      <w:sz w:val="32"/>
      <w:szCs w:val="44"/>
    </w:rPr>
  </w:style>
  <w:style w:type="paragraph" w:customStyle="1" w:styleId="21">
    <w:name w:val="三级标题"/>
    <w:basedOn w:val="1"/>
    <w:link w:val="23"/>
    <w:qFormat/>
    <w:uiPriority w:val="0"/>
    <w:pPr>
      <w:outlineLvl w:val="2"/>
    </w:pPr>
    <w:rPr>
      <w:b/>
      <w:bCs/>
    </w:rPr>
  </w:style>
  <w:style w:type="character" w:customStyle="1" w:styleId="22">
    <w:name w:val="二级标题 Char"/>
    <w:basedOn w:val="13"/>
    <w:link w:val="18"/>
    <w:qFormat/>
    <w:uiPriority w:val="0"/>
    <w:rPr>
      <w:rFonts w:ascii="楷体_GB2312" w:hAnsi="楷体_GB2312" w:eastAsia="楷体_GB2312"/>
      <w:b/>
      <w:bCs/>
      <w:sz w:val="32"/>
      <w:szCs w:val="32"/>
    </w:rPr>
  </w:style>
  <w:style w:type="character" w:customStyle="1" w:styleId="23">
    <w:name w:val="三级标题 Char"/>
    <w:basedOn w:val="13"/>
    <w:link w:val="21"/>
    <w:qFormat/>
    <w:uiPriority w:val="0"/>
    <w:rPr>
      <w:rFonts w:ascii="仿宋_GB2312" w:hAnsi="仿宋_GB2312" w:eastAsia="仿宋_GB2312"/>
      <w:b/>
      <w:bCs/>
      <w:sz w:val="32"/>
      <w:szCs w:val="22"/>
    </w:rPr>
  </w:style>
  <w:style w:type="character" w:customStyle="1" w:styleId="24">
    <w:name w:val="批注框文本 字符"/>
    <w:basedOn w:val="13"/>
    <w:link w:val="6"/>
    <w:qFormat/>
    <w:uiPriority w:val="0"/>
    <w:rPr>
      <w:rFonts w:ascii="仿宋_GB2312" w:hAnsi="仿宋_GB2312" w:eastAsia="仿宋_GB2312"/>
      <w:sz w:val="18"/>
      <w:szCs w:val="18"/>
    </w:rPr>
  </w:style>
  <w:style w:type="paragraph" w:customStyle="1" w:styleId="25">
    <w:name w:val="黑体"/>
    <w:basedOn w:val="1"/>
    <w:link w:val="26"/>
    <w:qFormat/>
    <w:uiPriority w:val="0"/>
    <w:rPr>
      <w:rFonts w:ascii="黑体" w:hAnsi="黑体" w:eastAsia="黑体"/>
    </w:rPr>
  </w:style>
  <w:style w:type="character" w:customStyle="1" w:styleId="26">
    <w:name w:val="黑体 Char"/>
    <w:basedOn w:val="13"/>
    <w:link w:val="25"/>
    <w:qFormat/>
    <w:uiPriority w:val="0"/>
    <w:rPr>
      <w:rFonts w:ascii="黑体" w:hAnsi="黑体" w:eastAsia="黑体"/>
      <w:sz w:val="32"/>
      <w:szCs w:val="22"/>
    </w:rPr>
  </w:style>
  <w:style w:type="character" w:customStyle="1" w:styleId="27">
    <w:name w:val="批注文字 字符"/>
    <w:basedOn w:val="13"/>
    <w:link w:val="3"/>
    <w:qFormat/>
    <w:uiPriority w:val="0"/>
    <w:rPr>
      <w:rFonts w:ascii="仿宋_GB2312" w:hAnsi="仿宋_GB2312" w:eastAsia="仿宋_GB2312"/>
      <w:sz w:val="32"/>
      <w:szCs w:val="22"/>
    </w:rPr>
  </w:style>
  <w:style w:type="character" w:customStyle="1" w:styleId="28">
    <w:name w:val="批注主题 字符"/>
    <w:basedOn w:val="27"/>
    <w:link w:val="10"/>
    <w:qFormat/>
    <w:uiPriority w:val="0"/>
    <w:rPr>
      <w:rFonts w:ascii="仿宋_GB2312" w:hAnsi="仿宋_GB2312" w:eastAsia="仿宋_GB2312"/>
      <w:b/>
      <w:bCs/>
      <w:sz w:val="32"/>
      <w:szCs w:val="22"/>
    </w:rPr>
  </w:style>
  <w:style w:type="paragraph" w:customStyle="1" w:styleId="29">
    <w:name w:val="【正文】"/>
    <w:basedOn w:val="1"/>
    <w:link w:val="30"/>
    <w:qFormat/>
    <w:uiPriority w:val="0"/>
    <w:pPr>
      <w:jc w:val="both"/>
    </w:pPr>
  </w:style>
  <w:style w:type="character" w:customStyle="1" w:styleId="30">
    <w:name w:val="【正文】 Char"/>
    <w:basedOn w:val="13"/>
    <w:link w:val="29"/>
    <w:qFormat/>
    <w:uiPriority w:val="0"/>
    <w:rPr>
      <w:rFonts w:ascii="仿宋_GB2312" w:hAnsi="仿宋_GB2312" w:eastAsia="仿宋_GB2312"/>
      <w:sz w:val="32"/>
      <w:szCs w:val="22"/>
    </w:rPr>
  </w:style>
  <w:style w:type="character" w:customStyle="1" w:styleId="31">
    <w:name w:val="页脚 字符"/>
    <w:basedOn w:val="13"/>
    <w:link w:val="7"/>
    <w:qFormat/>
    <w:uiPriority w:val="99"/>
    <w:rPr>
      <w:rFonts w:ascii="仿宋_GB2312" w:hAnsi="仿宋_GB2312" w:eastAsia="仿宋_GB2312"/>
      <w:sz w:val="18"/>
      <w:szCs w:val="18"/>
    </w:rPr>
  </w:style>
  <w:style w:type="character" w:customStyle="1" w:styleId="32">
    <w:name w:val="尾注文本 字符"/>
    <w:basedOn w:val="13"/>
    <w:link w:val="5"/>
    <w:qFormat/>
    <w:uiPriority w:val="0"/>
    <w:rPr>
      <w:rFonts w:ascii="仿宋_GB2312" w:hAnsi="仿宋_GB2312" w:eastAsia="仿宋_GB2312"/>
      <w:sz w:val="32"/>
      <w:szCs w:val="22"/>
    </w:rPr>
  </w:style>
  <w:style w:type="character" w:customStyle="1" w:styleId="33">
    <w:name w:val="脚注文本 字符"/>
    <w:basedOn w:val="13"/>
    <w:link w:val="9"/>
    <w:qFormat/>
    <w:uiPriority w:val="0"/>
    <w:rPr>
      <w:rFonts w:ascii="仿宋_GB2312" w:hAnsi="仿宋_GB2312" w:eastAsia="仿宋_GB2312"/>
      <w:sz w:val="18"/>
      <w:szCs w:val="18"/>
    </w:rPr>
  </w:style>
  <w:style w:type="paragraph" w:customStyle="1" w:styleId="34">
    <w:name w:val="修订1"/>
    <w:hidden/>
    <w:semiHidden/>
    <w:qFormat/>
    <w:uiPriority w:val="99"/>
    <w:rPr>
      <w:rFonts w:ascii="仿宋_GB2312" w:hAnsi="仿宋_GB2312" w:eastAsia="仿宋_GB2312" w:cstheme="minorBidi"/>
      <w:sz w:val="32"/>
      <w:szCs w:val="22"/>
      <w:lang w:val="en-US" w:eastAsia="zh-CN" w:bidi="ar-SA"/>
    </w:rPr>
  </w:style>
  <w:style w:type="paragraph" w:customStyle="1" w:styleId="35">
    <w:name w:val="Revision"/>
    <w:hidden/>
    <w:semiHidden/>
    <w:qFormat/>
    <w:uiPriority w:val="99"/>
    <w:rPr>
      <w:rFonts w:ascii="仿宋_GB2312" w:hAnsi="仿宋_GB2312" w:eastAsia="仿宋_GB2312" w:cstheme="minorBidi"/>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421</Words>
  <Characters>2403</Characters>
  <Lines>20</Lines>
  <Paragraphs>5</Paragraphs>
  <TotalTime>15</TotalTime>
  <ScaleCrop>false</ScaleCrop>
  <LinksUpToDate>false</LinksUpToDate>
  <CharactersWithSpaces>2819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2022-06-15T12:50:00Z</dcterms:created>
  <dc:creator>王卿玮</dc:creator>
  <cp:lastModifiedBy>WPS_1581317969</cp:lastModifiedBy>
  <cp:lastPrinted>2022-06-19T03:12:00Z</cp:lastPrinted>
  <dcterms:modified xsi:type="dcterms:W3CDTF">2022-11-23T07:30:11Z</dcterms:modified>
  <dc:title>深圳市用能预算管理实施方案（试行）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10FCBFD366034F9D86C6BB7D9F5544C5</vt:lpwstr>
  </property>
</Properties>
</file>