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宋体" w:cs="Arial"/>
          <w:b/>
          <w:bCs/>
          <w:sz w:val="44"/>
          <w:szCs w:val="44"/>
        </w:rPr>
      </w:pPr>
    </w:p>
    <w:p>
      <w:pPr>
        <w:adjustRightInd w:val="0"/>
        <w:snapToGrid w:val="0"/>
        <w:rPr>
          <w:rFonts w:ascii="仿宋_GB2312" w:hAnsi="宋体" w:cs="Arial"/>
          <w:b/>
          <w:bCs/>
          <w:sz w:val="44"/>
          <w:szCs w:val="44"/>
        </w:rPr>
      </w:pPr>
    </w:p>
    <w:p>
      <w:pPr>
        <w:adjustRightInd w:val="0"/>
        <w:snapToGrid w:val="0"/>
        <w:jc w:val="center"/>
        <w:rPr>
          <w:rFonts w:ascii="仿宋_GB2312" w:hAnsi="宋体" w:cs="Arial"/>
          <w:b/>
          <w:bCs/>
          <w:sz w:val="36"/>
          <w:szCs w:val="36"/>
        </w:rPr>
      </w:pPr>
      <w:r>
        <w:rPr>
          <w:rFonts w:hint="eastAsia" w:ascii="仿宋_GB2312" w:hAnsi="宋体" w:cs="Arial"/>
          <w:b/>
          <w:bCs/>
          <w:sz w:val="36"/>
          <w:szCs w:val="36"/>
        </w:rPr>
        <w:t>新发展格局下深圳打造算力经济“双循环”</w:t>
      </w:r>
    </w:p>
    <w:p>
      <w:pPr>
        <w:adjustRightInd w:val="0"/>
        <w:snapToGrid w:val="0"/>
        <w:jc w:val="center"/>
        <w:rPr>
          <w:rFonts w:ascii="仿宋_GB2312" w:hAnsi="宋体" w:cs="Arial"/>
          <w:b/>
          <w:bCs/>
          <w:sz w:val="36"/>
          <w:szCs w:val="36"/>
        </w:rPr>
      </w:pPr>
      <w:r>
        <w:rPr>
          <w:rFonts w:hint="eastAsia" w:ascii="仿宋_GB2312" w:hAnsi="宋体" w:cs="Arial"/>
          <w:b/>
          <w:bCs/>
          <w:sz w:val="36"/>
          <w:szCs w:val="36"/>
        </w:rPr>
        <w:t>战略枢纽的路径研究课题项目</w:t>
      </w:r>
    </w:p>
    <w:p>
      <w:pPr>
        <w:spacing w:line="360" w:lineRule="auto"/>
        <w:ind w:left="420" w:leftChars="200"/>
        <w:jc w:val="center"/>
        <w:rPr>
          <w:rFonts w:ascii="仿宋_GB2312" w:hAnsi="宋体" w:cs="Arial"/>
          <w:b/>
          <w:bCs/>
          <w:sz w:val="44"/>
          <w:szCs w:val="44"/>
        </w:rPr>
      </w:pPr>
    </w:p>
    <w:p>
      <w:pPr>
        <w:spacing w:line="360" w:lineRule="auto"/>
        <w:ind w:left="420" w:leftChars="200"/>
        <w:jc w:val="center"/>
        <w:rPr>
          <w:rFonts w:ascii="仿宋_GB2312" w:hAnsi="宋体" w:eastAsia="黑体"/>
          <w:b/>
          <w:bCs/>
          <w:sz w:val="32"/>
          <w:szCs w:val="32"/>
        </w:rPr>
      </w:pPr>
    </w:p>
    <w:p>
      <w:pPr>
        <w:spacing w:line="360" w:lineRule="auto"/>
        <w:ind w:left="420" w:leftChars="200"/>
        <w:jc w:val="center"/>
        <w:rPr>
          <w:rFonts w:ascii="仿宋_GB2312" w:hAnsi="宋体" w:eastAsia="黑体"/>
          <w:b/>
          <w:bCs/>
          <w:sz w:val="32"/>
          <w:szCs w:val="32"/>
        </w:rPr>
      </w:pPr>
    </w:p>
    <w:p>
      <w:pPr>
        <w:spacing w:line="360" w:lineRule="auto"/>
        <w:jc w:val="center"/>
        <w:rPr>
          <w:rFonts w:ascii="仿宋_GB2312" w:hAnsi="宋体" w:eastAsia="黑体"/>
          <w:b/>
          <w:bCs/>
          <w:sz w:val="72"/>
          <w:szCs w:val="72"/>
        </w:rPr>
      </w:pPr>
      <w:r>
        <w:rPr>
          <w:rFonts w:hint="eastAsia" w:ascii="仿宋_GB2312" w:hAnsi="黑体" w:eastAsia="黑体"/>
          <w:b/>
          <w:bCs/>
          <w:sz w:val="72"/>
          <w:szCs w:val="72"/>
        </w:rPr>
        <w:t>招</w:t>
      </w:r>
    </w:p>
    <w:p>
      <w:pPr>
        <w:spacing w:line="360" w:lineRule="auto"/>
        <w:jc w:val="center"/>
        <w:rPr>
          <w:rFonts w:ascii="仿宋_GB2312" w:hAnsi="宋体" w:eastAsia="黑体"/>
          <w:b/>
          <w:bCs/>
          <w:sz w:val="72"/>
          <w:szCs w:val="72"/>
        </w:rPr>
      </w:pPr>
      <w:bookmarkStart w:id="0" w:name="_GoBack"/>
      <w:bookmarkEnd w:id="0"/>
    </w:p>
    <w:p>
      <w:pPr>
        <w:spacing w:line="360" w:lineRule="auto"/>
        <w:jc w:val="center"/>
        <w:rPr>
          <w:rFonts w:ascii="仿宋_GB2312" w:hAnsi="宋体" w:eastAsia="黑体"/>
          <w:b/>
          <w:bCs/>
          <w:sz w:val="72"/>
          <w:szCs w:val="72"/>
        </w:rPr>
      </w:pPr>
      <w:r>
        <w:rPr>
          <w:rFonts w:hint="eastAsia" w:ascii="仿宋_GB2312" w:hAnsi="黑体" w:eastAsia="黑体"/>
          <w:b/>
          <w:bCs/>
          <w:sz w:val="72"/>
          <w:szCs w:val="72"/>
        </w:rPr>
        <w:t>标</w:t>
      </w:r>
    </w:p>
    <w:p>
      <w:pPr>
        <w:spacing w:line="360" w:lineRule="auto"/>
        <w:jc w:val="center"/>
        <w:rPr>
          <w:rFonts w:ascii="仿宋_GB2312" w:hAnsi="宋体" w:eastAsia="黑体"/>
          <w:b/>
          <w:bCs/>
          <w:sz w:val="48"/>
          <w:szCs w:val="48"/>
        </w:rPr>
      </w:pPr>
    </w:p>
    <w:p>
      <w:pPr>
        <w:spacing w:line="360" w:lineRule="auto"/>
        <w:jc w:val="center"/>
        <w:rPr>
          <w:rFonts w:ascii="仿宋_GB2312" w:hAnsi="宋体" w:eastAsia="黑体"/>
          <w:b/>
          <w:bCs/>
          <w:sz w:val="72"/>
          <w:szCs w:val="72"/>
        </w:rPr>
      </w:pPr>
      <w:r>
        <w:rPr>
          <w:rFonts w:hint="eastAsia" w:ascii="仿宋_GB2312" w:hAnsi="黑体" w:eastAsia="黑体"/>
          <w:b/>
          <w:bCs/>
          <w:sz w:val="72"/>
          <w:szCs w:val="72"/>
        </w:rPr>
        <w:t>书</w:t>
      </w:r>
    </w:p>
    <w:p>
      <w:pPr>
        <w:spacing w:line="360" w:lineRule="auto"/>
        <w:ind w:left="420" w:leftChars="200"/>
        <w:jc w:val="center"/>
        <w:rPr>
          <w:rFonts w:ascii="仿宋_GB2312" w:hAnsi="宋体"/>
          <w:sz w:val="44"/>
          <w:szCs w:val="44"/>
        </w:rPr>
      </w:pPr>
    </w:p>
    <w:p>
      <w:pPr>
        <w:spacing w:line="360" w:lineRule="auto"/>
        <w:ind w:left="420" w:leftChars="200"/>
        <w:jc w:val="center"/>
        <w:rPr>
          <w:rFonts w:ascii="仿宋_GB2312" w:hAnsi="宋体" w:cs="Arial"/>
          <w:sz w:val="48"/>
          <w:szCs w:val="48"/>
        </w:rPr>
      </w:pPr>
    </w:p>
    <w:p>
      <w:pPr>
        <w:spacing w:line="360" w:lineRule="auto"/>
        <w:rPr>
          <w:rFonts w:ascii="仿宋_GB2312" w:hAnsi="宋体" w:cs="Arial"/>
          <w:sz w:val="48"/>
          <w:szCs w:val="48"/>
        </w:rPr>
      </w:pPr>
    </w:p>
    <w:p>
      <w:pPr>
        <w:spacing w:line="600" w:lineRule="exact"/>
        <w:jc w:val="center"/>
        <w:rPr>
          <w:rFonts w:ascii="仿宋_GB2312" w:hAnsi="宋体"/>
          <w:b/>
          <w:bCs/>
          <w:sz w:val="32"/>
          <w:szCs w:val="32"/>
        </w:rPr>
      </w:pPr>
      <w:r>
        <w:rPr>
          <w:rFonts w:hint="eastAsia" w:ascii="仿宋_GB2312" w:hAnsi="宋体"/>
          <w:b/>
          <w:bCs/>
          <w:sz w:val="32"/>
          <w:szCs w:val="32"/>
        </w:rPr>
        <w:t>深圳市发展和改革委员会</w:t>
      </w:r>
    </w:p>
    <w:p>
      <w:pPr>
        <w:spacing w:line="600" w:lineRule="exact"/>
        <w:jc w:val="center"/>
        <w:rPr>
          <w:rFonts w:ascii="仿宋_GB2312"/>
        </w:rPr>
      </w:pPr>
      <w:r>
        <w:rPr>
          <w:rFonts w:hint="eastAsia" w:ascii="仿宋_GB2312" w:hAnsi="宋体"/>
          <w:b/>
          <w:bCs/>
          <w:sz w:val="32"/>
          <w:szCs w:val="32"/>
        </w:rPr>
        <w:t>20</w:t>
      </w:r>
      <w:r>
        <w:rPr>
          <w:rFonts w:ascii="仿宋_GB2312" w:hAnsi="宋体"/>
          <w:b/>
          <w:bCs/>
          <w:sz w:val="32"/>
          <w:szCs w:val="32"/>
        </w:rPr>
        <w:t>22</w:t>
      </w:r>
      <w:r>
        <w:rPr>
          <w:rFonts w:hint="eastAsia" w:ascii="仿宋_GB2312" w:hAnsi="宋体"/>
          <w:b/>
          <w:bCs/>
          <w:sz w:val="32"/>
          <w:szCs w:val="32"/>
        </w:rPr>
        <w:t>年</w:t>
      </w:r>
      <w:r>
        <w:rPr>
          <w:rFonts w:ascii="仿宋_GB2312" w:hAnsi="宋体"/>
          <w:b/>
          <w:bCs/>
          <w:sz w:val="32"/>
          <w:szCs w:val="32"/>
        </w:rPr>
        <w:t>9</w:t>
      </w:r>
      <w:r>
        <w:rPr>
          <w:rFonts w:hint="eastAsia" w:ascii="仿宋_GB2312" w:hAnsi="宋体"/>
          <w:b/>
          <w:bCs/>
          <w:sz w:val="32"/>
          <w:szCs w:val="32"/>
        </w:rPr>
        <w:t>月</w:t>
      </w:r>
    </w:p>
    <w:p>
      <w:pPr>
        <w:jc w:val="left"/>
        <w:rPr>
          <w:rFonts w:ascii="仿宋_GB2312"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仿宋_GB2312" w:hAnsi="宋体" w:cs="Arial"/>
          <w:b/>
          <w:bCs/>
          <w:sz w:val="44"/>
          <w:szCs w:val="44"/>
        </w:rPr>
      </w:pPr>
    </w:p>
    <w:p>
      <w:pPr>
        <w:adjustRightInd w:val="0"/>
        <w:snapToGrid w:val="0"/>
        <w:jc w:val="center"/>
        <w:rPr>
          <w:rFonts w:ascii="仿宋_GB2312" w:hAnsi="宋体" w:cs="Arial"/>
          <w:b/>
          <w:bCs/>
          <w:sz w:val="44"/>
          <w:szCs w:val="44"/>
        </w:rPr>
      </w:pPr>
      <w:r>
        <w:rPr>
          <w:rFonts w:hint="eastAsia" w:ascii="仿宋_GB2312" w:hAnsi="宋体" w:cs="Arial"/>
          <w:b/>
          <w:bCs/>
          <w:sz w:val="44"/>
          <w:szCs w:val="44"/>
        </w:rPr>
        <w:t>新发展格局下深圳打造算力经济</w:t>
      </w:r>
    </w:p>
    <w:p>
      <w:pPr>
        <w:adjustRightInd w:val="0"/>
        <w:snapToGrid w:val="0"/>
        <w:jc w:val="center"/>
        <w:rPr>
          <w:rFonts w:ascii="仿宋_GB2312" w:hAnsi="宋体" w:cs="Arial"/>
          <w:b/>
          <w:bCs/>
          <w:sz w:val="44"/>
          <w:szCs w:val="44"/>
        </w:rPr>
      </w:pPr>
      <w:r>
        <w:rPr>
          <w:rFonts w:hint="eastAsia" w:ascii="仿宋_GB2312" w:hAnsi="宋体" w:cs="Arial"/>
          <w:b/>
          <w:bCs/>
          <w:sz w:val="44"/>
          <w:szCs w:val="44"/>
        </w:rPr>
        <w:t>“双循环”战略枢纽的路径</w:t>
      </w:r>
    </w:p>
    <w:p>
      <w:pPr>
        <w:spacing w:line="560" w:lineRule="exact"/>
        <w:ind w:firstLine="424" w:firstLineChars="96"/>
        <w:jc w:val="center"/>
        <w:rPr>
          <w:rFonts w:ascii="仿宋_GB2312" w:hAnsi="宋体" w:cs="Arial"/>
          <w:b/>
          <w:bCs/>
          <w:sz w:val="44"/>
          <w:szCs w:val="44"/>
        </w:rPr>
      </w:pPr>
      <w:r>
        <w:rPr>
          <w:rFonts w:hint="eastAsia" w:ascii="仿宋_GB2312" w:hAnsi="宋体" w:cs="Arial"/>
          <w:b/>
          <w:bCs/>
          <w:sz w:val="44"/>
          <w:szCs w:val="44"/>
        </w:rPr>
        <w:t>研究课题项目招标书</w:t>
      </w:r>
    </w:p>
    <w:p>
      <w:pPr>
        <w:pStyle w:val="2"/>
      </w:pPr>
    </w:p>
    <w:p>
      <w:pPr>
        <w:adjustRightInd w:val="0"/>
        <w:snapToGrid w:val="0"/>
        <w:spacing w:line="560" w:lineRule="exact"/>
        <w:ind w:firstLine="643" w:firstLineChars="200"/>
        <w:outlineLvl w:val="0"/>
        <w:rPr>
          <w:rFonts w:ascii="仿宋_GB2312" w:hAnsi="黑体" w:eastAsia="黑体"/>
          <w:b/>
          <w:bCs/>
          <w:sz w:val="32"/>
          <w:szCs w:val="32"/>
        </w:rPr>
      </w:pPr>
      <w:r>
        <w:rPr>
          <w:rFonts w:hint="eastAsia" w:ascii="仿宋_GB2312"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（一）项目名称：新发展格局下深圳打造算力经济“双循环”战略枢纽的路径研究。</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3</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86</w:t>
      </w:r>
      <w:r>
        <w:rPr>
          <w:rFonts w:hint="eastAsia" w:ascii="仿宋_GB2312" w:hAnsi="仿宋" w:eastAsia="仿宋_GB2312" w:cs="仿宋_GB2312"/>
          <w:sz w:val="32"/>
          <w:szCs w:val="32"/>
        </w:rPr>
        <w:t>万元以下。</w:t>
      </w:r>
    </w:p>
    <w:p>
      <w:pPr>
        <w:adjustRightInd w:val="0"/>
        <w:snapToGrid w:val="0"/>
        <w:spacing w:line="560" w:lineRule="exact"/>
        <w:ind w:firstLine="643" w:firstLineChars="200"/>
        <w:outlineLvl w:val="0"/>
        <w:rPr>
          <w:rFonts w:ascii="仿宋_GB2312" w:hAnsi="黑体" w:eastAsia="黑体"/>
          <w:b/>
          <w:bCs/>
          <w:sz w:val="32"/>
          <w:szCs w:val="32"/>
        </w:rPr>
      </w:pPr>
      <w:r>
        <w:rPr>
          <w:rFonts w:hint="eastAsia" w:ascii="仿宋_GB2312" w:hAnsi="黑体" w:eastAsia="黑体"/>
          <w:b/>
          <w:bCs/>
          <w:sz w:val="32"/>
          <w:szCs w:val="32"/>
        </w:rPr>
        <w:t>二、项目内容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前瞻研判深圳打造算力经济“双循环”枢纽的战略意义。全面把握算力经济发展趋势，系统梳理国家、省、市算力和数字经济规划建设政策导向，在粤港澳大湾区和东西部协同发展大局中找准深圳推动落实东数西算“内循环”和打造跨境数据流动“外循环”的发展方向。</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系统研究深圳算力经济“双循环”的发展基础。深入调研，从行业政策、湾区一体化算力基础设施建设格局、湾区数字经济合作基础等方面摸清算力经济“双循环”的建设需求，总结分析深圳构建湾区算力经济“双循环”的优劣势。</w:t>
      </w:r>
    </w:p>
    <w:p>
      <w:pPr>
        <w:spacing w:line="560" w:lineRule="exact"/>
        <w:ind w:firstLine="640" w:firstLineChars="200"/>
        <w:rPr>
          <w:rFonts w:ascii="仿宋_GB2312" w:eastAsia="仿宋_GB2312"/>
          <w:kern w:val="0"/>
          <w:sz w:val="32"/>
          <w:szCs w:val="32"/>
        </w:rPr>
      </w:pPr>
      <w:r>
        <w:rPr>
          <w:rFonts w:hint="eastAsia" w:ascii="仿宋_GB2312" w:hAnsi="仿宋_GB2312" w:eastAsia="仿宋_GB2312" w:cs="仿宋_GB2312"/>
          <w:bCs/>
          <w:sz w:val="32"/>
          <w:szCs w:val="32"/>
        </w:rPr>
        <w:t>（三）广泛梳理深圳数字经济与算力经济现状问题。基于广泛</w:t>
      </w:r>
      <w:r>
        <w:rPr>
          <w:rFonts w:ascii="仿宋_GB2312" w:hAnsi="仿宋_GB2312" w:eastAsia="仿宋_GB2312" w:cs="仿宋_GB2312"/>
          <w:bCs/>
          <w:sz w:val="32"/>
          <w:szCs w:val="32"/>
        </w:rPr>
        <w:t>调查</w:t>
      </w:r>
      <w:r>
        <w:rPr>
          <w:rFonts w:hint="eastAsia" w:ascii="仿宋_GB2312" w:hAnsi="仿宋_GB2312" w:eastAsia="仿宋_GB2312" w:cs="仿宋_GB2312"/>
          <w:bCs/>
          <w:sz w:val="32"/>
          <w:szCs w:val="32"/>
        </w:rPr>
        <w:t>研究，充分借鉴国内数字经济与算力经济标杆城市先进经验做法，</w:t>
      </w:r>
      <w:r>
        <w:rPr>
          <w:rFonts w:hint="eastAsia" w:ascii="仿宋_GB2312" w:eastAsia="仿宋_GB2312"/>
          <w:kern w:val="0"/>
          <w:sz w:val="32"/>
          <w:szCs w:val="32"/>
        </w:rPr>
        <w:t>结合当前深圳</w:t>
      </w:r>
      <w:r>
        <w:rPr>
          <w:rFonts w:hint="eastAsia" w:ascii="仿宋_GB2312" w:hAnsi="仿宋_GB2312" w:eastAsia="仿宋_GB2312" w:cs="仿宋_GB2312"/>
          <w:bCs/>
          <w:sz w:val="32"/>
          <w:szCs w:val="32"/>
        </w:rPr>
        <w:t>数字经济与算力经济</w:t>
      </w:r>
      <w:r>
        <w:rPr>
          <w:rFonts w:hint="eastAsia" w:ascii="仿宋_GB2312" w:eastAsia="仿宋_GB2312"/>
          <w:kern w:val="0"/>
          <w:sz w:val="32"/>
          <w:szCs w:val="32"/>
        </w:rPr>
        <w:t>建设运营总体现状和存在问题，研究提出未来一段时期深圳</w:t>
      </w:r>
      <w:r>
        <w:rPr>
          <w:rFonts w:hint="eastAsia" w:ascii="仿宋_GB2312" w:hAnsi="仿宋_GB2312" w:eastAsia="仿宋_GB2312" w:cs="仿宋_GB2312"/>
          <w:bCs/>
          <w:sz w:val="32"/>
          <w:szCs w:val="32"/>
        </w:rPr>
        <w:t>数字经济与算力经济发展</w:t>
      </w:r>
      <w:r>
        <w:rPr>
          <w:rFonts w:hint="eastAsia" w:ascii="仿宋_GB2312" w:eastAsia="仿宋_GB2312"/>
          <w:kern w:val="0"/>
          <w:sz w:val="32"/>
          <w:szCs w:val="32"/>
        </w:rPr>
        <w:t>的总体思路。</w:t>
      </w:r>
    </w:p>
    <w:p>
      <w:pPr>
        <w:spacing w:line="560" w:lineRule="exact"/>
        <w:ind w:firstLine="640" w:firstLineChars="200"/>
        <w:rPr>
          <w:rFonts w:ascii="仿宋_GB2312" w:hAnsi="Times New Roman" w:eastAsia="仿宋_GB2312"/>
          <w:sz w:val="32"/>
          <w:szCs w:val="24"/>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四</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研究提出深圳算力经济“双循环”的具体建设布局及思路建议</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从算力基础设施建设、数据跨境流通机制构建、共建飞地产业园区、算力经济合作生态的构建等方向提出具体建设布局思路及建议。</w:t>
      </w:r>
    </w:p>
    <w:p>
      <w:pPr>
        <w:adjustRightInd w:val="0"/>
        <w:snapToGrid w:val="0"/>
        <w:spacing w:line="560" w:lineRule="exact"/>
        <w:ind w:firstLine="643" w:firstLineChars="200"/>
        <w:outlineLvl w:val="0"/>
        <w:rPr>
          <w:rFonts w:ascii="仿宋_GB2312" w:hAnsi="黑体" w:eastAsia="黑体"/>
          <w:b/>
          <w:bCs/>
          <w:sz w:val="32"/>
          <w:szCs w:val="32"/>
        </w:rPr>
      </w:pPr>
      <w:r>
        <w:rPr>
          <w:rFonts w:hint="eastAsia" w:ascii="仿宋_GB2312" w:hAnsi="黑体" w:eastAsia="黑体"/>
          <w:b/>
          <w:bCs/>
          <w:sz w:val="32"/>
          <w:szCs w:val="32"/>
        </w:rPr>
        <w:t>三、项目技术要求</w:t>
      </w:r>
    </w:p>
    <w:p>
      <w:pPr>
        <w:pStyle w:val="4"/>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4"/>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（二）研究过程中应当进行深入调查研究，充分把握深圳算力经济现有基础条件、存在问题等相关信息和基础资料。</w:t>
      </w:r>
    </w:p>
    <w:p>
      <w:pPr>
        <w:pStyle w:val="4"/>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（三）研究成果要具有前瞻性，面向未来、视野开阔，把握未来发展趋势；具有系统性，研究成果要体系完整、内容全面、材料丰富；具有实用性，研究成果符合深圳实际，针对性和可操作性强。</w:t>
      </w:r>
    </w:p>
    <w:p>
      <w:pPr>
        <w:adjustRightInd w:val="0"/>
        <w:snapToGrid w:val="0"/>
        <w:spacing w:line="560" w:lineRule="exact"/>
        <w:ind w:firstLine="643" w:firstLineChars="200"/>
        <w:outlineLvl w:val="0"/>
        <w:rPr>
          <w:rFonts w:ascii="仿宋_GB2312" w:hAnsi="黑体" w:eastAsia="黑体"/>
          <w:b/>
          <w:bCs/>
          <w:sz w:val="32"/>
          <w:szCs w:val="32"/>
        </w:rPr>
      </w:pPr>
      <w:r>
        <w:rPr>
          <w:rFonts w:hint="eastAsia" w:ascii="仿宋_GB2312" w:hAnsi="黑体" w:eastAsia="黑体"/>
          <w:b/>
          <w:bCs/>
          <w:sz w:val="32"/>
          <w:szCs w:val="32"/>
        </w:rPr>
        <w:t>四、项目成果交付要求</w:t>
      </w:r>
    </w:p>
    <w:p>
      <w:pPr>
        <w:spacing w:line="560" w:lineRule="exact"/>
        <w:ind w:firstLine="640" w:firstLineChars="200"/>
        <w:rPr>
          <w:rFonts w:ascii="仿宋_GB2312" w:hAnsi="Times New Roman" w:eastAsia="仿宋_GB2312"/>
          <w:sz w:val="32"/>
          <w:szCs w:val="24"/>
        </w:rPr>
      </w:pPr>
      <w:r>
        <w:rPr>
          <w:rFonts w:hint="eastAsia" w:ascii="仿宋_GB2312" w:hAnsi="Times New Roman" w:eastAsia="仿宋_GB2312"/>
          <w:sz w:val="32"/>
          <w:szCs w:val="24"/>
        </w:rPr>
        <w:t>提交研究成果纸质版</w:t>
      </w:r>
      <w:r>
        <w:rPr>
          <w:rFonts w:ascii="仿宋_GB2312" w:hAnsi="Times New Roman" w:eastAsia="仿宋_GB2312"/>
          <w:sz w:val="32"/>
          <w:szCs w:val="24"/>
        </w:rPr>
        <w:t>5</w:t>
      </w:r>
      <w:r>
        <w:rPr>
          <w:rFonts w:hint="eastAsia" w:ascii="仿宋_GB2312" w:hAnsi="Times New Roman" w:eastAsia="仿宋_GB2312"/>
          <w:sz w:val="32"/>
          <w:szCs w:val="24"/>
        </w:rPr>
        <w:t>份和电子版，文件能够简明扼要介绍成果核心内容与主要结论。</w:t>
      </w:r>
    </w:p>
    <w:p>
      <w:pPr>
        <w:adjustRightInd w:val="0"/>
        <w:snapToGrid w:val="0"/>
        <w:spacing w:line="560" w:lineRule="exact"/>
        <w:ind w:firstLine="643" w:firstLineChars="200"/>
        <w:outlineLvl w:val="0"/>
        <w:rPr>
          <w:rFonts w:ascii="仿宋_GB2312" w:hAnsi="黑体" w:eastAsia="黑体"/>
          <w:b/>
          <w:bCs/>
          <w:sz w:val="32"/>
          <w:szCs w:val="32"/>
        </w:rPr>
      </w:pPr>
      <w:r>
        <w:rPr>
          <w:rFonts w:hint="eastAsia" w:ascii="仿宋_GB2312" w:hAnsi="黑体" w:eastAsia="黑体"/>
          <w:b/>
          <w:bCs/>
          <w:sz w:val="32"/>
          <w:szCs w:val="32"/>
        </w:rPr>
        <w:t>五、投标资格要求</w:t>
      </w:r>
    </w:p>
    <w:p>
      <w:pPr>
        <w:pStyle w:val="4"/>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4"/>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（二）投标人必须具备相关经营范围（决策咨询、信息咨询等），具备开展本项目研究的基本条件和研究能力。</w:t>
      </w:r>
    </w:p>
    <w:p>
      <w:pPr>
        <w:pStyle w:val="4"/>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3" w:firstLineChars="200"/>
        <w:outlineLvl w:val="0"/>
        <w:rPr>
          <w:rFonts w:ascii="仿宋_GB2312" w:hAnsi="黑体" w:eastAsia="黑体"/>
          <w:b/>
          <w:bCs/>
          <w:sz w:val="32"/>
          <w:szCs w:val="32"/>
        </w:rPr>
      </w:pPr>
      <w:r>
        <w:rPr>
          <w:rFonts w:hint="eastAsia" w:ascii="仿宋_GB2312" w:hAnsi="黑体" w:eastAsia="黑体"/>
          <w:b/>
          <w:bCs/>
          <w:sz w:val="32"/>
          <w:szCs w:val="32"/>
        </w:rPr>
        <w:t>六、投标时间、方式及联系人</w:t>
      </w:r>
    </w:p>
    <w:p>
      <w:pPr>
        <w:spacing w:line="560" w:lineRule="exact"/>
        <w:ind w:firstLine="640" w:firstLineChars="200"/>
        <w:rPr>
          <w:rFonts w:ascii="仿宋_GB2312" w:hAnsi="Times New Roman" w:eastAsia="仿宋_GB2312"/>
          <w:sz w:val="32"/>
          <w:szCs w:val="24"/>
        </w:rPr>
      </w:pPr>
      <w:r>
        <w:rPr>
          <w:rFonts w:hint="eastAsia" w:ascii="仿宋_GB2312" w:hAnsi="Times New Roman" w:eastAsia="仿宋_GB2312"/>
          <w:sz w:val="32"/>
          <w:szCs w:val="24"/>
        </w:rPr>
        <w:t>（一）投标时间：</w:t>
      </w:r>
      <w:r>
        <w:rPr>
          <w:rFonts w:ascii="仿宋_GB2312" w:hAnsi="Times New Roman" w:eastAsia="仿宋_GB2312"/>
          <w:sz w:val="32"/>
          <w:szCs w:val="24"/>
        </w:rPr>
        <w:t>2022</w:t>
      </w:r>
      <w:r>
        <w:rPr>
          <w:rFonts w:hint="eastAsia" w:ascii="仿宋_GB2312" w:hAnsi="Times New Roman" w:eastAsia="仿宋_GB2312"/>
          <w:sz w:val="32"/>
          <w:szCs w:val="24"/>
        </w:rPr>
        <w:t>年</w:t>
      </w:r>
      <w:r>
        <w:rPr>
          <w:rFonts w:ascii="仿宋_GB2312" w:hAnsi="Times New Roman" w:eastAsia="仿宋_GB2312"/>
          <w:sz w:val="32"/>
          <w:szCs w:val="24"/>
        </w:rPr>
        <w:t>9</w:t>
      </w:r>
      <w:r>
        <w:rPr>
          <w:rFonts w:hint="eastAsia" w:ascii="仿宋_GB2312" w:hAnsi="Times New Roman" w:eastAsia="仿宋_GB2312"/>
          <w:sz w:val="32"/>
          <w:szCs w:val="24"/>
        </w:rPr>
        <w:t>月</w:t>
      </w:r>
      <w:r>
        <w:rPr>
          <w:rFonts w:ascii="仿宋_GB2312" w:hAnsi="Times New Roman" w:eastAsia="仿宋_GB2312"/>
          <w:sz w:val="32"/>
          <w:szCs w:val="24"/>
        </w:rPr>
        <w:t>19</w:t>
      </w:r>
      <w:r>
        <w:rPr>
          <w:rFonts w:hint="eastAsia" w:ascii="仿宋_GB2312" w:hAnsi="Times New Roman" w:eastAsia="仿宋_GB2312"/>
          <w:sz w:val="32"/>
          <w:szCs w:val="24"/>
        </w:rPr>
        <w:t>日至</w:t>
      </w:r>
      <w:r>
        <w:rPr>
          <w:rFonts w:ascii="仿宋_GB2312" w:hAnsi="Times New Roman" w:eastAsia="仿宋_GB2312"/>
          <w:sz w:val="32"/>
          <w:szCs w:val="24"/>
        </w:rPr>
        <w:t>2022</w:t>
      </w:r>
      <w:r>
        <w:rPr>
          <w:rFonts w:hint="eastAsia" w:ascii="仿宋_GB2312" w:hAnsi="Times New Roman" w:eastAsia="仿宋_GB2312"/>
          <w:sz w:val="32"/>
          <w:szCs w:val="24"/>
        </w:rPr>
        <w:t>年</w:t>
      </w:r>
      <w:r>
        <w:rPr>
          <w:rFonts w:ascii="仿宋_GB2312" w:hAnsi="Times New Roman" w:eastAsia="仿宋_GB2312"/>
          <w:sz w:val="32"/>
          <w:szCs w:val="24"/>
        </w:rPr>
        <w:t>9</w:t>
      </w:r>
      <w:r>
        <w:rPr>
          <w:rFonts w:hint="eastAsia" w:ascii="仿宋_GB2312" w:hAnsi="Times New Roman" w:eastAsia="仿宋_GB2312"/>
          <w:sz w:val="32"/>
          <w:szCs w:val="24"/>
        </w:rPr>
        <w:t>月</w:t>
      </w:r>
      <w:r>
        <w:rPr>
          <w:rFonts w:ascii="仿宋_GB2312" w:hAnsi="Times New Roman" w:eastAsia="仿宋_GB2312"/>
          <w:sz w:val="32"/>
          <w:szCs w:val="24"/>
        </w:rPr>
        <w:t>29</w:t>
      </w:r>
      <w:r>
        <w:rPr>
          <w:rFonts w:hint="eastAsia" w:ascii="仿宋_GB2312" w:hAnsi="Times New Roman" w:eastAsia="仿宋_GB2312"/>
          <w:sz w:val="32"/>
          <w:szCs w:val="24"/>
        </w:rPr>
        <w:t>日，每日上午</w:t>
      </w:r>
      <w:r>
        <w:rPr>
          <w:rFonts w:ascii="仿宋_GB2312" w:hAnsi="Times New Roman" w:eastAsia="仿宋_GB2312"/>
          <w:sz w:val="32"/>
          <w:szCs w:val="24"/>
        </w:rPr>
        <w:t>9:00-12:00，下午2:00-5:45（节假日除外）。逾期未投标将不再受理。</w:t>
      </w:r>
    </w:p>
    <w:p>
      <w:pPr>
        <w:spacing w:line="560" w:lineRule="exact"/>
        <w:ind w:firstLine="640" w:firstLineChars="200"/>
        <w:rPr>
          <w:rFonts w:ascii="仿宋_GB2312" w:hAnsi="Times New Roman" w:eastAsia="仿宋_GB2312"/>
          <w:sz w:val="32"/>
          <w:szCs w:val="24"/>
        </w:rPr>
      </w:pPr>
      <w:r>
        <w:rPr>
          <w:rFonts w:hint="eastAsia" w:ascii="仿宋_GB2312" w:hAnsi="Times New Roman" w:eastAsia="仿宋_GB2312"/>
          <w:sz w:val="32"/>
          <w:szCs w:val="24"/>
        </w:rPr>
        <w:t>（二）投标地点：深圳市福田区福中三路市民中心</w:t>
      </w:r>
      <w:r>
        <w:rPr>
          <w:rFonts w:ascii="仿宋_GB2312" w:hAnsi="Times New Roman" w:eastAsia="仿宋_GB2312"/>
          <w:sz w:val="32"/>
          <w:szCs w:val="24"/>
        </w:rPr>
        <w:t>B区行政服务大厅2号市发展和改革委卡座（可邮寄，以送达日期为投标日期）。</w:t>
      </w:r>
    </w:p>
    <w:p>
      <w:pPr>
        <w:spacing w:line="560" w:lineRule="exact"/>
        <w:ind w:firstLine="640" w:firstLineChars="200"/>
        <w:rPr>
          <w:rFonts w:ascii="仿宋_GB2312" w:hAnsi="Times New Roman" w:eastAsia="仿宋_GB2312"/>
          <w:sz w:val="32"/>
          <w:szCs w:val="24"/>
        </w:rPr>
      </w:pPr>
      <w:r>
        <w:rPr>
          <w:rFonts w:hint="eastAsia" w:ascii="仿宋_GB2312" w:hAnsi="Times New Roman" w:eastAsia="仿宋_GB2312"/>
          <w:sz w:val="32"/>
          <w:szCs w:val="24"/>
        </w:rPr>
        <w:t>（三）联系人：</w:t>
      </w:r>
      <w:r>
        <w:rPr>
          <w:rFonts w:hint="eastAsia" w:ascii="仿宋_GB2312" w:hAnsi="Times New Roman" w:eastAsia="仿宋_GB2312"/>
          <w:color w:val="000000" w:themeColor="text1"/>
          <w:sz w:val="32"/>
          <w:szCs w:val="32"/>
          <w14:textFill>
            <w14:solidFill>
              <w14:schemeClr w14:val="tx1"/>
            </w14:solidFill>
          </w14:textFill>
        </w:rPr>
        <w:t>徐凯</w:t>
      </w:r>
      <w:r>
        <w:rPr>
          <w:rFonts w:hint="eastAsia" w:ascii="仿宋_GB2312" w:hAnsi="Times New Roman" w:eastAsia="仿宋_GB2312"/>
          <w:sz w:val="32"/>
          <w:szCs w:val="24"/>
        </w:rPr>
        <w:t>，</w:t>
      </w:r>
      <w:r>
        <w:rPr>
          <w:rFonts w:hint="eastAsia" w:ascii="仿宋_GB2312" w:hAnsi="Times New Roman" w:eastAsia="仿宋_GB2312"/>
          <w:bCs/>
          <w:sz w:val="32"/>
          <w:szCs w:val="32"/>
        </w:rPr>
        <w:t>0755-</w:t>
      </w:r>
      <w:r>
        <w:rPr>
          <w:rFonts w:hint="eastAsia" w:ascii="仿宋_GB2312" w:hAnsi="Times New Roman" w:eastAsia="仿宋_GB2312"/>
          <w:color w:val="000000" w:themeColor="text1"/>
          <w:sz w:val="32"/>
          <w:szCs w:val="32"/>
          <w14:textFill>
            <w14:solidFill>
              <w14:schemeClr w14:val="tx1"/>
            </w14:solidFill>
          </w14:textFill>
        </w:rPr>
        <w:t>88121</w:t>
      </w:r>
      <w:r>
        <w:rPr>
          <w:rFonts w:ascii="仿宋_GB2312" w:hAnsi="Times New Roman" w:eastAsia="仿宋_GB2312"/>
          <w:color w:val="000000" w:themeColor="text1"/>
          <w:sz w:val="32"/>
          <w:szCs w:val="32"/>
          <w14:textFill>
            <w14:solidFill>
              <w14:schemeClr w14:val="tx1"/>
            </w14:solidFill>
          </w14:textFill>
        </w:rPr>
        <w:t>671</w:t>
      </w:r>
      <w:r>
        <w:rPr>
          <w:rFonts w:ascii="仿宋_GB2312" w:hAnsi="Times New Roman" w:eastAsia="仿宋_GB2312"/>
          <w:sz w:val="32"/>
          <w:szCs w:val="24"/>
        </w:rPr>
        <w:t>。</w:t>
      </w:r>
    </w:p>
    <w:p>
      <w:pPr>
        <w:spacing w:line="560" w:lineRule="exact"/>
        <w:ind w:firstLine="643" w:firstLineChars="200"/>
        <w:rPr>
          <w:rFonts w:ascii="仿宋_GB2312" w:hAnsi="黑体" w:eastAsia="黑体"/>
          <w:b/>
          <w:bCs/>
          <w:sz w:val="32"/>
          <w:szCs w:val="32"/>
        </w:rPr>
      </w:pPr>
      <w:r>
        <w:rPr>
          <w:rFonts w:ascii="仿宋_GB2312" w:hAnsi="黑体" w:eastAsia="黑体"/>
          <w:b/>
          <w:bCs/>
          <w:sz w:val="32"/>
          <w:szCs w:val="32"/>
        </w:rPr>
        <w:t>七</w:t>
      </w:r>
      <w:r>
        <w:rPr>
          <w:rFonts w:hint="eastAsia" w:ascii="仿宋_GB2312" w:hAnsi="黑体" w:eastAsia="黑体"/>
          <w:b/>
          <w:bCs/>
          <w:sz w:val="32"/>
          <w:szCs w:val="32"/>
        </w:rPr>
        <w:t>、投标文件递交内容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（一）投标单位简介、投标人营业执照或相关证照（提供加盖公章的复印件，原件备查）。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（二）法定代表人证明书及授权委托书（原件加盖公章）。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（四）项目方案及报价单（原件加盖公章）。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（六）投标人无重大违法记录声明函（原件加盖公章，格式自拟）。</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（七）投标及履约承诺函原件（格式见附件）。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（九）投标人认为有必要提供的其它材料。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投标文件一式六份（另附光盘拷贝电子版），整套材料密封并加盖骑缝章，封面注明投标人的名称、地址、联系人及手机号码。</w:t>
      </w:r>
    </w:p>
    <w:p>
      <w:pPr>
        <w:adjustRightInd w:val="0"/>
        <w:snapToGrid w:val="0"/>
        <w:spacing w:line="560" w:lineRule="exact"/>
        <w:ind w:firstLine="643" w:firstLineChars="200"/>
        <w:outlineLvl w:val="0"/>
        <w:rPr>
          <w:rFonts w:ascii="仿宋_GB2312" w:hAnsi="黑体" w:eastAsia="黑体"/>
          <w:b/>
          <w:bCs/>
          <w:sz w:val="32"/>
          <w:szCs w:val="32"/>
        </w:rPr>
      </w:pPr>
      <w:r>
        <w:rPr>
          <w:rFonts w:ascii="仿宋_GB2312" w:hAnsi="黑体" w:eastAsia="黑体"/>
          <w:b/>
          <w:bCs/>
          <w:sz w:val="32"/>
          <w:szCs w:val="32"/>
        </w:rPr>
        <w:t>八</w:t>
      </w:r>
      <w:r>
        <w:rPr>
          <w:rFonts w:hint="eastAsia" w:ascii="仿宋_GB2312" w:hAnsi="黑体" w:eastAsia="黑体"/>
          <w:b/>
          <w:bCs/>
          <w:sz w:val="32"/>
          <w:szCs w:val="32"/>
        </w:rPr>
        <w:t>、重要提示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（一）未在规定时间内将投标文件送达规定地点的。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（二）投标人不具备投标资格要求，或未提交相应资格证明材料。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（三）投标文件未按规定密封、签字、盖章。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（九）法律、法规规定的其他情形。</w:t>
      </w:r>
    </w:p>
    <w:p>
      <w:pPr>
        <w:adjustRightInd w:val="0"/>
        <w:snapToGrid w:val="0"/>
        <w:spacing w:line="560" w:lineRule="exact"/>
        <w:ind w:firstLine="643" w:firstLineChars="200"/>
        <w:outlineLvl w:val="0"/>
        <w:rPr>
          <w:rFonts w:ascii="仿宋_GB2312" w:hAnsi="黑体" w:eastAsia="黑体"/>
          <w:b/>
          <w:bCs/>
          <w:sz w:val="32"/>
          <w:szCs w:val="32"/>
        </w:rPr>
      </w:pPr>
      <w:r>
        <w:rPr>
          <w:rFonts w:hint="eastAsia" w:ascii="仿宋_GB2312" w:hAnsi="黑体" w:eastAsia="黑体"/>
          <w:b/>
          <w:bCs/>
          <w:sz w:val="32"/>
          <w:szCs w:val="32"/>
        </w:rPr>
        <w:t>九、评标方法</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141"/>
        <w:gridCol w:w="709"/>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b/>
                <w:sz w:val="22"/>
                <w:szCs w:val="24"/>
              </w:rPr>
            </w:pPr>
            <w:r>
              <w:rPr>
                <w:rFonts w:hint="eastAsia" w:ascii="仿宋_GB2312" w:hAnsi="宋体" w:eastAsia="仿宋_GB2312" w:cs="宋体"/>
                <w:b/>
                <w:sz w:val="22"/>
                <w:szCs w:val="24"/>
              </w:rPr>
              <w:t>评审部分</w:t>
            </w:r>
          </w:p>
        </w:tc>
        <w:tc>
          <w:tcPr>
            <w:tcW w:w="1202" w:type="dxa"/>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b/>
                <w:sz w:val="22"/>
                <w:szCs w:val="24"/>
              </w:rPr>
            </w:pPr>
            <w:r>
              <w:rPr>
                <w:rFonts w:hint="eastAsia" w:ascii="仿宋_GB2312" w:hAnsi="宋体" w:eastAsia="仿宋_GB2312" w:cs="宋体"/>
                <w:b/>
                <w:sz w:val="22"/>
                <w:szCs w:val="24"/>
              </w:rPr>
              <w:t>评审因素</w:t>
            </w:r>
          </w:p>
        </w:tc>
        <w:tc>
          <w:tcPr>
            <w:tcW w:w="4678" w:type="dxa"/>
            <w:tcBorders>
              <w:top w:val="single" w:color="auto" w:sz="8" w:space="0"/>
              <w:left w:val="single" w:color="auto" w:sz="8" w:space="0"/>
              <w:bottom w:val="single" w:color="auto" w:sz="8" w:space="0"/>
              <w:right w:val="single" w:color="auto" w:sz="8" w:space="0"/>
            </w:tcBorders>
            <w:vAlign w:val="center"/>
          </w:tcPr>
          <w:p>
            <w:pPr>
              <w:rPr>
                <w:rFonts w:ascii="仿宋_GB2312" w:hAnsi="宋体" w:eastAsia="仿宋_GB2312" w:cs="宋体"/>
                <w:b/>
                <w:sz w:val="22"/>
                <w:szCs w:val="24"/>
              </w:rPr>
            </w:pPr>
            <w:r>
              <w:rPr>
                <w:rFonts w:hint="eastAsia" w:ascii="仿宋_GB2312" w:hAnsi="宋体" w:eastAsia="仿宋_GB2312" w:cs="宋体"/>
                <w:b/>
                <w:sz w:val="22"/>
                <w:szCs w:val="24"/>
              </w:rPr>
              <w:t>评分细则</w:t>
            </w:r>
          </w:p>
        </w:tc>
        <w:tc>
          <w:tcPr>
            <w:tcW w:w="850" w:type="dxa"/>
            <w:gridSpan w:val="2"/>
            <w:tcBorders>
              <w:top w:val="single" w:color="auto" w:sz="8" w:space="0"/>
              <w:left w:val="single" w:color="auto" w:sz="8" w:space="0"/>
              <w:bottom w:val="single" w:color="auto" w:sz="8" w:space="0"/>
              <w:right w:val="single" w:color="auto" w:sz="4" w:space="0"/>
            </w:tcBorders>
            <w:vAlign w:val="center"/>
          </w:tcPr>
          <w:p>
            <w:pPr>
              <w:rPr>
                <w:rFonts w:ascii="仿宋_GB2312" w:hAnsi="宋体" w:eastAsia="仿宋_GB2312" w:cs="宋体"/>
                <w:b/>
                <w:sz w:val="22"/>
                <w:szCs w:val="24"/>
              </w:rPr>
            </w:pPr>
            <w:r>
              <w:rPr>
                <w:rFonts w:hint="eastAsia" w:ascii="仿宋_GB2312" w:hAnsi="宋体" w:eastAsia="仿宋_GB2312" w:cs="宋体"/>
                <w:b/>
                <w:sz w:val="22"/>
                <w:szCs w:val="24"/>
              </w:rPr>
              <w:t>权重（%）</w:t>
            </w:r>
          </w:p>
        </w:tc>
        <w:tc>
          <w:tcPr>
            <w:tcW w:w="85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cs="宋体"/>
                <w:b/>
                <w:sz w:val="22"/>
                <w:szCs w:val="24"/>
              </w:rPr>
            </w:pPr>
            <w:r>
              <w:rPr>
                <w:rFonts w:hint="eastAsia" w:ascii="仿宋_GB2312" w:hAnsi="宋体" w:eastAsia="仿宋_GB2312"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trPr>
        <w:tc>
          <w:tcPr>
            <w:tcW w:w="680"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一</w:t>
            </w:r>
          </w:p>
        </w:tc>
        <w:tc>
          <w:tcPr>
            <w:tcW w:w="7581" w:type="dxa"/>
            <w:gridSpan w:val="5"/>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技术部分（合计60分）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8" w:hRule="atLeast"/>
        </w:trPr>
        <w:tc>
          <w:tcPr>
            <w:tcW w:w="680" w:type="dxa"/>
            <w:tcBorders>
              <w:bottom w:val="single" w:color="auto" w:sz="4" w:space="0"/>
            </w:tcBorders>
            <w:vAlign w:val="center"/>
          </w:tcPr>
          <w:p>
            <w:pPr>
              <w:numPr>
                <w:ilvl w:val="0"/>
                <w:numId w:val="5"/>
              </w:numPr>
              <w:jc w:val="right"/>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实施方案</w:t>
            </w:r>
          </w:p>
        </w:tc>
        <w:tc>
          <w:tcPr>
            <w:tcW w:w="4819" w:type="dxa"/>
            <w:gridSpan w:val="2"/>
            <w:vAlign w:val="center"/>
          </w:tcPr>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根据投标人提供的项目实施方案的全面性、针对性、可操作性等进行分档评审：</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1.评价为优，得100%；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2.评价为良，得70%；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3.评价为中，得40%；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4.评价为差，得10%；</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45</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质量保障措施及方案</w:t>
            </w:r>
          </w:p>
        </w:tc>
        <w:tc>
          <w:tcPr>
            <w:tcW w:w="4819" w:type="dxa"/>
            <w:gridSpan w:val="2"/>
          </w:tcPr>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根据投标人对项目进度计划和人员安排、质量和进度保障措施是否合理、可行等进行分档评审：</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1.评价为优，得100%；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2.评价为良，得70%；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3.评价为中，得40%；</w:t>
            </w:r>
          </w:p>
          <w:p>
            <w:pPr>
              <w:widowControl/>
              <w:ind w:left="-78" w:leftChars="-37" w:right="-73" w:rightChars="-35"/>
              <w:rPr>
                <w:rFonts w:ascii="仿宋_GB2312" w:hAnsi="宋体" w:eastAsia="仿宋_GB2312" w:cs="宋体"/>
                <w:kern w:val="0"/>
                <w:sz w:val="22"/>
                <w:szCs w:val="24"/>
              </w:rPr>
            </w:pPr>
            <w:r>
              <w:rPr>
                <w:rFonts w:hint="eastAsia" w:ascii="仿宋_GB2312" w:hAnsi="宋体" w:eastAsia="仿宋_GB2312" w:cs="宋体"/>
                <w:kern w:val="0"/>
                <w:sz w:val="22"/>
                <w:szCs w:val="24"/>
              </w:rPr>
              <w:t>4.评价为差，得10%；</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10</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违约承诺</w:t>
            </w:r>
          </w:p>
        </w:tc>
        <w:tc>
          <w:tcPr>
            <w:tcW w:w="4819" w:type="dxa"/>
            <w:gridSpan w:val="2"/>
          </w:tcPr>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提供违约承诺，承诺满足招标文件要求，保证措施合理且有针对性，有具体的违约责任承诺。</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投标人提供违约承诺得100%。要求提供承诺（格式自定）作为得分依据，未提供承诺或承诺内容不满足要求不得分。</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二</w:t>
            </w:r>
          </w:p>
        </w:tc>
        <w:tc>
          <w:tcPr>
            <w:tcW w:w="7581" w:type="dxa"/>
            <w:gridSpan w:val="5"/>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综合实力部分</w:t>
            </w:r>
            <w:r>
              <w:rPr>
                <w:rFonts w:hint="eastAsia" w:ascii="仿宋_GB2312" w:hAnsi="宋体" w:eastAsia="仿宋_GB2312"/>
                <w:b/>
                <w:sz w:val="22"/>
                <w:szCs w:val="24"/>
              </w:rPr>
              <w:t>（合计30分）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投标人</w:t>
            </w:r>
          </w:p>
          <w:p>
            <w:pPr>
              <w:jc w:val="center"/>
              <w:rPr>
                <w:rFonts w:ascii="仿宋_GB2312" w:hAnsi="Arial" w:eastAsia="仿宋_GB2312"/>
                <w:b/>
                <w:bCs/>
                <w:sz w:val="22"/>
                <w:szCs w:val="32"/>
              </w:rPr>
            </w:pPr>
            <w:r>
              <w:rPr>
                <w:rFonts w:hint="eastAsia" w:ascii="仿宋_GB2312" w:hAnsi="宋体" w:eastAsia="仿宋_GB2312"/>
                <w:sz w:val="22"/>
                <w:szCs w:val="24"/>
              </w:rPr>
              <w:t>经验</w:t>
            </w:r>
          </w:p>
        </w:tc>
        <w:tc>
          <w:tcPr>
            <w:tcW w:w="4819" w:type="dxa"/>
            <w:gridSpan w:val="2"/>
            <w:vAlign w:val="center"/>
          </w:tcPr>
          <w:p>
            <w:pPr>
              <w:widowControl/>
              <w:rPr>
                <w:rFonts w:ascii="仿宋_GB2312" w:hAnsi="宋体" w:eastAsia="仿宋_GB2312" w:cs="宋体"/>
                <w:kern w:val="0"/>
                <w:sz w:val="22"/>
                <w:szCs w:val="24"/>
              </w:rPr>
            </w:pPr>
            <w:r>
              <w:rPr>
                <w:rFonts w:hint="eastAsia" w:ascii="仿宋_GB2312" w:hAnsi="宋体" w:eastAsia="仿宋_GB2312" w:cs="宋体"/>
                <w:b/>
                <w:bCs/>
                <w:kern w:val="0"/>
                <w:sz w:val="22"/>
                <w:szCs w:val="24"/>
              </w:rPr>
              <w:t>1.评分内容</w:t>
            </w:r>
            <w:r>
              <w:rPr>
                <w:rFonts w:hint="eastAsia" w:ascii="仿宋_GB2312" w:hAnsi="宋体" w:eastAsia="仿宋_GB2312" w:cs="宋体"/>
                <w:kern w:val="0"/>
                <w:sz w:val="22"/>
                <w:szCs w:val="24"/>
              </w:rPr>
              <w:t>：</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投标人近三年承担过算力领域（含算力经济、算力调度、算力网络）、数字经济、数据跨境流通（含数据流通）领域咨询或研究课题，每提供一个得10%，最高得分不超过100%。</w:t>
            </w:r>
          </w:p>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ind w:left="-63" w:leftChars="-30" w:right="-88" w:rightChars="-42"/>
              <w:rPr>
                <w:rFonts w:ascii="仿宋_GB2312" w:hAnsi="宋体" w:eastAsia="仿宋_GB2312" w:cs="宋体"/>
                <w:kern w:val="0"/>
                <w:sz w:val="22"/>
                <w:szCs w:val="24"/>
              </w:rPr>
            </w:pPr>
            <w:r>
              <w:rPr>
                <w:rFonts w:hint="eastAsia" w:ascii="仿宋_GB2312" w:hAnsi="宋体" w:eastAsia="仿宋_GB2312" w:cs="宋体"/>
                <w:kern w:val="0"/>
                <w:sz w:val="22"/>
                <w:szCs w:val="24"/>
              </w:rPr>
              <w:t>（1）要求提供合同（包括合同首页、关键服务内容页、双方盖章页等）。</w:t>
            </w:r>
          </w:p>
          <w:p>
            <w:pPr>
              <w:widowControl/>
              <w:ind w:left="-63" w:leftChars="-30" w:right="-88" w:rightChars="-42"/>
              <w:rPr>
                <w:rFonts w:ascii="仿宋_GB2312" w:hAnsi="宋体" w:eastAsia="仿宋_GB2312" w:cs="宋体"/>
                <w:kern w:val="0"/>
                <w:sz w:val="22"/>
                <w:szCs w:val="24"/>
              </w:rPr>
            </w:pPr>
            <w:r>
              <w:rPr>
                <w:rFonts w:hint="eastAsia" w:ascii="仿宋_GB2312" w:hAnsi="宋体" w:eastAsia="仿宋_GB2312" w:cs="宋体"/>
                <w:kern w:val="0"/>
                <w:sz w:val="22"/>
                <w:szCs w:val="24"/>
              </w:rPr>
              <w:t>（2）以上资料均要求提供扫描件。评分中出现无证明资料或专家无法凭所提供资料判断是否得分的情况，一律作不得分处理。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20</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2" w:hRule="atLeast"/>
        </w:trPr>
        <w:tc>
          <w:tcPr>
            <w:tcW w:w="680" w:type="dxa"/>
            <w:tcBorders>
              <w:top w:val="single" w:color="auto" w:sz="4" w:space="0"/>
              <w:bottom w:val="single" w:color="auto" w:sz="4" w:space="0"/>
            </w:tcBorders>
            <w:vAlign w:val="center"/>
          </w:tcPr>
          <w:p>
            <w:pPr>
              <w:numPr>
                <w:ilvl w:val="0"/>
                <w:numId w:val="6"/>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拟安排的项目负责人情况（仅限一人）</w:t>
            </w:r>
          </w:p>
        </w:tc>
        <w:tc>
          <w:tcPr>
            <w:tcW w:w="4819" w:type="dxa"/>
            <w:gridSpan w:val="2"/>
          </w:tcPr>
          <w:p>
            <w:pPr>
              <w:widowControl/>
              <w:jc w:val="left"/>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项目负责人具有中级（含以上）职称及博士（含以上）学位，得100%，否则不得分。</w:t>
            </w:r>
          </w:p>
          <w:p>
            <w:pPr>
              <w:widowControl/>
              <w:jc w:val="left"/>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（1）要求提供通过投标人购买的项目负责人近三个月社保，学位和职称文件。</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2" w:hRule="atLeast"/>
        </w:trPr>
        <w:tc>
          <w:tcPr>
            <w:tcW w:w="680" w:type="dxa"/>
            <w:tcBorders>
              <w:top w:val="single" w:color="auto" w:sz="4" w:space="0"/>
              <w:bottom w:val="single" w:color="auto" w:sz="4" w:space="0"/>
            </w:tcBorders>
            <w:vAlign w:val="center"/>
          </w:tcPr>
          <w:p>
            <w:pPr>
              <w:numPr>
                <w:ilvl w:val="0"/>
                <w:numId w:val="6"/>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拟安排的项目主要团队成员（项目负责人除外）</w:t>
            </w:r>
          </w:p>
        </w:tc>
        <w:tc>
          <w:tcPr>
            <w:tcW w:w="4819" w:type="dxa"/>
            <w:gridSpan w:val="2"/>
          </w:tcPr>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1.评分内容：</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项目团队中每配备1个硕士及以上学位的人员得25%，最高得分不超过100%。</w:t>
            </w:r>
          </w:p>
          <w:p>
            <w:pPr>
              <w:widowControl/>
              <w:rPr>
                <w:rFonts w:ascii="仿宋_GB2312" w:hAnsi="宋体" w:eastAsia="仿宋_GB2312" w:cs="宋体"/>
                <w:b/>
                <w:kern w:val="0"/>
                <w:sz w:val="22"/>
                <w:szCs w:val="24"/>
              </w:rPr>
            </w:pPr>
            <w:r>
              <w:rPr>
                <w:rFonts w:hint="eastAsia" w:ascii="仿宋_GB2312" w:hAnsi="宋体" w:eastAsia="仿宋_GB2312" w:cs="宋体"/>
                <w:b/>
                <w:kern w:val="0"/>
                <w:sz w:val="22"/>
                <w:szCs w:val="24"/>
              </w:rPr>
              <w:t>2.评分依据：</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（1）要求提供通过投标人购买的团队成员近三个月社保，以及学位证书。</w:t>
            </w:r>
          </w:p>
          <w:p>
            <w:pPr>
              <w:widowControl/>
              <w:rPr>
                <w:rFonts w:ascii="仿宋_GB2312" w:hAnsi="宋体" w:eastAsia="仿宋_GB2312" w:cs="宋体"/>
                <w:b/>
                <w:kern w:val="0"/>
                <w:sz w:val="22"/>
                <w:szCs w:val="24"/>
              </w:rPr>
            </w:pPr>
            <w:r>
              <w:rPr>
                <w:rFonts w:hint="eastAsia" w:ascii="仿宋_GB2312" w:hAnsi="宋体" w:eastAsia="仿宋_GB2312" w:cs="宋体"/>
                <w:kern w:val="0"/>
                <w:sz w:val="22"/>
                <w:szCs w:val="24"/>
              </w:rPr>
              <w:t>（2）以上资料均要求提供扫描件（或官方网站截图）并加盖单位公章，原件备查。评分中出现无证明资料或专家无法凭所提供资料判断是否得分的情况，一律作不得分处理。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c>
          <w:tcPr>
            <w:tcW w:w="851" w:type="dxa"/>
            <w:tcBorders>
              <w:left w:val="single" w:color="auto" w:sz="4" w:space="0"/>
            </w:tcBorders>
            <w:vAlign w:val="center"/>
          </w:tcPr>
          <w:p>
            <w:pPr>
              <w:jc w:val="center"/>
              <w:rPr>
                <w:rFonts w:ascii="仿宋_GB2312" w:hAnsi="宋体" w:eastAsia="仿宋_GB2312"/>
                <w:sz w:val="22"/>
                <w:szCs w:val="24"/>
              </w:rPr>
            </w:pPr>
            <w:r>
              <w:rPr>
                <w:rFonts w:hint="eastAsia" w:ascii="仿宋_GB2312" w:hAnsi="宋体" w:eastAsia="仿宋_GB2312"/>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仿宋_GB2312" w:hAnsi="宋体" w:eastAsia="仿宋_GB2312"/>
                <w:b/>
                <w:sz w:val="22"/>
                <w:szCs w:val="24"/>
              </w:rPr>
            </w:pPr>
            <w:r>
              <w:rPr>
                <w:rFonts w:hint="eastAsia" w:ascii="仿宋_GB2312" w:hAnsi="宋体" w:eastAsia="仿宋_GB2312"/>
                <w:b/>
                <w:sz w:val="22"/>
                <w:szCs w:val="24"/>
              </w:rPr>
              <w:t>三</w:t>
            </w:r>
          </w:p>
        </w:tc>
        <w:tc>
          <w:tcPr>
            <w:tcW w:w="7581" w:type="dxa"/>
            <w:gridSpan w:val="5"/>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价格部分（合计10分）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仿宋_GB2312" w:hAnsi="宋体" w:eastAsia="仿宋_GB2312"/>
                <w:sz w:val="22"/>
                <w:szCs w:val="24"/>
              </w:rPr>
            </w:pPr>
          </w:p>
        </w:tc>
        <w:tc>
          <w:tcPr>
            <w:tcW w:w="1202" w:type="dxa"/>
            <w:vAlign w:val="center"/>
          </w:tcPr>
          <w:p>
            <w:pPr>
              <w:jc w:val="center"/>
              <w:rPr>
                <w:rFonts w:ascii="仿宋_GB2312" w:hAnsi="宋体" w:eastAsia="仿宋_GB2312"/>
                <w:sz w:val="22"/>
                <w:szCs w:val="24"/>
              </w:rPr>
            </w:pPr>
            <w:r>
              <w:rPr>
                <w:rFonts w:hint="eastAsia" w:ascii="仿宋_GB2312" w:hAnsi="宋体" w:eastAsia="仿宋_GB2312"/>
                <w:sz w:val="22"/>
                <w:szCs w:val="24"/>
              </w:rPr>
              <w:t>投标报价</w:t>
            </w:r>
          </w:p>
        </w:tc>
        <w:tc>
          <w:tcPr>
            <w:tcW w:w="4819" w:type="dxa"/>
            <w:gridSpan w:val="2"/>
            <w:vAlign w:val="center"/>
          </w:tcPr>
          <w:p>
            <w:pPr>
              <w:autoSpaceDE w:val="0"/>
              <w:autoSpaceDN w:val="0"/>
              <w:adjustRightInd w:val="0"/>
              <w:snapToGrid w:val="0"/>
              <w:rPr>
                <w:rFonts w:ascii="仿宋_GB2312" w:hAnsi="宋体" w:eastAsia="仿宋_GB2312" w:cs="宋体"/>
                <w:kern w:val="0"/>
                <w:sz w:val="22"/>
                <w:szCs w:val="24"/>
              </w:rPr>
            </w:pPr>
            <w:r>
              <w:rPr>
                <w:rFonts w:hint="eastAsia" w:ascii="仿宋_GB2312" w:hAnsi="宋体" w:eastAsia="仿宋_GB2312" w:cs="宋体"/>
                <w:kern w:val="0"/>
                <w:sz w:val="22"/>
                <w:szCs w:val="24"/>
              </w:rPr>
              <w:t>价格分应当采用低价优先法计算，即满足招标文件要求且投标价格最低的投标报价为评标基准价，其价格分为满分。其他投标人的价格分统一按照下列公式计算：</w:t>
            </w:r>
          </w:p>
          <w:p>
            <w:pPr>
              <w:widowControl/>
              <w:rPr>
                <w:rFonts w:ascii="仿宋_GB2312" w:hAnsi="宋体" w:eastAsia="仿宋_GB2312" w:cs="宋体"/>
                <w:kern w:val="0"/>
                <w:sz w:val="22"/>
                <w:szCs w:val="24"/>
              </w:rPr>
            </w:pPr>
            <w:r>
              <w:rPr>
                <w:rFonts w:hint="eastAsia" w:ascii="仿宋_GB2312" w:hAnsi="宋体" w:eastAsia="仿宋_GB2312" w:cs="宋体"/>
                <w:kern w:val="0"/>
                <w:sz w:val="22"/>
                <w:szCs w:val="24"/>
              </w:rPr>
              <w:t>投标报价得分=(评标基准价／投标报价)×100×权重</w:t>
            </w:r>
          </w:p>
          <w:p>
            <w:pPr>
              <w:widowControl/>
              <w:rPr>
                <w:rFonts w:ascii="仿宋_GB2312" w:hAnsi="宋体" w:eastAsia="仿宋_GB2312"/>
                <w:bCs/>
                <w:sz w:val="22"/>
                <w:szCs w:val="24"/>
              </w:rPr>
            </w:pPr>
            <w:r>
              <w:rPr>
                <w:rFonts w:hint="eastAsia" w:ascii="仿宋_GB2312" w:hAnsi="宋体" w:eastAsia="仿宋_GB2312"/>
                <w:bCs/>
                <w:sz w:val="22"/>
                <w:szCs w:val="24"/>
              </w:rPr>
              <w:t>备注：</w:t>
            </w:r>
          </w:p>
          <w:p>
            <w:pPr>
              <w:widowControl/>
              <w:rPr>
                <w:rFonts w:ascii="仿宋_GB2312" w:hAnsi="宋体" w:eastAsia="仿宋_GB2312" w:cs="宋体"/>
                <w:sz w:val="22"/>
                <w:szCs w:val="24"/>
              </w:rPr>
            </w:pPr>
            <w:r>
              <w:rPr>
                <w:rFonts w:hint="eastAsia" w:ascii="仿宋_GB2312" w:hAnsi="宋体" w:eastAsia="仿宋_GB2312"/>
                <w:bCs/>
                <w:sz w:val="22"/>
                <w:szCs w:val="24"/>
              </w:rPr>
              <w:t>1.因落实政府采购政策进行价格调整的，以调整后的价格计算评标基准价和投标报价</w:t>
            </w:r>
            <w:r>
              <w:rPr>
                <w:rFonts w:hint="eastAsia" w:ascii="仿宋_GB2312" w:hAnsi="宋体" w:eastAsia="仿宋_GB2312" w:cs="宋体"/>
                <w:sz w:val="22"/>
                <w:szCs w:val="24"/>
              </w:rPr>
              <w:t>,详见“价格扣除”。</w:t>
            </w:r>
          </w:p>
          <w:p>
            <w:pPr>
              <w:rPr>
                <w:rFonts w:ascii="仿宋_GB2312" w:hAnsi="宋体" w:eastAsia="仿宋_GB2312"/>
                <w:b/>
                <w:bCs/>
                <w:sz w:val="22"/>
                <w:szCs w:val="24"/>
                <w:u w:val="double"/>
              </w:rPr>
            </w:pPr>
            <w:r>
              <w:rPr>
                <w:rFonts w:hint="eastAsia" w:ascii="仿宋_GB2312" w:hAnsi="宋体" w:eastAsia="仿宋_GB2312"/>
                <w:bCs/>
                <w:sz w:val="22"/>
                <w:szCs w:val="24"/>
              </w:rPr>
              <w:t>2.投标报价得分四舍五入后，</w:t>
            </w:r>
            <w:r>
              <w:rPr>
                <w:rFonts w:hint="eastAsia" w:ascii="仿宋_GB2312" w:hAnsi="宋体" w:eastAsia="仿宋_GB2312" w:cs="Arial"/>
                <w:sz w:val="22"/>
                <w:szCs w:val="24"/>
              </w:rPr>
              <w:t>小数点后保留两位有效数</w:t>
            </w:r>
            <w:r>
              <w:rPr>
                <w:rFonts w:hint="eastAsia" w:ascii="仿宋_GB2312" w:hAnsi="宋体" w:eastAsia="仿宋_GB2312"/>
                <w:bCs/>
                <w:sz w:val="22"/>
                <w:szCs w:val="24"/>
              </w:rPr>
              <w:t>。</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trPr>
        <w:tc>
          <w:tcPr>
            <w:tcW w:w="6701" w:type="dxa"/>
            <w:gridSpan w:val="4"/>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sz w:val="22"/>
                <w:szCs w:val="24"/>
              </w:rPr>
              <w:t>合计</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r>
    </w:tbl>
    <w:p>
      <w:pPr>
        <w:outlineLvl w:val="0"/>
        <w:rPr>
          <w:rFonts w:ascii="仿宋_GB2312" w:hAnsi="宋体" w:eastAsia="仿宋_GB2312"/>
          <w:b/>
          <w:sz w:val="24"/>
          <w:szCs w:val="24"/>
        </w:rPr>
      </w:pPr>
      <w:r>
        <w:rPr>
          <w:rFonts w:hint="eastAsia" w:ascii="仿宋_GB2312" w:hAnsi="宋体" w:eastAsia="仿宋_GB2312"/>
          <w:b/>
          <w:sz w:val="24"/>
          <w:szCs w:val="24"/>
        </w:rPr>
        <w:t>备注：</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1.评标信息内评分方法的说明：</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（1）权重：按百分比进行设置；</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（2）评分准则：按照评标系统设置要求，每项“评分准则”皆按百分制打分；</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（3）每项“评分因素”的得分=对应“评分准则”的分值×对应权重%。</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（1）根据财政部、工业和信息化部印发的《政府采购促进中小企业发展管理办法》（财库〔2020〕46号）的规定，对小型和微型企业产品的价格给予6%的扣除，用扣除后的价格参与评审。</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（2）组成联合体（如允许）或者接受分包的小微企业与联合体内其他企业、分包企业之间存在直接控股、管理关系的，不享受价格扣除优惠政策。</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（3）监狱企业产品价格扣除：监狱企业视同小微企业，按上述第（1）、（2）条款享受评审中价格扣除。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仿宋_GB2312" w:hAnsi="宋体" w:eastAsia="仿宋_GB2312"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hint="eastAsia" w:ascii="仿宋_GB2312" w:hAnsi="仿宋" w:eastAsia="仿宋_GB2312" w:cs="仿宋_GB2312"/>
          <w:sz w:val="32"/>
          <w:szCs w:val="32"/>
        </w:rPr>
        <w:br w:type="page"/>
      </w:r>
      <w:r>
        <w:rPr>
          <w:rFonts w:hint="eastAsia" w:ascii="仿宋_GB2312" w:hAnsi="宋体" w:eastAsia="仿宋_GB2312" w:cs="仿宋_GB2312"/>
          <w:sz w:val="32"/>
          <w:szCs w:val="22"/>
        </w:rPr>
        <w:t>附件</w:t>
      </w:r>
    </w:p>
    <w:p>
      <w:pPr>
        <w:adjustRightInd w:val="0"/>
        <w:snapToGrid w:val="0"/>
        <w:jc w:val="center"/>
        <w:rPr>
          <w:rFonts w:ascii="仿宋_GB2312" w:hAnsi="宋体" w:cs="宋体"/>
          <w:b/>
          <w:bCs/>
          <w:sz w:val="44"/>
          <w:szCs w:val="44"/>
        </w:rPr>
      </w:pPr>
    </w:p>
    <w:p>
      <w:pPr>
        <w:adjustRightInd w:val="0"/>
        <w:snapToGrid w:val="0"/>
        <w:jc w:val="center"/>
        <w:rPr>
          <w:rFonts w:ascii="仿宋_GB2312" w:hAnsi="宋体" w:cs="宋体"/>
          <w:b/>
          <w:bCs/>
          <w:sz w:val="44"/>
          <w:szCs w:val="44"/>
        </w:rPr>
      </w:pPr>
      <w:r>
        <w:rPr>
          <w:rFonts w:hint="eastAsia" w:ascii="仿宋_GB2312" w:hAnsi="宋体" w:cs="宋体"/>
          <w:b/>
          <w:bCs/>
          <w:sz w:val="44"/>
          <w:szCs w:val="44"/>
        </w:rPr>
        <w:t>投标及履约承诺函</w:t>
      </w:r>
    </w:p>
    <w:p>
      <w:pPr>
        <w:adjustRightInd w:val="0"/>
        <w:snapToGrid w:val="0"/>
        <w:jc w:val="center"/>
        <w:rPr>
          <w:rFonts w:ascii="仿宋_GB2312"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_GB2312"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仿宋_GB2312"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仿宋"/>
    <w:panose1 w:val="00000000000000000000"/>
    <w:charset w:val="86"/>
    <w:family w:val="auto"/>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ˎ̥">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MfX0F98BAAC7AwAADgAAAAAA&#10;AAABACAAAAAeAQAAZHJzL2Uyb0RvYy54bWxQSwUGAAAAAAYABgBZAQAAbw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101"/>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336DB"/>
    <w:rsid w:val="00043F49"/>
    <w:rsid w:val="00046148"/>
    <w:rsid w:val="000463A5"/>
    <w:rsid w:val="00046F5C"/>
    <w:rsid w:val="00057629"/>
    <w:rsid w:val="0007094F"/>
    <w:rsid w:val="000723AF"/>
    <w:rsid w:val="000754C4"/>
    <w:rsid w:val="00087B33"/>
    <w:rsid w:val="0009025E"/>
    <w:rsid w:val="000938EF"/>
    <w:rsid w:val="000943CB"/>
    <w:rsid w:val="00094808"/>
    <w:rsid w:val="000A2ECD"/>
    <w:rsid w:val="000A3765"/>
    <w:rsid w:val="000A460A"/>
    <w:rsid w:val="000B0357"/>
    <w:rsid w:val="000C09F3"/>
    <w:rsid w:val="000C1CC6"/>
    <w:rsid w:val="000C24E4"/>
    <w:rsid w:val="000C3B9A"/>
    <w:rsid w:val="000C4C90"/>
    <w:rsid w:val="000C72A3"/>
    <w:rsid w:val="000E057C"/>
    <w:rsid w:val="000E7D03"/>
    <w:rsid w:val="000F7ABB"/>
    <w:rsid w:val="000F7AD1"/>
    <w:rsid w:val="00100D04"/>
    <w:rsid w:val="00102E73"/>
    <w:rsid w:val="00104924"/>
    <w:rsid w:val="00104E04"/>
    <w:rsid w:val="00106DCD"/>
    <w:rsid w:val="001124E6"/>
    <w:rsid w:val="00121A5C"/>
    <w:rsid w:val="001275A8"/>
    <w:rsid w:val="00131C19"/>
    <w:rsid w:val="0014238B"/>
    <w:rsid w:val="00142DE7"/>
    <w:rsid w:val="0014446E"/>
    <w:rsid w:val="00146D44"/>
    <w:rsid w:val="0015294D"/>
    <w:rsid w:val="001544E0"/>
    <w:rsid w:val="00155FBC"/>
    <w:rsid w:val="001569AE"/>
    <w:rsid w:val="00161E92"/>
    <w:rsid w:val="0016657E"/>
    <w:rsid w:val="0017605A"/>
    <w:rsid w:val="0017760C"/>
    <w:rsid w:val="00180298"/>
    <w:rsid w:val="0018063F"/>
    <w:rsid w:val="001816F2"/>
    <w:rsid w:val="001827CB"/>
    <w:rsid w:val="0018290A"/>
    <w:rsid w:val="00194D6A"/>
    <w:rsid w:val="00197FDE"/>
    <w:rsid w:val="001B1506"/>
    <w:rsid w:val="001B20D4"/>
    <w:rsid w:val="001B35A8"/>
    <w:rsid w:val="001B4EB0"/>
    <w:rsid w:val="001B571C"/>
    <w:rsid w:val="001C71B0"/>
    <w:rsid w:val="001D3DDB"/>
    <w:rsid w:val="001D642A"/>
    <w:rsid w:val="001E3A97"/>
    <w:rsid w:val="001E510D"/>
    <w:rsid w:val="001E607C"/>
    <w:rsid w:val="001E6B4A"/>
    <w:rsid w:val="001F2F3C"/>
    <w:rsid w:val="001F5348"/>
    <w:rsid w:val="001F6A98"/>
    <w:rsid w:val="001F7840"/>
    <w:rsid w:val="00210D6E"/>
    <w:rsid w:val="0021135C"/>
    <w:rsid w:val="00211B40"/>
    <w:rsid w:val="002121C1"/>
    <w:rsid w:val="00212BC7"/>
    <w:rsid w:val="00214514"/>
    <w:rsid w:val="00217A57"/>
    <w:rsid w:val="00221CF1"/>
    <w:rsid w:val="00226951"/>
    <w:rsid w:val="00230757"/>
    <w:rsid w:val="00236C21"/>
    <w:rsid w:val="00236C8F"/>
    <w:rsid w:val="00244358"/>
    <w:rsid w:val="00247CC0"/>
    <w:rsid w:val="002501A9"/>
    <w:rsid w:val="00252D7A"/>
    <w:rsid w:val="00261EE5"/>
    <w:rsid w:val="00264ABE"/>
    <w:rsid w:val="00264B57"/>
    <w:rsid w:val="00264F3F"/>
    <w:rsid w:val="00266FD4"/>
    <w:rsid w:val="00275B1E"/>
    <w:rsid w:val="00280085"/>
    <w:rsid w:val="00287CD7"/>
    <w:rsid w:val="0029255E"/>
    <w:rsid w:val="00294415"/>
    <w:rsid w:val="002A4184"/>
    <w:rsid w:val="002A4D17"/>
    <w:rsid w:val="002A692D"/>
    <w:rsid w:val="002B0D93"/>
    <w:rsid w:val="002B2371"/>
    <w:rsid w:val="002B5A7D"/>
    <w:rsid w:val="002C23E7"/>
    <w:rsid w:val="002C410B"/>
    <w:rsid w:val="002C75A1"/>
    <w:rsid w:val="002D3E7B"/>
    <w:rsid w:val="002E3180"/>
    <w:rsid w:val="002E581A"/>
    <w:rsid w:val="002F0A38"/>
    <w:rsid w:val="002F7D66"/>
    <w:rsid w:val="00304299"/>
    <w:rsid w:val="0030460A"/>
    <w:rsid w:val="00304DE2"/>
    <w:rsid w:val="00305254"/>
    <w:rsid w:val="00310166"/>
    <w:rsid w:val="003108AF"/>
    <w:rsid w:val="003109D9"/>
    <w:rsid w:val="00312DB9"/>
    <w:rsid w:val="003179F2"/>
    <w:rsid w:val="0032247C"/>
    <w:rsid w:val="003263FB"/>
    <w:rsid w:val="00327683"/>
    <w:rsid w:val="00336A84"/>
    <w:rsid w:val="00342105"/>
    <w:rsid w:val="003443C6"/>
    <w:rsid w:val="00346AEE"/>
    <w:rsid w:val="00351547"/>
    <w:rsid w:val="00351C24"/>
    <w:rsid w:val="003614DA"/>
    <w:rsid w:val="00362DD6"/>
    <w:rsid w:val="00363DB3"/>
    <w:rsid w:val="00366DB0"/>
    <w:rsid w:val="00366F40"/>
    <w:rsid w:val="00372928"/>
    <w:rsid w:val="00375E4E"/>
    <w:rsid w:val="00384A59"/>
    <w:rsid w:val="00386203"/>
    <w:rsid w:val="00387586"/>
    <w:rsid w:val="00390720"/>
    <w:rsid w:val="00397D57"/>
    <w:rsid w:val="003A5EBE"/>
    <w:rsid w:val="003A71FE"/>
    <w:rsid w:val="003B47C2"/>
    <w:rsid w:val="003C0F0F"/>
    <w:rsid w:val="003C550C"/>
    <w:rsid w:val="003C7DC7"/>
    <w:rsid w:val="003D0615"/>
    <w:rsid w:val="003D57C1"/>
    <w:rsid w:val="003E11E9"/>
    <w:rsid w:val="003E1FF6"/>
    <w:rsid w:val="003E3901"/>
    <w:rsid w:val="003E74A2"/>
    <w:rsid w:val="003E7BEF"/>
    <w:rsid w:val="003F7347"/>
    <w:rsid w:val="0040141D"/>
    <w:rsid w:val="00401D17"/>
    <w:rsid w:val="00401F33"/>
    <w:rsid w:val="0040409B"/>
    <w:rsid w:val="00424A7B"/>
    <w:rsid w:val="0043443C"/>
    <w:rsid w:val="004346D9"/>
    <w:rsid w:val="00435F9C"/>
    <w:rsid w:val="004503CF"/>
    <w:rsid w:val="00452E92"/>
    <w:rsid w:val="00455A2D"/>
    <w:rsid w:val="00455C0A"/>
    <w:rsid w:val="00461339"/>
    <w:rsid w:val="0046505B"/>
    <w:rsid w:val="00471E9B"/>
    <w:rsid w:val="00472308"/>
    <w:rsid w:val="004747A9"/>
    <w:rsid w:val="00482C77"/>
    <w:rsid w:val="004844D5"/>
    <w:rsid w:val="00490843"/>
    <w:rsid w:val="00493D09"/>
    <w:rsid w:val="004A018F"/>
    <w:rsid w:val="004A0BAA"/>
    <w:rsid w:val="004A1948"/>
    <w:rsid w:val="004A4844"/>
    <w:rsid w:val="004A5B12"/>
    <w:rsid w:val="004B3EFF"/>
    <w:rsid w:val="004B4044"/>
    <w:rsid w:val="004B6398"/>
    <w:rsid w:val="004B72E2"/>
    <w:rsid w:val="004C1078"/>
    <w:rsid w:val="004C3A5A"/>
    <w:rsid w:val="004C7A1A"/>
    <w:rsid w:val="004D140F"/>
    <w:rsid w:val="004D2A09"/>
    <w:rsid w:val="004D647F"/>
    <w:rsid w:val="004D69E2"/>
    <w:rsid w:val="004D7C84"/>
    <w:rsid w:val="004E441B"/>
    <w:rsid w:val="004E6DC8"/>
    <w:rsid w:val="004E70EC"/>
    <w:rsid w:val="004E7CB9"/>
    <w:rsid w:val="004F27B3"/>
    <w:rsid w:val="004F4EEB"/>
    <w:rsid w:val="004F64F1"/>
    <w:rsid w:val="004F6663"/>
    <w:rsid w:val="004F7EB7"/>
    <w:rsid w:val="00500C90"/>
    <w:rsid w:val="00502316"/>
    <w:rsid w:val="00505026"/>
    <w:rsid w:val="00512272"/>
    <w:rsid w:val="005210B7"/>
    <w:rsid w:val="00522B7F"/>
    <w:rsid w:val="005236DE"/>
    <w:rsid w:val="005247E6"/>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83448"/>
    <w:rsid w:val="005903A2"/>
    <w:rsid w:val="00591F8A"/>
    <w:rsid w:val="00592178"/>
    <w:rsid w:val="0059695D"/>
    <w:rsid w:val="005B045A"/>
    <w:rsid w:val="005B1504"/>
    <w:rsid w:val="005C1EA1"/>
    <w:rsid w:val="005C28E1"/>
    <w:rsid w:val="005D06B7"/>
    <w:rsid w:val="005D2DBD"/>
    <w:rsid w:val="005D5595"/>
    <w:rsid w:val="005D5955"/>
    <w:rsid w:val="005D7389"/>
    <w:rsid w:val="005D7FC4"/>
    <w:rsid w:val="005F42B7"/>
    <w:rsid w:val="00602908"/>
    <w:rsid w:val="00603F35"/>
    <w:rsid w:val="00606C77"/>
    <w:rsid w:val="00611FA2"/>
    <w:rsid w:val="00614414"/>
    <w:rsid w:val="0061590B"/>
    <w:rsid w:val="0062383C"/>
    <w:rsid w:val="00625492"/>
    <w:rsid w:val="00626F53"/>
    <w:rsid w:val="00632D12"/>
    <w:rsid w:val="006331D9"/>
    <w:rsid w:val="00633239"/>
    <w:rsid w:val="00633C39"/>
    <w:rsid w:val="0064083A"/>
    <w:rsid w:val="0064245C"/>
    <w:rsid w:val="00642642"/>
    <w:rsid w:val="00645604"/>
    <w:rsid w:val="006466F1"/>
    <w:rsid w:val="006677C7"/>
    <w:rsid w:val="00667D11"/>
    <w:rsid w:val="006719B6"/>
    <w:rsid w:val="006724C7"/>
    <w:rsid w:val="00672633"/>
    <w:rsid w:val="0067396E"/>
    <w:rsid w:val="00675528"/>
    <w:rsid w:val="00693E4E"/>
    <w:rsid w:val="006A07F9"/>
    <w:rsid w:val="006A2133"/>
    <w:rsid w:val="006C170C"/>
    <w:rsid w:val="006C272D"/>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261F8"/>
    <w:rsid w:val="007271F7"/>
    <w:rsid w:val="007366B8"/>
    <w:rsid w:val="00737455"/>
    <w:rsid w:val="00741452"/>
    <w:rsid w:val="007414C6"/>
    <w:rsid w:val="00755554"/>
    <w:rsid w:val="00756219"/>
    <w:rsid w:val="00756389"/>
    <w:rsid w:val="00760FCC"/>
    <w:rsid w:val="00763031"/>
    <w:rsid w:val="00763343"/>
    <w:rsid w:val="007657DB"/>
    <w:rsid w:val="00765966"/>
    <w:rsid w:val="007678F7"/>
    <w:rsid w:val="007709D1"/>
    <w:rsid w:val="00772977"/>
    <w:rsid w:val="00772C64"/>
    <w:rsid w:val="0078028B"/>
    <w:rsid w:val="00781E6C"/>
    <w:rsid w:val="0078257A"/>
    <w:rsid w:val="00785916"/>
    <w:rsid w:val="00792503"/>
    <w:rsid w:val="00796037"/>
    <w:rsid w:val="007A27DD"/>
    <w:rsid w:val="007B1927"/>
    <w:rsid w:val="007B3AC8"/>
    <w:rsid w:val="007B5651"/>
    <w:rsid w:val="007C03B7"/>
    <w:rsid w:val="007C374A"/>
    <w:rsid w:val="007C68AE"/>
    <w:rsid w:val="007D0575"/>
    <w:rsid w:val="007D629B"/>
    <w:rsid w:val="007D7579"/>
    <w:rsid w:val="007E4380"/>
    <w:rsid w:val="007F12AF"/>
    <w:rsid w:val="00800F5B"/>
    <w:rsid w:val="0080186E"/>
    <w:rsid w:val="00803DE1"/>
    <w:rsid w:val="008111D2"/>
    <w:rsid w:val="008166EE"/>
    <w:rsid w:val="00825363"/>
    <w:rsid w:val="00827F7D"/>
    <w:rsid w:val="008346B8"/>
    <w:rsid w:val="00835A08"/>
    <w:rsid w:val="0084013A"/>
    <w:rsid w:val="0084133C"/>
    <w:rsid w:val="00843442"/>
    <w:rsid w:val="00843C62"/>
    <w:rsid w:val="00846C5F"/>
    <w:rsid w:val="00856555"/>
    <w:rsid w:val="00867218"/>
    <w:rsid w:val="00876D92"/>
    <w:rsid w:val="008836FE"/>
    <w:rsid w:val="00883B31"/>
    <w:rsid w:val="008907C7"/>
    <w:rsid w:val="00893717"/>
    <w:rsid w:val="00895E31"/>
    <w:rsid w:val="00896507"/>
    <w:rsid w:val="00897A19"/>
    <w:rsid w:val="008A478E"/>
    <w:rsid w:val="008A79FD"/>
    <w:rsid w:val="008B4CAF"/>
    <w:rsid w:val="008B6B49"/>
    <w:rsid w:val="008B7364"/>
    <w:rsid w:val="008D2D34"/>
    <w:rsid w:val="008D783E"/>
    <w:rsid w:val="008E0AF9"/>
    <w:rsid w:val="008E0F03"/>
    <w:rsid w:val="008F2A5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634AF"/>
    <w:rsid w:val="00964AD0"/>
    <w:rsid w:val="009719CF"/>
    <w:rsid w:val="00973462"/>
    <w:rsid w:val="00976494"/>
    <w:rsid w:val="00977802"/>
    <w:rsid w:val="009873C9"/>
    <w:rsid w:val="009910FD"/>
    <w:rsid w:val="0099769F"/>
    <w:rsid w:val="009A0980"/>
    <w:rsid w:val="009A27D6"/>
    <w:rsid w:val="009B1BCF"/>
    <w:rsid w:val="009B37E4"/>
    <w:rsid w:val="009B4668"/>
    <w:rsid w:val="009B75E6"/>
    <w:rsid w:val="009C378C"/>
    <w:rsid w:val="009C556B"/>
    <w:rsid w:val="009C5D57"/>
    <w:rsid w:val="009D0E3F"/>
    <w:rsid w:val="009D520A"/>
    <w:rsid w:val="009E0008"/>
    <w:rsid w:val="009E41CA"/>
    <w:rsid w:val="009E45E4"/>
    <w:rsid w:val="009F2423"/>
    <w:rsid w:val="009F39C4"/>
    <w:rsid w:val="009F6E16"/>
    <w:rsid w:val="00A002CE"/>
    <w:rsid w:val="00A03C2D"/>
    <w:rsid w:val="00A06091"/>
    <w:rsid w:val="00A1354E"/>
    <w:rsid w:val="00A305F8"/>
    <w:rsid w:val="00A31463"/>
    <w:rsid w:val="00A448B8"/>
    <w:rsid w:val="00A44DD8"/>
    <w:rsid w:val="00A51B21"/>
    <w:rsid w:val="00A544DB"/>
    <w:rsid w:val="00A609B1"/>
    <w:rsid w:val="00A60F56"/>
    <w:rsid w:val="00A716A3"/>
    <w:rsid w:val="00A717A7"/>
    <w:rsid w:val="00A73054"/>
    <w:rsid w:val="00A74C78"/>
    <w:rsid w:val="00A75EAC"/>
    <w:rsid w:val="00A77BB6"/>
    <w:rsid w:val="00A80371"/>
    <w:rsid w:val="00A84341"/>
    <w:rsid w:val="00A9093A"/>
    <w:rsid w:val="00A9306C"/>
    <w:rsid w:val="00A94D28"/>
    <w:rsid w:val="00A97A05"/>
    <w:rsid w:val="00AA3AC9"/>
    <w:rsid w:val="00AA62E8"/>
    <w:rsid w:val="00AA6594"/>
    <w:rsid w:val="00AB432C"/>
    <w:rsid w:val="00AB5B09"/>
    <w:rsid w:val="00AC012B"/>
    <w:rsid w:val="00AC5C00"/>
    <w:rsid w:val="00AD11F7"/>
    <w:rsid w:val="00AE74B1"/>
    <w:rsid w:val="00AF1151"/>
    <w:rsid w:val="00AF44BF"/>
    <w:rsid w:val="00B01134"/>
    <w:rsid w:val="00B067EE"/>
    <w:rsid w:val="00B0798D"/>
    <w:rsid w:val="00B10467"/>
    <w:rsid w:val="00B165E1"/>
    <w:rsid w:val="00B25245"/>
    <w:rsid w:val="00B31182"/>
    <w:rsid w:val="00B36FF2"/>
    <w:rsid w:val="00B56D2F"/>
    <w:rsid w:val="00B57708"/>
    <w:rsid w:val="00B61BFE"/>
    <w:rsid w:val="00B66DDF"/>
    <w:rsid w:val="00B67D61"/>
    <w:rsid w:val="00B74AC0"/>
    <w:rsid w:val="00B7696A"/>
    <w:rsid w:val="00B82F55"/>
    <w:rsid w:val="00B86F7E"/>
    <w:rsid w:val="00B90377"/>
    <w:rsid w:val="00B9388B"/>
    <w:rsid w:val="00B93929"/>
    <w:rsid w:val="00BA050C"/>
    <w:rsid w:val="00BA3A8C"/>
    <w:rsid w:val="00BB31B8"/>
    <w:rsid w:val="00BB4B80"/>
    <w:rsid w:val="00BB4DA6"/>
    <w:rsid w:val="00BB7155"/>
    <w:rsid w:val="00BC1494"/>
    <w:rsid w:val="00BC680A"/>
    <w:rsid w:val="00BC6A39"/>
    <w:rsid w:val="00BE3F02"/>
    <w:rsid w:val="00BF5567"/>
    <w:rsid w:val="00BF7D35"/>
    <w:rsid w:val="00C02397"/>
    <w:rsid w:val="00C13C74"/>
    <w:rsid w:val="00C23DC8"/>
    <w:rsid w:val="00C25AD2"/>
    <w:rsid w:val="00C3092A"/>
    <w:rsid w:val="00C3627C"/>
    <w:rsid w:val="00C435DA"/>
    <w:rsid w:val="00C44FAE"/>
    <w:rsid w:val="00C5185F"/>
    <w:rsid w:val="00C51FB9"/>
    <w:rsid w:val="00C52D4D"/>
    <w:rsid w:val="00C53BC7"/>
    <w:rsid w:val="00C54474"/>
    <w:rsid w:val="00C57C32"/>
    <w:rsid w:val="00C655DD"/>
    <w:rsid w:val="00C735AB"/>
    <w:rsid w:val="00C8264B"/>
    <w:rsid w:val="00C91AA3"/>
    <w:rsid w:val="00C9382F"/>
    <w:rsid w:val="00CA5628"/>
    <w:rsid w:val="00CB02DC"/>
    <w:rsid w:val="00CB5019"/>
    <w:rsid w:val="00CB66D2"/>
    <w:rsid w:val="00CB7CA8"/>
    <w:rsid w:val="00CC3157"/>
    <w:rsid w:val="00CC6539"/>
    <w:rsid w:val="00CD16CE"/>
    <w:rsid w:val="00CE0F8E"/>
    <w:rsid w:val="00CE1F1E"/>
    <w:rsid w:val="00CE6218"/>
    <w:rsid w:val="00CF3C64"/>
    <w:rsid w:val="00CF6F23"/>
    <w:rsid w:val="00D00592"/>
    <w:rsid w:val="00D06210"/>
    <w:rsid w:val="00D06F7D"/>
    <w:rsid w:val="00D07043"/>
    <w:rsid w:val="00D12A2B"/>
    <w:rsid w:val="00D1589D"/>
    <w:rsid w:val="00D21C1D"/>
    <w:rsid w:val="00D24698"/>
    <w:rsid w:val="00D25868"/>
    <w:rsid w:val="00D25C47"/>
    <w:rsid w:val="00D2660C"/>
    <w:rsid w:val="00D30E9B"/>
    <w:rsid w:val="00D316F6"/>
    <w:rsid w:val="00D32098"/>
    <w:rsid w:val="00D361C2"/>
    <w:rsid w:val="00D42096"/>
    <w:rsid w:val="00D43F53"/>
    <w:rsid w:val="00D45768"/>
    <w:rsid w:val="00D45F2D"/>
    <w:rsid w:val="00D52A2E"/>
    <w:rsid w:val="00D52CDF"/>
    <w:rsid w:val="00D55F1E"/>
    <w:rsid w:val="00D6072F"/>
    <w:rsid w:val="00D6130A"/>
    <w:rsid w:val="00D64D20"/>
    <w:rsid w:val="00D75ED0"/>
    <w:rsid w:val="00D76346"/>
    <w:rsid w:val="00D7776E"/>
    <w:rsid w:val="00D94E9F"/>
    <w:rsid w:val="00D9607B"/>
    <w:rsid w:val="00DA6FD7"/>
    <w:rsid w:val="00DA776A"/>
    <w:rsid w:val="00DB45D2"/>
    <w:rsid w:val="00DB7BEE"/>
    <w:rsid w:val="00DC1D8B"/>
    <w:rsid w:val="00DC543E"/>
    <w:rsid w:val="00DC5576"/>
    <w:rsid w:val="00DC69BF"/>
    <w:rsid w:val="00DD0471"/>
    <w:rsid w:val="00DE41D0"/>
    <w:rsid w:val="00DE5F7D"/>
    <w:rsid w:val="00DE7FDE"/>
    <w:rsid w:val="00DF1F58"/>
    <w:rsid w:val="00DF466C"/>
    <w:rsid w:val="00E01A6E"/>
    <w:rsid w:val="00E03217"/>
    <w:rsid w:val="00E055A3"/>
    <w:rsid w:val="00E05EDB"/>
    <w:rsid w:val="00E07E9C"/>
    <w:rsid w:val="00E11A28"/>
    <w:rsid w:val="00E1331C"/>
    <w:rsid w:val="00E20EC4"/>
    <w:rsid w:val="00E22750"/>
    <w:rsid w:val="00E22EFA"/>
    <w:rsid w:val="00E2418E"/>
    <w:rsid w:val="00E250BB"/>
    <w:rsid w:val="00E30705"/>
    <w:rsid w:val="00E51826"/>
    <w:rsid w:val="00E5351E"/>
    <w:rsid w:val="00E65C2A"/>
    <w:rsid w:val="00E70DE8"/>
    <w:rsid w:val="00E726C3"/>
    <w:rsid w:val="00E750C4"/>
    <w:rsid w:val="00E764AB"/>
    <w:rsid w:val="00E77B09"/>
    <w:rsid w:val="00E820A7"/>
    <w:rsid w:val="00E83BC8"/>
    <w:rsid w:val="00E850EA"/>
    <w:rsid w:val="00E909BD"/>
    <w:rsid w:val="00E96829"/>
    <w:rsid w:val="00E97E6A"/>
    <w:rsid w:val="00EA373C"/>
    <w:rsid w:val="00EA63C5"/>
    <w:rsid w:val="00EB2AB7"/>
    <w:rsid w:val="00EC0EFC"/>
    <w:rsid w:val="00EC337A"/>
    <w:rsid w:val="00EC603F"/>
    <w:rsid w:val="00ED5C7D"/>
    <w:rsid w:val="00EE0506"/>
    <w:rsid w:val="00EE2341"/>
    <w:rsid w:val="00EE23B4"/>
    <w:rsid w:val="00EE244A"/>
    <w:rsid w:val="00EE2D8F"/>
    <w:rsid w:val="00EE66BB"/>
    <w:rsid w:val="00EF20EC"/>
    <w:rsid w:val="00EF57D6"/>
    <w:rsid w:val="00F015CE"/>
    <w:rsid w:val="00F01972"/>
    <w:rsid w:val="00F01E8C"/>
    <w:rsid w:val="00F02BFB"/>
    <w:rsid w:val="00F03D5C"/>
    <w:rsid w:val="00F043AD"/>
    <w:rsid w:val="00F055B5"/>
    <w:rsid w:val="00F07B07"/>
    <w:rsid w:val="00F07DB6"/>
    <w:rsid w:val="00F17CBD"/>
    <w:rsid w:val="00F202CB"/>
    <w:rsid w:val="00F20658"/>
    <w:rsid w:val="00F222DE"/>
    <w:rsid w:val="00F27B9E"/>
    <w:rsid w:val="00F34F92"/>
    <w:rsid w:val="00F35096"/>
    <w:rsid w:val="00F51166"/>
    <w:rsid w:val="00F55583"/>
    <w:rsid w:val="00F55B09"/>
    <w:rsid w:val="00F64707"/>
    <w:rsid w:val="00F749D4"/>
    <w:rsid w:val="00F82281"/>
    <w:rsid w:val="00F831E8"/>
    <w:rsid w:val="00F95FF3"/>
    <w:rsid w:val="00F96916"/>
    <w:rsid w:val="00FA0FF2"/>
    <w:rsid w:val="00FA2F56"/>
    <w:rsid w:val="00FA6B2D"/>
    <w:rsid w:val="00FB2C4D"/>
    <w:rsid w:val="00FB2E08"/>
    <w:rsid w:val="00FC012F"/>
    <w:rsid w:val="00FC043D"/>
    <w:rsid w:val="00FD0E06"/>
    <w:rsid w:val="00FD3295"/>
    <w:rsid w:val="00FF0794"/>
    <w:rsid w:val="00FF7D16"/>
    <w:rsid w:val="01FB42C6"/>
    <w:rsid w:val="02E52B28"/>
    <w:rsid w:val="03633F51"/>
    <w:rsid w:val="03D32EAA"/>
    <w:rsid w:val="03E74C94"/>
    <w:rsid w:val="0458359F"/>
    <w:rsid w:val="05BF313C"/>
    <w:rsid w:val="0638566B"/>
    <w:rsid w:val="06905EF8"/>
    <w:rsid w:val="07822659"/>
    <w:rsid w:val="085B03C4"/>
    <w:rsid w:val="08AB4334"/>
    <w:rsid w:val="08BD22BF"/>
    <w:rsid w:val="0A992810"/>
    <w:rsid w:val="0B2D1015"/>
    <w:rsid w:val="0BAA2339"/>
    <w:rsid w:val="0C3C1F0A"/>
    <w:rsid w:val="0CBE14CA"/>
    <w:rsid w:val="0DC564E1"/>
    <w:rsid w:val="0F1C3C95"/>
    <w:rsid w:val="0F765B1D"/>
    <w:rsid w:val="0FB93D23"/>
    <w:rsid w:val="10813973"/>
    <w:rsid w:val="12F96422"/>
    <w:rsid w:val="130D4918"/>
    <w:rsid w:val="13ED7531"/>
    <w:rsid w:val="154C74B7"/>
    <w:rsid w:val="15803923"/>
    <w:rsid w:val="164963A5"/>
    <w:rsid w:val="168B1E8B"/>
    <w:rsid w:val="18304408"/>
    <w:rsid w:val="1B052CAA"/>
    <w:rsid w:val="1C984AC0"/>
    <w:rsid w:val="1CAF3A72"/>
    <w:rsid w:val="1D6614F4"/>
    <w:rsid w:val="1F9C52AF"/>
    <w:rsid w:val="204F5541"/>
    <w:rsid w:val="2059201A"/>
    <w:rsid w:val="20FE0ADA"/>
    <w:rsid w:val="227D1127"/>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530682"/>
    <w:rsid w:val="3C6F180D"/>
    <w:rsid w:val="3CAA0266"/>
    <w:rsid w:val="3DE4598C"/>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BB73298"/>
    <w:rsid w:val="5C930E64"/>
    <w:rsid w:val="5D7E01AD"/>
    <w:rsid w:val="60CE2E6E"/>
    <w:rsid w:val="614C4BBA"/>
    <w:rsid w:val="61F324D5"/>
    <w:rsid w:val="652C0981"/>
    <w:rsid w:val="6556127B"/>
    <w:rsid w:val="66204CBB"/>
    <w:rsid w:val="68AC4A92"/>
    <w:rsid w:val="69624ED6"/>
    <w:rsid w:val="6999618C"/>
    <w:rsid w:val="6B1A47FA"/>
    <w:rsid w:val="6BF02543"/>
    <w:rsid w:val="6BFE5443"/>
    <w:rsid w:val="6C313863"/>
    <w:rsid w:val="6CB64147"/>
    <w:rsid w:val="6E8F7740"/>
    <w:rsid w:val="6FD67F32"/>
    <w:rsid w:val="6FFE7D41"/>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B7D4AE1"/>
    <w:rsid w:val="7CEB3072"/>
    <w:rsid w:val="7D4B7D80"/>
    <w:rsid w:val="7EFC1FDC"/>
    <w:rsid w:val="7F403025"/>
    <w:rsid w:val="BBFFEFD8"/>
    <w:rsid w:val="C7D5B834"/>
    <w:rsid w:val="FBFE8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4"/>
    <w:next w:val="1"/>
    <w:link w:val="62"/>
    <w:qFormat/>
    <w:uiPriority w:val="0"/>
    <w:pPr>
      <w:spacing w:before="340" w:after="330" w:line="360" w:lineRule="auto"/>
      <w:jc w:val="center"/>
      <w:outlineLvl w:val="0"/>
    </w:pPr>
    <w:rPr>
      <w:rFonts w:ascii="宋体" w:hAnsi="宋体" w:eastAsia="黑体"/>
      <w:kern w:val="44"/>
      <w:sz w:val="28"/>
      <w:szCs w:val="44"/>
    </w:rPr>
  </w:style>
  <w:style w:type="paragraph" w:styleId="5">
    <w:name w:val="heading 2"/>
    <w:basedOn w:val="1"/>
    <w:next w:val="1"/>
    <w:link w:val="54"/>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53"/>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spacing w:before="280" w:after="290" w:line="376" w:lineRule="auto"/>
      <w:outlineLvl w:val="4"/>
    </w:pPr>
    <w:rPr>
      <w:rFonts w:ascii="Times New Roman" w:hAnsi="Times New Roman"/>
      <w:b/>
      <w:sz w:val="28"/>
      <w:szCs w:val="20"/>
    </w:rPr>
  </w:style>
  <w:style w:type="paragraph" w:styleId="9">
    <w:name w:val="heading 6"/>
    <w:basedOn w:val="1"/>
    <w:next w:val="8"/>
    <w:link w:val="65"/>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8"/>
    <w:link w:val="66"/>
    <w:qFormat/>
    <w:uiPriority w:val="0"/>
    <w:pPr>
      <w:keepNext/>
      <w:keepLines/>
      <w:spacing w:before="240" w:after="64" w:line="320" w:lineRule="auto"/>
      <w:outlineLvl w:val="6"/>
    </w:pPr>
    <w:rPr>
      <w:rFonts w:ascii="Times New Roman" w:hAnsi="Times New Roman"/>
      <w:b/>
      <w:sz w:val="24"/>
      <w:szCs w:val="20"/>
    </w:rPr>
  </w:style>
  <w:style w:type="paragraph" w:styleId="11">
    <w:name w:val="heading 8"/>
    <w:basedOn w:val="1"/>
    <w:next w:val="8"/>
    <w:link w:val="67"/>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8"/>
    <w:link w:val="68"/>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2">
    <w:name w:val="Plain Text"/>
    <w:basedOn w:val="1"/>
    <w:link w:val="76"/>
    <w:qFormat/>
    <w:uiPriority w:val="0"/>
    <w:rPr>
      <w:rFonts w:ascii="宋体" w:hAnsi="Courier New"/>
      <w:szCs w:val="20"/>
    </w:rPr>
  </w:style>
  <w:style w:type="paragraph" w:styleId="8">
    <w:name w:val="Normal Indent"/>
    <w:basedOn w:val="1"/>
    <w:link w:val="168"/>
    <w:qFormat/>
    <w:uiPriority w:val="0"/>
    <w:pPr>
      <w:ind w:firstLine="420"/>
    </w:pPr>
    <w:rPr>
      <w:rFonts w:ascii="Times New Roman" w:hAnsi="Times New Roman"/>
      <w:szCs w:val="20"/>
    </w:rPr>
  </w:style>
  <w:style w:type="paragraph" w:styleId="13">
    <w:name w:val="toc 7"/>
    <w:basedOn w:val="1"/>
    <w:next w:val="1"/>
    <w:semiHidden/>
    <w:qFormat/>
    <w:uiPriority w:val="0"/>
    <w:pPr>
      <w:ind w:left="1260"/>
      <w:jc w:val="left"/>
    </w:pPr>
    <w:rPr>
      <w:rFonts w:ascii="Times New Roman" w:hAnsi="Times New Roman"/>
    </w:rPr>
  </w:style>
  <w:style w:type="paragraph" w:styleId="14">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5">
    <w:name w:val="List Bullet"/>
    <w:basedOn w:val="1"/>
    <w:qFormat/>
    <w:uiPriority w:val="0"/>
    <w:pPr>
      <w:tabs>
        <w:tab w:val="left" w:pos="360"/>
      </w:tabs>
      <w:ind w:left="360" w:hanging="360" w:hangingChars="200"/>
    </w:pPr>
    <w:rPr>
      <w:rFonts w:ascii="Times New Roman" w:hAnsi="Times New Roman"/>
      <w:szCs w:val="20"/>
    </w:rPr>
  </w:style>
  <w:style w:type="paragraph" w:styleId="16">
    <w:name w:val="Document Map"/>
    <w:basedOn w:val="1"/>
    <w:link w:val="73"/>
    <w:semiHidden/>
    <w:qFormat/>
    <w:uiPriority w:val="0"/>
    <w:pPr>
      <w:shd w:val="clear" w:color="auto" w:fill="000080"/>
    </w:pPr>
    <w:rPr>
      <w:rFonts w:ascii="Times New Roman" w:hAnsi="Times New Roman"/>
      <w:szCs w:val="24"/>
    </w:rPr>
  </w:style>
  <w:style w:type="paragraph" w:styleId="17">
    <w:name w:val="annotation text"/>
    <w:basedOn w:val="1"/>
    <w:link w:val="69"/>
    <w:semiHidden/>
    <w:unhideWhenUsed/>
    <w:qFormat/>
    <w:uiPriority w:val="0"/>
    <w:pPr>
      <w:jc w:val="left"/>
    </w:pPr>
  </w:style>
  <w:style w:type="paragraph" w:styleId="18">
    <w:name w:val="Body Text 3"/>
    <w:basedOn w:val="1"/>
    <w:link w:val="74"/>
    <w:qFormat/>
    <w:uiPriority w:val="0"/>
    <w:pPr>
      <w:spacing w:after="120"/>
    </w:pPr>
    <w:rPr>
      <w:rFonts w:ascii="Times New Roman" w:hAnsi="Times New Roman"/>
      <w:sz w:val="16"/>
      <w:szCs w:val="16"/>
    </w:rPr>
  </w:style>
  <w:style w:type="paragraph" w:styleId="19">
    <w:name w:val="Body Text"/>
    <w:basedOn w:val="1"/>
    <w:link w:val="71"/>
    <w:unhideWhenUsed/>
    <w:qFormat/>
    <w:uiPriority w:val="0"/>
    <w:pPr>
      <w:spacing w:after="120"/>
    </w:pPr>
  </w:style>
  <w:style w:type="paragraph" w:styleId="20">
    <w:name w:val="Body Text Indent"/>
    <w:basedOn w:val="1"/>
    <w:link w:val="75"/>
    <w:qFormat/>
    <w:uiPriority w:val="0"/>
    <w:pPr>
      <w:spacing w:line="360" w:lineRule="auto"/>
      <w:ind w:firstLine="420" w:firstLineChars="200"/>
    </w:pPr>
    <w:rPr>
      <w:rFonts w:ascii="Times New Roman" w:hAnsi="Times New Roman"/>
      <w:szCs w:val="24"/>
    </w:rPr>
  </w:style>
  <w:style w:type="paragraph" w:styleId="21">
    <w:name w:val="toc 5"/>
    <w:basedOn w:val="1"/>
    <w:next w:val="1"/>
    <w:semiHidden/>
    <w:qFormat/>
    <w:uiPriority w:val="0"/>
    <w:pPr>
      <w:ind w:left="840"/>
      <w:jc w:val="left"/>
    </w:pPr>
    <w:rPr>
      <w:rFonts w:ascii="Times New Roman" w:hAnsi="Times New Roman"/>
    </w:rPr>
  </w:style>
  <w:style w:type="paragraph" w:styleId="22">
    <w:name w:val="toc 3"/>
    <w:basedOn w:val="1"/>
    <w:next w:val="1"/>
    <w:qFormat/>
    <w:uiPriority w:val="39"/>
    <w:pPr>
      <w:ind w:left="420"/>
      <w:jc w:val="left"/>
    </w:pPr>
    <w:rPr>
      <w:rFonts w:ascii="Times New Roman" w:hAnsi="Times New Roman"/>
      <w:i/>
      <w:iCs/>
      <w:szCs w:val="24"/>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7"/>
    <w:qFormat/>
    <w:uiPriority w:val="0"/>
    <w:rPr>
      <w:rFonts w:ascii="宋体" w:hAnsi="Courier New"/>
      <w:sz w:val="32"/>
      <w:szCs w:val="20"/>
    </w:rPr>
  </w:style>
  <w:style w:type="paragraph" w:styleId="25">
    <w:name w:val="Body Text Indent 2"/>
    <w:basedOn w:val="1"/>
    <w:link w:val="78"/>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9"/>
    <w:semiHidden/>
    <w:qFormat/>
    <w:uiPriority w:val="0"/>
    <w:rPr>
      <w:rFonts w:ascii="Times New Roman" w:hAnsi="Times New Roman"/>
      <w:sz w:val="18"/>
      <w:szCs w:val="18"/>
    </w:rPr>
  </w:style>
  <w:style w:type="paragraph" w:styleId="27">
    <w:name w:val="footer"/>
    <w:basedOn w:val="1"/>
    <w:link w:val="61"/>
    <w:unhideWhenUsed/>
    <w:qFormat/>
    <w:uiPriority w:val="0"/>
    <w:pPr>
      <w:tabs>
        <w:tab w:val="center" w:pos="4153"/>
        <w:tab w:val="right" w:pos="8306"/>
      </w:tabs>
      <w:snapToGrid w:val="0"/>
      <w:jc w:val="left"/>
    </w:pPr>
    <w:rPr>
      <w:sz w:val="18"/>
      <w:szCs w:val="18"/>
    </w:rPr>
  </w:style>
  <w:style w:type="paragraph" w:styleId="28">
    <w:name w:val="header"/>
    <w:basedOn w:val="1"/>
    <w:link w:val="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80"/>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81"/>
    <w:qFormat/>
    <w:uiPriority w:val="0"/>
    <w:pPr>
      <w:spacing w:line="360" w:lineRule="auto"/>
    </w:pPr>
    <w:rPr>
      <w:rFonts w:ascii="Times New Roman" w:hAnsi="Times New Roman"/>
      <w:sz w:val="24"/>
      <w:szCs w:val="24"/>
    </w:rPr>
  </w:style>
  <w:style w:type="paragraph" w:styleId="37">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3"/>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7"/>
    <w:next w:val="17"/>
    <w:link w:val="70"/>
    <w:qFormat/>
    <w:uiPriority w:val="0"/>
    <w:pPr>
      <w:autoSpaceDE w:val="0"/>
      <w:autoSpaceDN w:val="0"/>
    </w:pPr>
    <w:rPr>
      <w:rFonts w:ascii="宋体" w:hAnsi="Times New Roman"/>
      <w:kern w:val="0"/>
      <w:sz w:val="34"/>
      <w:szCs w:val="20"/>
    </w:rPr>
  </w:style>
  <w:style w:type="paragraph" w:styleId="42">
    <w:name w:val="Body Text First Indent"/>
    <w:basedOn w:val="19"/>
    <w:link w:val="72"/>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样式2"/>
    <w:basedOn w:val="40"/>
    <w:next w:val="52"/>
    <w:qFormat/>
    <w:uiPriority w:val="0"/>
    <w:pPr>
      <w:spacing w:before="120" w:after="120"/>
    </w:pPr>
    <w:rPr>
      <w:rFonts w:eastAsia="黑体"/>
      <w:b w:val="0"/>
      <w:sz w:val="30"/>
      <w:szCs w:val="30"/>
    </w:rPr>
  </w:style>
  <w:style w:type="paragraph" w:customStyle="1" w:styleId="52">
    <w:name w:val="样式1"/>
    <w:basedOn w:val="40"/>
    <w:qFormat/>
    <w:uiPriority w:val="0"/>
    <w:pPr>
      <w:spacing w:before="120" w:after="120"/>
    </w:pPr>
    <w:rPr>
      <w:rFonts w:eastAsia="黑体"/>
      <w:b w:val="0"/>
      <w:sz w:val="30"/>
      <w:szCs w:val="21"/>
    </w:rPr>
  </w:style>
  <w:style w:type="character" w:customStyle="1" w:styleId="53">
    <w:name w:val="标题 3 字符"/>
    <w:basedOn w:val="45"/>
    <w:link w:val="4"/>
    <w:qFormat/>
    <w:uiPriority w:val="0"/>
    <w:rPr>
      <w:rFonts w:ascii="Calibri" w:hAnsi="Calibri" w:eastAsia="宋体" w:cs="Times New Roman"/>
      <w:b/>
      <w:bCs/>
      <w:sz w:val="32"/>
      <w:szCs w:val="32"/>
    </w:rPr>
  </w:style>
  <w:style w:type="character" w:customStyle="1" w:styleId="54">
    <w:name w:val="标题 2 字符"/>
    <w:basedOn w:val="45"/>
    <w:link w:val="5"/>
    <w:qFormat/>
    <w:uiPriority w:val="0"/>
    <w:rPr>
      <w:rFonts w:ascii="Cambria" w:hAnsi="Cambria" w:eastAsia="宋体" w:cs="Times New Roman"/>
      <w:b/>
      <w:bCs/>
      <w:sz w:val="32"/>
      <w:szCs w:val="32"/>
    </w:rPr>
  </w:style>
  <w:style w:type="character" w:customStyle="1" w:styleId="55">
    <w:name w:val="15"/>
    <w:basedOn w:val="45"/>
    <w:qFormat/>
    <w:uiPriority w:val="0"/>
    <w:rPr>
      <w:rFonts w:hint="default" w:ascii="Calibri" w:hAnsi="Calibri" w:cs="Calibri"/>
      <w:sz w:val="22"/>
      <w:szCs w:val="22"/>
    </w:rPr>
  </w:style>
  <w:style w:type="paragraph" w:customStyle="1" w:styleId="56">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7">
    <w:name w:val="_Style 4"/>
    <w:basedOn w:val="1"/>
    <w:qFormat/>
    <w:uiPriority w:val="0"/>
    <w:pPr>
      <w:ind w:firstLine="420" w:firstLineChars="200"/>
    </w:pPr>
  </w:style>
  <w:style w:type="paragraph" w:customStyle="1" w:styleId="58">
    <w:name w:val="列出段落11"/>
    <w:basedOn w:val="1"/>
    <w:qFormat/>
    <w:uiPriority w:val="0"/>
    <w:pPr>
      <w:ind w:firstLine="420" w:firstLineChars="200"/>
    </w:pPr>
    <w:rPr>
      <w:rFonts w:ascii="Times New Roman" w:hAnsi="Times New Roman"/>
    </w:rPr>
  </w:style>
  <w:style w:type="paragraph" w:styleId="59">
    <w:name w:val="List Paragraph"/>
    <w:basedOn w:val="1"/>
    <w:link w:val="203"/>
    <w:qFormat/>
    <w:uiPriority w:val="34"/>
    <w:pPr>
      <w:ind w:firstLine="420" w:firstLineChars="200"/>
    </w:pPr>
  </w:style>
  <w:style w:type="character" w:customStyle="1" w:styleId="60">
    <w:name w:val="页眉 字符"/>
    <w:basedOn w:val="45"/>
    <w:link w:val="28"/>
    <w:qFormat/>
    <w:uiPriority w:val="0"/>
    <w:rPr>
      <w:rFonts w:ascii="Calibri" w:hAnsi="Calibri" w:eastAsia="宋体" w:cs="Times New Roman"/>
      <w:sz w:val="18"/>
      <w:szCs w:val="18"/>
    </w:rPr>
  </w:style>
  <w:style w:type="character" w:customStyle="1" w:styleId="61">
    <w:name w:val="页脚 字符"/>
    <w:basedOn w:val="45"/>
    <w:link w:val="27"/>
    <w:qFormat/>
    <w:uiPriority w:val="0"/>
    <w:rPr>
      <w:rFonts w:ascii="Calibri" w:hAnsi="Calibri" w:eastAsia="宋体" w:cs="Times New Roman"/>
      <w:sz w:val="18"/>
      <w:szCs w:val="18"/>
    </w:rPr>
  </w:style>
  <w:style w:type="character" w:customStyle="1" w:styleId="62">
    <w:name w:val="标题 1 字符"/>
    <w:basedOn w:val="45"/>
    <w:link w:val="3"/>
    <w:qFormat/>
    <w:uiPriority w:val="0"/>
    <w:rPr>
      <w:rFonts w:ascii="宋体" w:hAnsi="宋体" w:eastAsia="黑体" w:cs="Times New Roman"/>
      <w:b/>
      <w:bCs/>
      <w:kern w:val="44"/>
      <w:sz w:val="28"/>
      <w:szCs w:val="44"/>
    </w:rPr>
  </w:style>
  <w:style w:type="character" w:customStyle="1" w:styleId="63">
    <w:name w:val="标题 4 字符"/>
    <w:basedOn w:val="45"/>
    <w:link w:val="6"/>
    <w:qFormat/>
    <w:uiPriority w:val="0"/>
    <w:rPr>
      <w:rFonts w:ascii="Arial" w:hAnsi="Arial" w:eastAsia="黑体" w:cs="Times New Roman"/>
      <w:b/>
      <w:bCs/>
      <w:sz w:val="28"/>
      <w:szCs w:val="28"/>
    </w:rPr>
  </w:style>
  <w:style w:type="character" w:customStyle="1" w:styleId="64">
    <w:name w:val="标题 5 字符"/>
    <w:basedOn w:val="45"/>
    <w:link w:val="7"/>
    <w:qFormat/>
    <w:uiPriority w:val="0"/>
    <w:rPr>
      <w:rFonts w:ascii="Times New Roman" w:hAnsi="Times New Roman" w:eastAsia="宋体" w:cs="Times New Roman"/>
      <w:b/>
      <w:sz w:val="28"/>
      <w:szCs w:val="20"/>
    </w:rPr>
  </w:style>
  <w:style w:type="character" w:customStyle="1" w:styleId="65">
    <w:name w:val="标题 6 字符"/>
    <w:basedOn w:val="45"/>
    <w:link w:val="9"/>
    <w:qFormat/>
    <w:uiPriority w:val="0"/>
    <w:rPr>
      <w:rFonts w:ascii="Arial" w:hAnsi="Arial" w:eastAsia="黑体" w:cs="Times New Roman"/>
      <w:b/>
      <w:sz w:val="24"/>
      <w:szCs w:val="20"/>
    </w:rPr>
  </w:style>
  <w:style w:type="character" w:customStyle="1" w:styleId="66">
    <w:name w:val="标题 7 字符"/>
    <w:basedOn w:val="45"/>
    <w:link w:val="10"/>
    <w:qFormat/>
    <w:uiPriority w:val="0"/>
    <w:rPr>
      <w:rFonts w:ascii="Times New Roman" w:hAnsi="Times New Roman" w:eastAsia="宋体" w:cs="Times New Roman"/>
      <w:b/>
      <w:sz w:val="24"/>
      <w:szCs w:val="20"/>
    </w:rPr>
  </w:style>
  <w:style w:type="character" w:customStyle="1" w:styleId="67">
    <w:name w:val="标题 8 字符"/>
    <w:basedOn w:val="45"/>
    <w:link w:val="11"/>
    <w:qFormat/>
    <w:uiPriority w:val="0"/>
    <w:rPr>
      <w:rFonts w:ascii="Arial" w:hAnsi="Arial" w:eastAsia="黑体" w:cs="Times New Roman"/>
      <w:sz w:val="24"/>
      <w:szCs w:val="20"/>
    </w:rPr>
  </w:style>
  <w:style w:type="character" w:customStyle="1" w:styleId="68">
    <w:name w:val="标题 9 字符"/>
    <w:basedOn w:val="45"/>
    <w:link w:val="12"/>
    <w:qFormat/>
    <w:uiPriority w:val="0"/>
    <w:rPr>
      <w:rFonts w:ascii="Arial" w:hAnsi="Arial" w:eastAsia="黑体" w:cs="Times New Roman"/>
      <w:szCs w:val="20"/>
    </w:rPr>
  </w:style>
  <w:style w:type="character" w:customStyle="1" w:styleId="69">
    <w:name w:val="批注文字 字符"/>
    <w:basedOn w:val="45"/>
    <w:link w:val="17"/>
    <w:semiHidden/>
    <w:qFormat/>
    <w:uiPriority w:val="0"/>
    <w:rPr>
      <w:rFonts w:ascii="Calibri" w:hAnsi="Calibri" w:eastAsia="宋体" w:cs="Times New Roman"/>
      <w:szCs w:val="21"/>
    </w:rPr>
  </w:style>
  <w:style w:type="character" w:customStyle="1" w:styleId="70">
    <w:name w:val="批注主题 字符"/>
    <w:basedOn w:val="69"/>
    <w:link w:val="41"/>
    <w:qFormat/>
    <w:uiPriority w:val="0"/>
    <w:rPr>
      <w:rFonts w:ascii="宋体" w:hAnsi="Times New Roman" w:eastAsia="宋体" w:cs="Times New Roman"/>
      <w:kern w:val="0"/>
      <w:sz w:val="34"/>
      <w:szCs w:val="20"/>
    </w:rPr>
  </w:style>
  <w:style w:type="character" w:customStyle="1" w:styleId="71">
    <w:name w:val="正文文本 字符"/>
    <w:basedOn w:val="45"/>
    <w:link w:val="19"/>
    <w:qFormat/>
    <w:uiPriority w:val="0"/>
    <w:rPr>
      <w:rFonts w:ascii="Calibri" w:hAnsi="Calibri" w:eastAsia="宋体" w:cs="Times New Roman"/>
      <w:szCs w:val="21"/>
    </w:rPr>
  </w:style>
  <w:style w:type="character" w:customStyle="1" w:styleId="72">
    <w:name w:val="正文首行缩进 字符"/>
    <w:basedOn w:val="71"/>
    <w:link w:val="42"/>
    <w:qFormat/>
    <w:uiPriority w:val="0"/>
    <w:rPr>
      <w:rFonts w:ascii="Times New Roman" w:hAnsi="Times New Roman" w:eastAsia="宋体" w:cs="Times New Roman"/>
      <w:b/>
      <w:bCs/>
      <w:szCs w:val="24"/>
    </w:rPr>
  </w:style>
  <w:style w:type="character" w:customStyle="1" w:styleId="73">
    <w:name w:val="文档结构图 字符"/>
    <w:basedOn w:val="45"/>
    <w:link w:val="16"/>
    <w:semiHidden/>
    <w:qFormat/>
    <w:uiPriority w:val="0"/>
    <w:rPr>
      <w:rFonts w:ascii="Times New Roman" w:hAnsi="Times New Roman" w:eastAsia="宋体" w:cs="Times New Roman"/>
      <w:szCs w:val="24"/>
      <w:shd w:val="clear" w:color="auto" w:fill="000080"/>
    </w:rPr>
  </w:style>
  <w:style w:type="character" w:customStyle="1" w:styleId="74">
    <w:name w:val="正文文本 3 字符"/>
    <w:basedOn w:val="45"/>
    <w:link w:val="18"/>
    <w:qFormat/>
    <w:uiPriority w:val="0"/>
    <w:rPr>
      <w:rFonts w:ascii="Times New Roman" w:hAnsi="Times New Roman" w:eastAsia="宋体" w:cs="Times New Roman"/>
      <w:sz w:val="16"/>
      <w:szCs w:val="16"/>
    </w:rPr>
  </w:style>
  <w:style w:type="character" w:customStyle="1" w:styleId="75">
    <w:name w:val="正文文本缩进 字符"/>
    <w:basedOn w:val="45"/>
    <w:link w:val="20"/>
    <w:qFormat/>
    <w:uiPriority w:val="0"/>
    <w:rPr>
      <w:rFonts w:ascii="Times New Roman" w:hAnsi="Times New Roman" w:eastAsia="宋体" w:cs="Times New Roman"/>
      <w:szCs w:val="24"/>
    </w:rPr>
  </w:style>
  <w:style w:type="character" w:customStyle="1" w:styleId="76">
    <w:name w:val="纯文本 字符"/>
    <w:basedOn w:val="45"/>
    <w:link w:val="2"/>
    <w:qFormat/>
    <w:uiPriority w:val="0"/>
    <w:rPr>
      <w:rFonts w:ascii="宋体" w:hAnsi="Courier New" w:eastAsia="宋体" w:cs="Times New Roman"/>
      <w:szCs w:val="20"/>
    </w:rPr>
  </w:style>
  <w:style w:type="character" w:customStyle="1" w:styleId="77">
    <w:name w:val="日期 字符"/>
    <w:basedOn w:val="45"/>
    <w:link w:val="24"/>
    <w:qFormat/>
    <w:uiPriority w:val="0"/>
    <w:rPr>
      <w:rFonts w:ascii="宋体" w:hAnsi="Courier New" w:eastAsia="宋体" w:cs="Times New Roman"/>
      <w:sz w:val="32"/>
      <w:szCs w:val="20"/>
    </w:rPr>
  </w:style>
  <w:style w:type="character" w:customStyle="1" w:styleId="78">
    <w:name w:val="正文文本缩进 2 字符"/>
    <w:basedOn w:val="45"/>
    <w:link w:val="25"/>
    <w:qFormat/>
    <w:uiPriority w:val="0"/>
    <w:rPr>
      <w:rFonts w:ascii="宋体" w:hAnsi="宋体" w:eastAsia="宋体" w:cs="Times New Roman"/>
      <w:szCs w:val="24"/>
    </w:rPr>
  </w:style>
  <w:style w:type="character" w:customStyle="1" w:styleId="79">
    <w:name w:val="批注框文本 字符"/>
    <w:basedOn w:val="45"/>
    <w:link w:val="26"/>
    <w:semiHidden/>
    <w:qFormat/>
    <w:uiPriority w:val="0"/>
    <w:rPr>
      <w:rFonts w:ascii="Times New Roman" w:hAnsi="Times New Roman" w:eastAsia="宋体" w:cs="Times New Roman"/>
      <w:sz w:val="18"/>
      <w:szCs w:val="18"/>
    </w:rPr>
  </w:style>
  <w:style w:type="character" w:customStyle="1" w:styleId="80">
    <w:name w:val="正文文本缩进 3 字符"/>
    <w:basedOn w:val="45"/>
    <w:link w:val="33"/>
    <w:qFormat/>
    <w:uiPriority w:val="0"/>
    <w:rPr>
      <w:rFonts w:ascii="宋体" w:hAnsi="Times New Roman" w:eastAsia="宋体" w:cs="Times New Roman"/>
      <w:b/>
      <w:bCs/>
      <w:sz w:val="24"/>
      <w:szCs w:val="24"/>
    </w:rPr>
  </w:style>
  <w:style w:type="character" w:customStyle="1" w:styleId="81">
    <w:name w:val="正文文本 2 字符"/>
    <w:basedOn w:val="45"/>
    <w:link w:val="36"/>
    <w:qFormat/>
    <w:uiPriority w:val="0"/>
    <w:rPr>
      <w:rFonts w:ascii="Times New Roman" w:hAnsi="Times New Roman" w:eastAsia="宋体" w:cs="Times New Roman"/>
      <w:sz w:val="24"/>
      <w:szCs w:val="24"/>
    </w:rPr>
  </w:style>
  <w:style w:type="character" w:customStyle="1" w:styleId="82">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3">
    <w:name w:val="标题 字符"/>
    <w:basedOn w:val="45"/>
    <w:link w:val="40"/>
    <w:qFormat/>
    <w:uiPriority w:val="0"/>
    <w:rPr>
      <w:rFonts w:ascii="Arial" w:hAnsi="Arial" w:eastAsia="隶书" w:cs="Arial"/>
      <w:b/>
      <w:bCs/>
      <w:sz w:val="32"/>
      <w:szCs w:val="32"/>
    </w:rPr>
  </w:style>
  <w:style w:type="paragraph" w:customStyle="1" w:styleId="8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6">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7">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2">
    <w:name w:val="自定义正文"/>
    <w:basedOn w:val="1"/>
    <w:qFormat/>
    <w:uiPriority w:val="0"/>
    <w:pPr>
      <w:spacing w:afterLines="50"/>
      <w:ind w:left="600" w:leftChars="600"/>
    </w:pPr>
    <w:rPr>
      <w:rFonts w:ascii="Times New Roman" w:hAnsi="Times New Roman"/>
      <w:szCs w:val="24"/>
    </w:rPr>
  </w:style>
  <w:style w:type="paragraph" w:customStyle="1" w:styleId="93">
    <w:name w:val="Char Char Char Char Char"/>
    <w:basedOn w:val="1"/>
    <w:qFormat/>
    <w:uiPriority w:val="0"/>
    <w:rPr>
      <w:rFonts w:ascii="Tahoma" w:hAnsi="Tahoma"/>
      <w:sz w:val="24"/>
      <w:szCs w:val="20"/>
    </w:rPr>
  </w:style>
  <w:style w:type="paragraph" w:customStyle="1" w:styleId="94">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5">
    <w:name w:val="Char Char"/>
    <w:basedOn w:val="1"/>
    <w:qFormat/>
    <w:uiPriority w:val="0"/>
    <w:rPr>
      <w:rFonts w:ascii="Tahoma" w:hAnsi="Tahoma"/>
      <w:sz w:val="24"/>
      <w:szCs w:val="20"/>
    </w:rPr>
  </w:style>
  <w:style w:type="paragraph" w:customStyle="1" w:styleId="96">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8">
    <w:name w:val="列出段落1"/>
    <w:basedOn w:val="1"/>
    <w:qFormat/>
    <w:uiPriority w:val="0"/>
    <w:pPr>
      <w:ind w:firstLine="420" w:firstLineChars="200"/>
    </w:pPr>
    <w:rPr>
      <w:szCs w:val="22"/>
    </w:rPr>
  </w:style>
  <w:style w:type="paragraph" w:customStyle="1" w:styleId="99">
    <w:name w:val="USE 1"/>
    <w:basedOn w:val="1"/>
    <w:qFormat/>
    <w:uiPriority w:val="0"/>
    <w:pPr>
      <w:spacing w:line="200" w:lineRule="atLeast"/>
      <w:jc w:val="left"/>
    </w:pPr>
    <w:rPr>
      <w:rFonts w:ascii="宋体" w:hAnsi="宋体"/>
      <w:b/>
      <w:sz w:val="24"/>
      <w:szCs w:val="28"/>
    </w:rPr>
  </w:style>
  <w:style w:type="paragraph" w:customStyle="1" w:styleId="100">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101">
    <w:name w:val="正文文字缩进项目"/>
    <w:basedOn w:val="20"/>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2">
    <w:name w:val="样式 标题 2 + 段前: 13 磅 段后: 13 磅 行距: 单倍行距"/>
    <w:basedOn w:val="5"/>
    <w:qFormat/>
    <w:uiPriority w:val="0"/>
    <w:pPr>
      <w:spacing w:before="0" w:after="0" w:line="240" w:lineRule="auto"/>
    </w:pPr>
    <w:rPr>
      <w:rFonts w:cs="宋体"/>
      <w:szCs w:val="2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9"/>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3"/>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8"/>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20"/>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3"/>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8"/>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字符"/>
    <w:link w:val="59"/>
    <w:qFormat/>
    <w:uiPriority w:val="34"/>
    <w:rPr>
      <w:rFonts w:ascii="Calibri" w:hAnsi="Calibri"/>
      <w:kern w:val="2"/>
      <w:sz w:val="21"/>
      <w:szCs w:val="21"/>
    </w:rPr>
  </w:style>
  <w:style w:type="paragraph" w:customStyle="1" w:styleId="204">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9</Pages>
  <Words>3644</Words>
  <Characters>3766</Characters>
  <Lines>28</Lines>
  <Paragraphs>7</Paragraphs>
  <TotalTime>314</TotalTime>
  <ScaleCrop>false</ScaleCrop>
  <LinksUpToDate>false</LinksUpToDate>
  <CharactersWithSpaces>3779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2022-09-08T05:05:00Z</dcterms:created>
  <dc:creator>李刚</dc:creator>
  <cp:lastModifiedBy>WPS_1581317969</cp:lastModifiedBy>
  <cp:lastPrinted>2021-10-09T11:31:00Z</cp:lastPrinted>
  <dcterms:modified xsi:type="dcterms:W3CDTF">2022-09-19T03:39:19Z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4A31DAB896DA4D80985DE1B683C6E3D6</vt:lpwstr>
  </property>
</Properties>
</file>