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jc w:val="center"/>
        <w:rPr>
          <w:rFonts w:hint="eastAsia" w:ascii="宋体" w:hAnsi="宋体" w:eastAsia="宋体" w:cs="Times New Roman"/>
          <w:b/>
          <w:color w:val="3F3F3F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270" w:lineRule="atLeast"/>
        <w:jc w:val="center"/>
        <w:rPr>
          <w:rFonts w:hint="eastAsia" w:ascii="宋体" w:hAnsi="宋体" w:cs="Times New Roman"/>
          <w:b/>
          <w:color w:val="3F3F3F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cs="Times New Roman"/>
          <w:b/>
          <w:color w:val="3F3F3F"/>
          <w:kern w:val="0"/>
          <w:sz w:val="44"/>
          <w:szCs w:val="44"/>
          <w:shd w:val="clear" w:color="auto" w:fill="FFFFFF"/>
          <w:lang w:eastAsia="zh-CN"/>
        </w:rPr>
        <w:t>深圳市发展和改革委员会</w:t>
      </w:r>
      <w:r>
        <w:rPr>
          <w:rFonts w:hint="eastAsia" w:ascii="宋体" w:hAnsi="宋体" w:cs="Times New Roman"/>
          <w:b/>
          <w:color w:val="3F3F3F"/>
          <w:kern w:val="0"/>
          <w:sz w:val="44"/>
          <w:szCs w:val="44"/>
          <w:shd w:val="clear" w:color="auto" w:fill="FFFFFF"/>
          <w:lang w:val="en-US" w:eastAsia="zh-CN"/>
        </w:rPr>
        <w:t xml:space="preserve"> 深圳市人居环境委员会 深圳市经济贸易和信息化委员会</w:t>
      </w:r>
    </w:p>
    <w:p>
      <w:pPr>
        <w:widowControl/>
        <w:shd w:val="clear" w:color="auto" w:fill="FFFFFF"/>
        <w:spacing w:line="270" w:lineRule="atLeast"/>
        <w:jc w:val="center"/>
        <w:rPr>
          <w:rFonts w:hint="eastAsia" w:ascii="宋体" w:hAnsi="宋体" w:eastAsia="宋体" w:cs="Times New Roman"/>
          <w:b/>
          <w:color w:val="3F3F3F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Times New Roman"/>
          <w:b/>
          <w:color w:val="3F3F3F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宋体" w:hAnsi="宋体" w:cs="Times New Roman"/>
          <w:b/>
          <w:color w:val="3F3F3F"/>
          <w:kern w:val="0"/>
          <w:sz w:val="44"/>
          <w:szCs w:val="44"/>
          <w:shd w:val="clear" w:color="auto" w:fill="FFFFFF"/>
          <w:lang w:eastAsia="zh-CN"/>
        </w:rPr>
        <w:t>对</w:t>
      </w:r>
      <w:r>
        <w:rPr>
          <w:rFonts w:hint="eastAsia" w:ascii="宋体" w:hAnsi="宋体" w:eastAsia="宋体" w:cs="Times New Roman"/>
          <w:b/>
          <w:color w:val="3F3F3F"/>
          <w:kern w:val="0"/>
          <w:sz w:val="44"/>
          <w:szCs w:val="44"/>
          <w:shd w:val="clear" w:color="auto" w:fill="FFFFFF"/>
        </w:rPr>
        <w:t>高污染企业和限制类、禁止类</w:t>
      </w:r>
      <w:r>
        <w:rPr>
          <w:rFonts w:hint="eastAsia" w:ascii="宋体" w:hAnsi="宋体" w:cs="Times New Roman"/>
          <w:b/>
          <w:color w:val="3F3F3F"/>
          <w:kern w:val="0"/>
          <w:sz w:val="44"/>
          <w:szCs w:val="44"/>
          <w:shd w:val="clear" w:color="auto" w:fill="FFFFFF"/>
          <w:lang w:eastAsia="zh-CN"/>
        </w:rPr>
        <w:t>企业</w:t>
      </w:r>
      <w:r>
        <w:rPr>
          <w:rFonts w:hint="eastAsia" w:ascii="宋体" w:hAnsi="宋体" w:eastAsia="宋体" w:cs="Times New Roman"/>
          <w:b/>
          <w:color w:val="3F3F3F"/>
          <w:kern w:val="0"/>
          <w:sz w:val="44"/>
          <w:szCs w:val="44"/>
          <w:shd w:val="clear" w:color="auto" w:fill="FFFFFF"/>
        </w:rPr>
        <w:t>用水实行差别水价政策的通知</w:t>
      </w:r>
      <w:r>
        <w:rPr>
          <w:rFonts w:hint="eastAsia" w:ascii="宋体" w:hAnsi="宋体" w:cs="Times New Roman"/>
          <w:b/>
          <w:color w:val="3F3F3F"/>
          <w:kern w:val="0"/>
          <w:sz w:val="44"/>
          <w:szCs w:val="44"/>
          <w:shd w:val="clear" w:color="auto" w:fill="FFFFFF"/>
          <w:lang w:val="en-US" w:eastAsia="zh-CN"/>
        </w:rPr>
        <w:t>(征集意见稿)</w:t>
      </w:r>
    </w:p>
    <w:p>
      <w:pPr>
        <w:widowControl/>
        <w:spacing w:line="345" w:lineRule="atLeast"/>
        <w:ind w:left="226"/>
        <w:jc w:val="center"/>
        <w:outlineLvl w:val="1"/>
        <w:rPr>
          <w:rFonts w:hint="eastAsia" w:ascii="仿宋_GB2312" w:hAnsi="Arial" w:eastAsia="仿宋_GB2312" w:cs="Arial"/>
          <w:color w:val="AC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AC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345" w:lineRule="atLeast"/>
        <w:ind w:left="226"/>
        <w:jc w:val="left"/>
        <w:rPr>
          <w:rFonts w:hint="eastAsia" w:ascii="仿宋_GB2312" w:hAnsi="Arial" w:eastAsia="仿宋_GB2312" w:cs="Arial"/>
          <w:color w:val="3F3F3F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各有关单位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hd w:val="clear" w:color="auto" w:fill="FFFFFF"/>
        <w:spacing w:line="345" w:lineRule="atLeast"/>
        <w:ind w:left="226"/>
        <w:jc w:val="left"/>
        <w:rPr>
          <w:rFonts w:hint="eastAsia" w:ascii="仿宋_GB2312" w:hAnsi="Arial" w:eastAsia="仿宋_GB2312" w:cs="Arial"/>
          <w:color w:val="3F3F3F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 xml:space="preserve">    为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健全促进绿色生产的价格政策，充分发挥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价格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杠杆作用，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促进产业结构优化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升级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和生态文明建设，根据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《深圳市发展和改革委员会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val="en-US" w:eastAsia="zh-CN"/>
        </w:rPr>
        <w:t xml:space="preserve"> 深圳市水务局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关于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印发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val="en-US" w:eastAsia="zh-CN"/>
        </w:rPr>
        <w:t>&lt;深圳市水价改革实施方案&gt;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的通知》（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深发改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〔20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val="en-US" w:eastAsia="zh-CN"/>
        </w:rPr>
        <w:t>897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号）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规定，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决定对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我市高污染企业和限制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发展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类、禁止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发展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类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用水实施差别水价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政策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，现将有关事项通知如下：</w:t>
      </w:r>
    </w:p>
    <w:p>
      <w:pPr>
        <w:widowControl/>
        <w:shd w:val="clear" w:color="auto" w:fill="FFFFFF"/>
        <w:spacing w:line="345" w:lineRule="atLeast"/>
        <w:ind w:left="226" w:firstLine="640" w:firstLineChars="200"/>
        <w:jc w:val="left"/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</w:rPr>
        <w:t>一、实施</w:t>
      </w:r>
      <w:r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  <w:lang w:eastAsia="zh-CN"/>
        </w:rPr>
        <w:t>对象</w:t>
      </w:r>
    </w:p>
    <w:p>
      <w:pPr>
        <w:widowControl/>
        <w:shd w:val="clear" w:color="auto" w:fill="FFFFFF"/>
        <w:spacing w:line="345" w:lineRule="atLeast"/>
        <w:ind w:left="226"/>
        <w:jc w:val="left"/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（一）企业环境信用评价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结果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为黄牌（环保警示）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红牌（环保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不良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高污染企业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具体企业名单由市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人居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环境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委确定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345" w:lineRule="atLeast"/>
        <w:jc w:val="left"/>
        <w:rPr>
          <w:rFonts w:hint="eastAsia" w:ascii="仿宋_GB2312" w:hAnsi="Arial" w:eastAsia="仿宋_GB2312" w:cs="Arial"/>
          <w:color w:val="3F3F3F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列入《深圳市产业结构调整优化和产业导向目录》规定的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限制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发展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类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禁止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发展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类企业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具体企业名单由市经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贸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信息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委会同相关行业主管部门确定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345" w:lineRule="atLeast"/>
        <w:ind w:left="226"/>
        <w:jc w:val="left"/>
        <w:rPr>
          <w:rFonts w:hint="eastAsia" w:ascii="仿宋_GB2312" w:hAnsi="Arial" w:eastAsia="仿宋_GB2312" w:cs="Arial"/>
          <w:color w:val="3F3F3F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</w:rPr>
        <w:t>、差别水价标准</w:t>
      </w:r>
    </w:p>
    <w:p>
      <w:pPr>
        <w:widowControl/>
        <w:shd w:val="clear" w:color="auto" w:fill="FFFFFF"/>
        <w:spacing w:line="345" w:lineRule="atLeast"/>
        <w:ind w:left="226" w:firstLine="640" w:firstLineChars="200"/>
        <w:jc w:val="left"/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企业环境信用评价为黄牌的高污染企业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限制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发展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类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用水价格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其执行的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自来水分类水价基础上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上浮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；对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企业环境信用评价为红牌的高污染企业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禁止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发展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类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用水价格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其执行的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自来水分类水价基础上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上浮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345" w:lineRule="atLeast"/>
        <w:ind w:left="226" w:firstLine="640" w:firstLineChars="200"/>
        <w:jc w:val="left"/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</w:rPr>
        <w:t>、实施方式</w:t>
      </w:r>
    </w:p>
    <w:p>
      <w:pPr>
        <w:widowControl/>
        <w:shd w:val="clear" w:color="auto" w:fill="FFFFFF"/>
        <w:spacing w:line="345" w:lineRule="atLeast"/>
        <w:ind w:left="226" w:firstLine="640" w:firstLineChars="200"/>
        <w:jc w:val="left"/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差别水价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政策实行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动态管理。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自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市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人居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环境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委、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经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贸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信息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委确定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黄牌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红牌高污染企业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名单和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限制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禁止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发展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类企业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名单的下一个月起，对列入名单的企业执行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差别水价。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通过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转型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升级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、加强污染治理，退出上述名单的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，自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确定退出名单的下一个月起，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停止执行差别水价。</w:t>
      </w:r>
    </w:p>
    <w:p>
      <w:pPr>
        <w:widowControl/>
        <w:shd w:val="clear" w:color="auto" w:fill="FFFFFF"/>
        <w:spacing w:line="345" w:lineRule="atLeast"/>
        <w:ind w:left="226" w:firstLine="640" w:firstLineChars="200"/>
        <w:jc w:val="left"/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</w:rPr>
        <w:t>、收入管理</w:t>
      </w:r>
    </w:p>
    <w:p>
      <w:pPr>
        <w:widowControl/>
        <w:shd w:val="clear" w:color="auto" w:fill="FFFFFF"/>
        <w:spacing w:line="345" w:lineRule="atLeast"/>
        <w:ind w:left="226"/>
        <w:jc w:val="left"/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实行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差别水价增加的收入纳入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市自来水价格平衡账户</w:t>
      </w:r>
      <w:bookmarkStart w:id="0" w:name="_GoBack"/>
      <w:bookmarkEnd w:id="0"/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，用于调节自来水价格。</w:t>
      </w:r>
    </w:p>
    <w:p>
      <w:pPr>
        <w:widowControl/>
        <w:shd w:val="clear" w:color="auto" w:fill="FFFFFF"/>
        <w:spacing w:line="345" w:lineRule="atLeast"/>
        <w:ind w:left="226" w:firstLine="640" w:firstLineChars="200"/>
        <w:jc w:val="left"/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</w:rPr>
        <w:t>、实施要求</w:t>
      </w:r>
    </w:p>
    <w:p>
      <w:pPr>
        <w:widowControl/>
        <w:shd w:val="clear" w:color="auto" w:fill="FFFFFF"/>
        <w:spacing w:line="345" w:lineRule="atLeast"/>
        <w:ind w:left="226"/>
        <w:jc w:val="left"/>
        <w:rPr>
          <w:rFonts w:hint="eastAsia" w:ascii="仿宋_GB2312" w:hAnsi="Arial" w:eastAsia="仿宋_GB2312" w:cs="Arial"/>
          <w:color w:val="3F3F3F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市发展改革委负责实施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差别水价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政策的统筹工作，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市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人居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环境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委、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经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贸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信息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委负责确定实施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</w:rPr>
        <w:t>差别水价企业</w:t>
      </w:r>
      <w:r>
        <w:rPr>
          <w:rFonts w:hint="eastAsia" w:ascii="仿宋_GB2312" w:hAnsi="宋体" w:eastAsia="仿宋_GB2312" w:cs="Times New Roman"/>
          <w:color w:val="3F3F3F"/>
          <w:kern w:val="0"/>
          <w:sz w:val="32"/>
          <w:szCs w:val="32"/>
          <w:shd w:val="clear" w:color="auto" w:fill="FFFFFF"/>
          <w:lang w:eastAsia="zh-CN"/>
        </w:rPr>
        <w:t>名单并及时抄送市发展改革委，市发展改革委通知供水企业按差别水价收取相关企业水费。</w:t>
      </w:r>
    </w:p>
    <w:p>
      <w:pPr>
        <w:widowControl/>
        <w:shd w:val="clear" w:color="auto" w:fill="FFFFFF"/>
        <w:spacing w:line="345" w:lineRule="atLeast"/>
        <w:jc w:val="both"/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3F3F3F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</w:rPr>
        <w:t>实施</w:t>
      </w:r>
      <w:r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  <w:lang w:eastAsia="zh-CN"/>
        </w:rPr>
        <w:t>时间</w:t>
      </w:r>
    </w:p>
    <w:p>
      <w:pPr>
        <w:widowControl/>
        <w:shd w:val="clear" w:color="auto" w:fill="FFFFFF"/>
        <w:spacing w:line="345" w:lineRule="atLeast"/>
        <w:jc w:val="both"/>
        <w:rPr>
          <w:rFonts w:hint="eastAsia" w:ascii="仿宋_GB2312" w:hAnsi="Arial" w:eastAsia="仿宋_GB2312" w:cs="Arial"/>
          <w:color w:val="3F3F3F"/>
          <w:sz w:val="32"/>
          <w:szCs w:val="32"/>
        </w:rPr>
      </w:pPr>
      <w:r>
        <w:rPr>
          <w:rFonts w:hint="eastAsia" w:ascii="黑体" w:hAnsi="黑体" w:eastAsia="黑体" w:cs="黑体"/>
          <w:color w:val="3F3F3F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Arial" w:eastAsia="仿宋_GB2312" w:cs="Arial"/>
          <w:color w:val="3F3F3F"/>
          <w:sz w:val="32"/>
          <w:szCs w:val="32"/>
          <w:lang w:val="en-US" w:eastAsia="zh-CN"/>
        </w:rPr>
        <w:t>本通知从2018年月日起执行。</w:t>
      </w:r>
      <w:r>
        <w:rPr>
          <w:rFonts w:hint="eastAsia" w:ascii="仿宋_GB2312" w:hAnsi="Arial" w:eastAsia="仿宋_GB2312" w:cs="Arial"/>
          <w:color w:val="3F3F3F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45" w:lineRule="atLeast"/>
        <w:ind w:left="226"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jllNWI0MTE2ZWQyNjk3MjdkMDA3MjZlMzhkMzEifQ=="/>
  </w:docVars>
  <w:rsids>
    <w:rsidRoot w:val="0092243C"/>
    <w:rsid w:val="000B280E"/>
    <w:rsid w:val="0013426D"/>
    <w:rsid w:val="001454BD"/>
    <w:rsid w:val="00396257"/>
    <w:rsid w:val="008D5787"/>
    <w:rsid w:val="0092243C"/>
    <w:rsid w:val="00BD4051"/>
    <w:rsid w:val="059A38C4"/>
    <w:rsid w:val="09126939"/>
    <w:rsid w:val="19004393"/>
    <w:rsid w:val="201051FC"/>
    <w:rsid w:val="2AE202A4"/>
    <w:rsid w:val="2BB36041"/>
    <w:rsid w:val="2E402DEC"/>
    <w:rsid w:val="2F116CAB"/>
    <w:rsid w:val="3AE138A5"/>
    <w:rsid w:val="3F621D73"/>
    <w:rsid w:val="45044225"/>
    <w:rsid w:val="468A0FF3"/>
    <w:rsid w:val="47F45A2D"/>
    <w:rsid w:val="48F600B8"/>
    <w:rsid w:val="4B46709E"/>
    <w:rsid w:val="4F676753"/>
    <w:rsid w:val="526925C3"/>
    <w:rsid w:val="5ABD2ACD"/>
    <w:rsid w:val="5CE83869"/>
    <w:rsid w:val="5D5C44D6"/>
    <w:rsid w:val="60375998"/>
    <w:rsid w:val="6463123F"/>
    <w:rsid w:val="64CF1BF3"/>
    <w:rsid w:val="6D730E0B"/>
    <w:rsid w:val="6F8276C4"/>
    <w:rsid w:val="73DC4D25"/>
    <w:rsid w:val="76936197"/>
    <w:rsid w:val="79580D66"/>
    <w:rsid w:val="796A59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738</Words>
  <Characters>750</Characters>
  <Lines>14</Lines>
  <Paragraphs>4</Paragraphs>
  <TotalTime>0</TotalTime>
  <ScaleCrop>false</ScaleCrop>
  <LinksUpToDate>false</LinksUpToDate>
  <CharactersWithSpaces>788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2017-12-11T03:15:00Z</dcterms:created>
  <dc:creator>邱名训</dc:creator>
  <cp:lastModifiedBy>WPS_1581317969</cp:lastModifiedBy>
  <dcterms:modified xsi:type="dcterms:W3CDTF">2022-07-28T08:49:22Z</dcterms:modified>
  <dc:title>关于限制类、禁止类和高污染企业用水实行差别水价政策的通知(征求意见稿)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F2A5BC5F0D5547728E0D0D0EBA454DC5</vt:lpwstr>
  </property>
</Properties>
</file>