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宋体" w:hAnsi="宋体" w:cs="Arial"/>
          <w:b/>
          <w:bCs/>
          <w:color w:val="000000"/>
          <w:kern w:val="36"/>
          <w:sz w:val="44"/>
          <w:szCs w:val="44"/>
        </w:rPr>
      </w:pPr>
    </w:p>
    <w:p>
      <w:pPr>
        <w:widowControl/>
        <w:shd w:val="clear" w:color="auto" w:fill="FFFFFF"/>
        <w:ind w:right="840" w:rightChars="400"/>
        <w:jc w:val="left"/>
        <w:rPr>
          <w:rFonts w:ascii="仿宋_GB2312" w:eastAsia="仿宋_GB2312"/>
        </w:rPr>
      </w:pPr>
      <w:r>
        <w:rPr>
          <w:rFonts w:hint="eastAsia" w:ascii="仿宋_GB2312" w:hAnsi="黑体" w:eastAsia="仿宋_GB2312"/>
          <w:sz w:val="32"/>
          <w:szCs w:val="32"/>
        </w:rPr>
        <w:t>附件：</w:t>
      </w:r>
    </w:p>
    <w:p>
      <w:pPr>
        <w:ind w:firstLine="866" w:firstLineChars="196"/>
        <w:rPr>
          <w:rFonts w:ascii="宋体" w:hAnsi="宋体"/>
          <w:b/>
          <w:sz w:val="44"/>
          <w:szCs w:val="44"/>
        </w:rPr>
      </w:pPr>
    </w:p>
    <w:p>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深圳市2017年第一批石墨烯、微纳米材料与器件产业化中试环节扶持专项申报指南</w:t>
      </w:r>
    </w:p>
    <w:p>
      <w:pPr>
        <w:spacing w:line="600" w:lineRule="exact"/>
        <w:rPr>
          <w:rFonts w:asciiTheme="majorEastAsia" w:hAnsiTheme="majorEastAsia" w:eastAsiaTheme="majorEastAsia"/>
          <w:b/>
          <w:sz w:val="44"/>
          <w:szCs w:val="44"/>
        </w:rPr>
      </w:pPr>
    </w:p>
    <w:p>
      <w:pPr>
        <w:pStyle w:val="25"/>
        <w:numPr>
          <w:ilvl w:val="0"/>
          <w:numId w:val="1"/>
        </w:numPr>
        <w:spacing w:line="600" w:lineRule="exact"/>
        <w:ind w:firstLineChars="0"/>
      </w:pPr>
      <w:r>
        <w:rPr>
          <w:rFonts w:hint="eastAsia"/>
        </w:rPr>
        <w:t>重点支持领域</w:t>
      </w:r>
    </w:p>
    <w:p>
      <w:pPr>
        <w:pStyle w:val="25"/>
        <w:spacing w:line="600" w:lineRule="exact"/>
        <w:ind w:firstLineChars="0"/>
        <w:rPr>
          <w:rFonts w:ascii="仿宋_GB2312" w:hAnsi="仿宋" w:eastAsia="仿宋_GB2312"/>
        </w:rPr>
      </w:pPr>
      <w:r>
        <w:rPr>
          <w:rFonts w:hint="eastAsia" w:ascii="楷体_GB2312" w:eastAsia="楷体_GB2312"/>
          <w:b/>
        </w:rPr>
        <w:t xml:space="preserve">  </w:t>
      </w:r>
      <w:r>
        <w:rPr>
          <w:rFonts w:hint="eastAsia" w:ascii="仿宋_GB2312" w:eastAsia="仿宋_GB2312"/>
        </w:rPr>
        <w:t>重点支持</w:t>
      </w:r>
      <w:r>
        <w:rPr>
          <w:rFonts w:hint="eastAsia" w:ascii="仿宋_GB2312" w:hAnsi="仿宋" w:eastAsia="仿宋_GB2312"/>
          <w:bCs/>
        </w:rPr>
        <w:t>石墨烯大面积、高质量制备技术、石墨烯基能量存储与转换应用材料、石墨烯基电子信息材料及器件、</w:t>
      </w:r>
      <w:r>
        <w:rPr>
          <w:rFonts w:hint="eastAsia" w:ascii="仿宋_GB2312" w:hAnsi="仿宋" w:eastAsia="仿宋_GB2312"/>
        </w:rPr>
        <w:t>石墨烯先进功能材料的中试等。</w:t>
      </w:r>
    </w:p>
    <w:p>
      <w:pPr>
        <w:pStyle w:val="25"/>
        <w:spacing w:line="600" w:lineRule="exact"/>
        <w:ind w:firstLineChars="0"/>
        <w:rPr>
          <w:rFonts w:ascii="仿宋_GB2312" w:hAnsi="仿宋" w:eastAsia="仿宋_GB2312"/>
          <w:bCs/>
        </w:rPr>
      </w:pPr>
      <w:r>
        <w:rPr>
          <w:rFonts w:hint="eastAsia" w:ascii="仿宋_GB2312" w:hAnsi="仿宋" w:eastAsia="仿宋_GB2312"/>
        </w:rPr>
        <w:t xml:space="preserve">  重点支持微纳米材料制备、微纳米材料与结构表征技术与检测设备、微纳米材料与器件、纳米药物与医学诊疗、能源与环境纳米材料制备及应用等重点方向的产业化中试。</w:t>
      </w:r>
    </w:p>
    <w:p>
      <w:pPr>
        <w:pStyle w:val="26"/>
        <w:spacing w:line="600" w:lineRule="exact"/>
        <w:rPr>
          <w:rFonts w:ascii="黑体" w:eastAsia="黑体"/>
        </w:rPr>
      </w:pPr>
      <w:r>
        <w:rPr>
          <w:rFonts w:hint="eastAsia" w:ascii="黑体" w:eastAsia="黑体"/>
        </w:rPr>
        <w:t>二、申报要求</w:t>
      </w:r>
    </w:p>
    <w:p>
      <w:pPr>
        <w:pStyle w:val="26"/>
        <w:spacing w:line="600" w:lineRule="exact"/>
      </w:pPr>
      <w:r>
        <w:rPr>
          <w:rFonts w:hint="eastAsia"/>
        </w:rPr>
        <w:t>（一）申报条件</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（1）项目申报单位是在深圳市</w:t>
      </w:r>
      <w:r>
        <w:rPr>
          <w:rFonts w:hint="eastAsia" w:ascii="仿宋_GB2312" w:hAnsi="Arial" w:eastAsia="仿宋_GB2312" w:cs="Arial"/>
          <w:color w:val="000000"/>
          <w:kern w:val="0"/>
          <w:sz w:val="32"/>
          <w:szCs w:val="32"/>
        </w:rPr>
        <w:t>（含深汕特别合作区）</w:t>
      </w:r>
      <w:r>
        <w:rPr>
          <w:rFonts w:hint="eastAsia" w:ascii="仿宋_GB2312" w:eastAsia="仿宋_GB2312"/>
          <w:sz w:val="32"/>
          <w:szCs w:val="32"/>
        </w:rPr>
        <w:t>注册、具备独立法人资格的从事以上重点领域的研发、生产及服务的</w:t>
      </w:r>
      <w:r>
        <w:rPr>
          <w:rFonts w:hint="eastAsia" w:ascii="仿宋_GB2312" w:hAnsi="Arial" w:eastAsia="仿宋_GB2312" w:cs="Arial"/>
          <w:color w:val="000000"/>
          <w:kern w:val="0"/>
          <w:sz w:val="32"/>
          <w:szCs w:val="32"/>
        </w:rPr>
        <w:t>企业、事业单位、社会团体或民办非企业等机构</w:t>
      </w:r>
      <w:r>
        <w:rPr>
          <w:rFonts w:hint="eastAsia" w:ascii="仿宋_GB2312" w:eastAsia="仿宋_GB2312"/>
          <w:sz w:val="32"/>
          <w:szCs w:val="32"/>
        </w:rPr>
        <w:t>。</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2）项目采用的自主技术成果(包括自主知识产权、消化吸收创新、国内外联合开发的技术等)应具有先进性和良好的推广应用价值，拥有有关成果鉴定、权威机构出具的认证或技术检测报告等证明材料、必要的认证和生产许可。</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（3）项目单位有较强的技术开发、资金筹措、项目实施能力，以及较好的资信等级，资产负债率在合理范围内，经营管理状况良好，具有开展相关项目产业化的生产、经营资格和实施条件。</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（4）项目符合国家产业政策和节能、降耗、环保、安全等要求，项目方案合理可行，具有较好的社会经济效益。</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（5）项目已按有关规定完成审批、备案或核准，且时限未超过两年，根据需要取得项目用地、环评、规划等批准文件。</w:t>
      </w:r>
    </w:p>
    <w:p>
      <w:pPr>
        <w:pStyle w:val="26"/>
        <w:spacing w:line="600" w:lineRule="exact"/>
      </w:pPr>
      <w:r>
        <w:rPr>
          <w:rFonts w:hint="eastAsia"/>
        </w:rPr>
        <w:t>（二）申报材料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申报项目完成核准或备案手续后，项目单位须登录深圳市重大科技产业专项在线申报系统填报单位信息和项目相关信息。在线申报系统网址http://203.91.46.81:7019/。完成在线申报后，应通过该系统打印项目资金申请报告及项目单位基本情况附表，并将申报项目及项目单位基本情况表、项目资金申请报告和相关附件胶装成册（一式两份）加盖单位公章后，提交至市发展改革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项目资金申请报告根据具体情况应包括以下附件（胶装成册时请按照以下顺序依次装订，含有原件的请在封面标明“原件”字样）：</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（1）项目单位法人注册文件、组织机构代码证；</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（2）社会投资项目的备案或核准文件（如项目涉及技术改造内容，项目单位在填报社会投资项目核准备案管理系统时，项目建设性质选择“技术改造”类别）；</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（3）银行出具（三个月内）的自有资金存款证明文件（原件1份）；</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（5）项目单位上一年财务审计报告；</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（6）上年度完税证明；</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（7）技术来源及技术先进性的有关证明文件；</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（8）必要的生产、经营许可及认证文件；</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（9）项目用地规划许可文件及土地使用权属证明，租赁场地的请提供租赁证明；</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（10）生态环境部</w:t>
      </w:r>
      <w:bookmarkStart w:id="0" w:name="_GoBack"/>
      <w:bookmarkEnd w:id="0"/>
      <w:r>
        <w:rPr>
          <w:rFonts w:hint="eastAsia" w:ascii="仿宋_GB2312" w:eastAsia="仿宋_GB2312"/>
          <w:sz w:val="32"/>
          <w:szCs w:val="32"/>
        </w:rPr>
        <w:t>门出具的环境影响评价文件的审批意见；</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（11）项目新增设备和软件购置清单；</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（12）申报项目使用政府补助资金招标事项计划表；</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（13）项目管理承诺函；</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（14）项目单位自主申报以及对项目资金申请报告内容和附属文件真实性负责的声明。</w:t>
      </w:r>
    </w:p>
    <w:p>
      <w:pPr>
        <w:pStyle w:val="26"/>
        <w:spacing w:line="600" w:lineRule="exact"/>
      </w:pPr>
      <w:r>
        <w:rPr>
          <w:rFonts w:hint="eastAsia"/>
        </w:rPr>
        <w:t>（三）资金申请报告编制要求</w:t>
      </w:r>
    </w:p>
    <w:p>
      <w:pPr>
        <w:pStyle w:val="41"/>
        <w:spacing w:line="600" w:lineRule="exact"/>
        <w:ind w:firstLine="482" w:firstLineChars="150"/>
        <w:rPr>
          <w:rFonts w:ascii="仿宋_GB2312"/>
          <w:szCs w:val="32"/>
        </w:rPr>
      </w:pPr>
      <w:r>
        <w:rPr>
          <w:rFonts w:hint="eastAsia" w:ascii="仿宋_GB2312"/>
          <w:b/>
          <w:szCs w:val="32"/>
        </w:rPr>
        <w:t>（1）项目摘要</w:t>
      </w:r>
      <w:r>
        <w:rPr>
          <w:rFonts w:hint="eastAsia" w:ascii="仿宋_GB2312"/>
          <w:szCs w:val="32"/>
        </w:rPr>
        <w:t>（4000字以内）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项目名称、法人概况、项目背景和必要性、技术基础，建设内容、规模、方案和地点，项目运营模式，各项建设条件落实情况，项目总投资及资金来源、技术工艺、经济和社会效益分析等。</w:t>
      </w:r>
    </w:p>
    <w:p>
      <w:pPr>
        <w:pStyle w:val="41"/>
        <w:spacing w:line="600" w:lineRule="exact"/>
        <w:ind w:firstLine="482" w:firstLineChars="150"/>
        <w:rPr>
          <w:rFonts w:ascii="仿宋_GB2312"/>
          <w:b/>
          <w:szCs w:val="32"/>
        </w:rPr>
      </w:pPr>
      <w:r>
        <w:rPr>
          <w:rFonts w:hint="eastAsia" w:ascii="仿宋_GB2312"/>
          <w:b/>
          <w:szCs w:val="32"/>
        </w:rPr>
        <w:t>（2）项目的背景和必要性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国内外现状和技术发展趋势，对产业发展的作用与影响，产业关联度分析，市场分析。</w:t>
      </w:r>
    </w:p>
    <w:p>
      <w:pPr>
        <w:pStyle w:val="41"/>
        <w:spacing w:line="600" w:lineRule="exact"/>
        <w:ind w:firstLine="482" w:firstLineChars="150"/>
        <w:rPr>
          <w:rFonts w:ascii="仿宋_GB2312"/>
          <w:b/>
          <w:szCs w:val="32"/>
        </w:rPr>
      </w:pPr>
      <w:r>
        <w:rPr>
          <w:rFonts w:hint="eastAsia" w:ascii="仿宋_GB2312"/>
          <w:b/>
          <w:szCs w:val="32"/>
        </w:rPr>
        <w:t>（3）项目单位的基本情况和财务状况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pPr>
        <w:pStyle w:val="41"/>
        <w:spacing w:line="600" w:lineRule="exact"/>
        <w:ind w:firstLine="482" w:firstLineChars="150"/>
        <w:rPr>
          <w:rFonts w:ascii="仿宋_GB2312"/>
          <w:b/>
          <w:szCs w:val="32"/>
        </w:rPr>
      </w:pPr>
      <w:r>
        <w:rPr>
          <w:rFonts w:hint="eastAsia" w:ascii="仿宋_GB2312"/>
          <w:b/>
          <w:szCs w:val="32"/>
        </w:rPr>
        <w:t>（4）项目的技术基础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41"/>
        <w:spacing w:line="600" w:lineRule="exact"/>
        <w:ind w:firstLine="482" w:firstLineChars="150"/>
        <w:rPr>
          <w:rFonts w:ascii="仿宋_GB2312"/>
          <w:b/>
          <w:szCs w:val="32"/>
        </w:rPr>
      </w:pPr>
      <w:r>
        <w:rPr>
          <w:rFonts w:hint="eastAsia" w:ascii="仿宋_GB2312"/>
          <w:b/>
          <w:szCs w:val="32"/>
        </w:rPr>
        <w:t>（5）建设方案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项目建设的主要内容、建设规模、采用的工艺路线与技术特点、设备选型及主要技术经济指标、项目招标内容、项目盈利运营模式、产品市场预测、建设地点、建设工期和进度安排、建设期管理等。</w:t>
      </w:r>
    </w:p>
    <w:p>
      <w:pPr>
        <w:pStyle w:val="41"/>
        <w:spacing w:line="600" w:lineRule="exact"/>
        <w:ind w:firstLine="482" w:firstLineChars="150"/>
        <w:rPr>
          <w:rFonts w:ascii="仿宋_GB2312"/>
          <w:b/>
          <w:szCs w:val="32"/>
        </w:rPr>
      </w:pPr>
      <w:r>
        <w:rPr>
          <w:rFonts w:hint="eastAsia" w:ascii="仿宋_GB2312"/>
          <w:b/>
          <w:szCs w:val="32"/>
        </w:rPr>
        <w:t>（6）建设条件落实情况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包括环境保护、资源综合利用、节能措施、原材料供应、人员到位及外部配套条件落实情况等。</w:t>
      </w:r>
    </w:p>
    <w:p>
      <w:pPr>
        <w:pStyle w:val="41"/>
        <w:spacing w:line="600" w:lineRule="exact"/>
        <w:ind w:firstLine="482" w:firstLineChars="150"/>
        <w:rPr>
          <w:rFonts w:ascii="仿宋_GB2312"/>
          <w:b/>
          <w:szCs w:val="32"/>
        </w:rPr>
      </w:pPr>
      <w:r>
        <w:rPr>
          <w:rFonts w:hint="eastAsia" w:ascii="仿宋_GB2312"/>
          <w:b/>
          <w:szCs w:val="32"/>
        </w:rPr>
        <w:t>（7）投资估算及资金筹措方案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①项目总投资估算表（如项目涉及工业投资或技术改造投资，应明确列出相应金额）；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②建设投资估算；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③分年投资计划表；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④项目资金筹措方案及其落实情况；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⑤申请市政府补贴资金的具体使用方案。</w:t>
      </w:r>
    </w:p>
    <w:p>
      <w:pPr>
        <w:spacing w:line="600" w:lineRule="exact"/>
        <w:ind w:firstLine="627" w:firstLineChars="196"/>
        <w:rPr>
          <w:rFonts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安装工程费，设备及工器具购置、改造和租赁费（包括购置必要的技术和软件），专用仪器设备试制费。研发费用包括自主研发费和委托开发费。其中，自主研发费主要包括材料费、测试化验加工费、差旅费、会议费、国际合作与交流费、出版/文献/信息传播/知识产权费、专家咨询费、劳务费、研发人员绩效支出（不包括财政供养人员的工资性支出）等；委托开发费主要是指项目单位委托外单位进行研究开发所支付的费用。铺底流动资金主要包括燃料费、原材料费、场地租赁费、基本预备费和建设期利息等。项目投资构成中，建设投资不低于总投资的40%，研发费用与铺底流动资金合计不高于60%。</w:t>
      </w:r>
    </w:p>
    <w:p>
      <w:pPr>
        <w:pStyle w:val="44"/>
        <w:spacing w:line="600" w:lineRule="exact"/>
        <w:ind w:firstLine="709"/>
        <w:rPr>
          <w:rFonts w:ascii="仿宋_GB2312" w:hAnsi="Arial" w:eastAsia="仿宋_GB2312" w:cs="Arial"/>
          <w:sz w:val="32"/>
          <w:szCs w:val="32"/>
        </w:rPr>
      </w:pPr>
      <w:r>
        <w:rPr>
          <w:rFonts w:hint="eastAsia" w:ascii="仿宋_GB2312" w:hAnsi="Arial" w:eastAsia="仿宋_GB2312" w:cs="Arial"/>
          <w:sz w:val="32"/>
          <w:szCs w:val="32"/>
        </w:rPr>
        <w:t>明确项目建设资金筹措方案，落实企业自有资金</w:t>
      </w:r>
      <w:r>
        <w:rPr>
          <w:rFonts w:hint="eastAsia" w:ascii="仿宋_GB2312" w:eastAsia="仿宋_GB2312"/>
          <w:sz w:val="32"/>
          <w:szCs w:val="32"/>
        </w:rPr>
        <w:t>且提供银行出具的证明文件</w:t>
      </w:r>
      <w:r>
        <w:rPr>
          <w:rFonts w:hint="eastAsia" w:ascii="仿宋_GB2312" w:hAnsi="Arial" w:eastAsia="仿宋_GB2312" w:cs="Arial"/>
          <w:sz w:val="32"/>
          <w:szCs w:val="32"/>
        </w:rPr>
        <w:t>。</w:t>
      </w:r>
    </w:p>
    <w:p>
      <w:pPr>
        <w:spacing w:line="600" w:lineRule="exact"/>
        <w:ind w:firstLine="482" w:firstLineChars="150"/>
        <w:rPr>
          <w:rFonts w:ascii="仿宋_GB2312" w:hAnsi="Times New Roman" w:eastAsia="仿宋_GB2312"/>
          <w:b/>
          <w:sz w:val="32"/>
          <w:szCs w:val="32"/>
        </w:rPr>
      </w:pPr>
      <w:r>
        <w:rPr>
          <w:rFonts w:hint="eastAsia" w:ascii="仿宋_GB2312" w:hAnsi="Times New Roman" w:eastAsia="仿宋_GB2312"/>
          <w:b/>
          <w:sz w:val="32"/>
          <w:szCs w:val="32"/>
        </w:rPr>
        <w:t>（8）项目财务分析、经济分析及主要指标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内部收益率、投资利润率、投资回收期等指标的计算和评估，项目风险分析，项目建成后的运营方案、管理模式、达产产值及利润、新增就业人员等，经济效益和社会效益分析。</w:t>
      </w:r>
    </w:p>
    <w:p>
      <w:pPr>
        <w:spacing w:line="600" w:lineRule="exact"/>
        <w:ind w:firstLine="482" w:firstLineChars="150"/>
        <w:rPr>
          <w:rFonts w:ascii="仿宋_GB2312" w:hAnsi="Times New Roman" w:eastAsia="仿宋_GB2312"/>
          <w:b/>
          <w:sz w:val="32"/>
          <w:szCs w:val="32"/>
        </w:rPr>
      </w:pPr>
      <w:r>
        <w:rPr>
          <w:rFonts w:hint="eastAsia" w:ascii="仿宋_GB2312" w:hAnsi="Times New Roman" w:eastAsia="仿宋_GB2312"/>
          <w:b/>
          <w:sz w:val="32"/>
          <w:szCs w:val="32"/>
        </w:rPr>
        <w:t>（9）项目风险分析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spacing w:line="600" w:lineRule="exact"/>
        <w:ind w:firstLine="482" w:firstLineChars="150"/>
        <w:rPr>
          <w:rFonts w:ascii="仿宋_GB2312" w:hAnsi="Times New Roman" w:eastAsia="仿宋_GB2312"/>
          <w:b/>
          <w:sz w:val="32"/>
          <w:szCs w:val="32"/>
        </w:rPr>
      </w:pPr>
      <w:r>
        <w:rPr>
          <w:rFonts w:hint="eastAsia" w:ascii="仿宋_GB2312" w:hAnsi="Times New Roman" w:eastAsia="仿宋_GB2312"/>
          <w:b/>
          <w:sz w:val="32"/>
          <w:szCs w:val="32"/>
        </w:rPr>
        <w:t>（10）相关附件</w:t>
      </w:r>
    </w:p>
    <w:p>
      <w:pPr>
        <w:spacing w:line="600" w:lineRule="exact"/>
        <w:ind w:firstLine="645"/>
        <w:rPr>
          <w:rFonts w:ascii="仿宋_GB2312" w:eastAsia="仿宋_GB2312"/>
          <w:sz w:val="32"/>
          <w:szCs w:val="32"/>
        </w:rPr>
      </w:pP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注意事项：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1、同一单位建设内容相同或部分相同的项目不得向市有关部门多头申报。经核实属多头申报的项目，将取消申报资格并追究申报单位责任。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单位提交的工业总产值、营业收入等经营指标数据，应确保与报送市统计部门的数据一致。经市统计部门认定超出误差的，将取消项目申报资格；多次超出误差的，不良信息将记录在深圳市公共信用信息管理系统并统一向社会披露，且两年内不得申报相关专项。</w:t>
      </w:r>
    </w:p>
    <w:p>
      <w:pPr>
        <w:spacing w:line="600" w:lineRule="exact"/>
        <w:ind w:firstLine="627" w:firstLineChars="196"/>
        <w:rPr>
          <w:rFonts w:ascii="仿宋_GB2312"/>
          <w:sz w:val="32"/>
          <w:szCs w:val="32"/>
        </w:rPr>
      </w:pPr>
    </w:p>
    <w:p>
      <w:pPr>
        <w:ind w:firstLine="411" w:firstLineChars="196"/>
        <w:rPr>
          <w:rFonts w:ascii="仿宋_GB2312"/>
          <w:szCs w:val="32"/>
        </w:rPr>
      </w:pPr>
    </w:p>
    <w:p>
      <w:pPr>
        <w:widowControl/>
        <w:jc w:val="left"/>
        <w:rPr>
          <w:rFonts w:ascii="宋体" w:hAnsi="宋体"/>
          <w:b/>
          <w:sz w:val="36"/>
          <w:szCs w:val="36"/>
        </w:rPr>
      </w:pPr>
      <w:r>
        <w:rPr>
          <w:rFonts w:ascii="宋体" w:hAnsi="宋体"/>
          <w:b/>
          <w:sz w:val="36"/>
          <w:szCs w:val="36"/>
        </w:rPr>
        <w:br w:type="page"/>
      </w:r>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11"/>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序号</w:t>
            </w:r>
          </w:p>
        </w:tc>
        <w:tc>
          <w:tcPr>
            <w:tcW w:w="1954"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仪器/设备名称</w:t>
            </w:r>
          </w:p>
        </w:tc>
        <w:tc>
          <w:tcPr>
            <w:tcW w:w="1071" w:type="dxa"/>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型号</w:t>
            </w:r>
          </w:p>
        </w:tc>
        <w:tc>
          <w:tcPr>
            <w:tcW w:w="751"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数量</w:t>
            </w:r>
          </w:p>
        </w:tc>
        <w:tc>
          <w:tcPr>
            <w:tcW w:w="1058"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单价</w:t>
            </w:r>
          </w:p>
        </w:tc>
        <w:tc>
          <w:tcPr>
            <w:tcW w:w="1059"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总价</w:t>
            </w:r>
          </w:p>
        </w:tc>
        <w:tc>
          <w:tcPr>
            <w:tcW w:w="1187"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购买日期</w:t>
            </w:r>
          </w:p>
        </w:tc>
        <w:tc>
          <w:tcPr>
            <w:tcW w:w="1705" w:type="dxa"/>
            <w:shd w:val="clear" w:color="auto" w:fill="auto"/>
            <w:vAlign w:val="center"/>
          </w:tcPr>
          <w:p>
            <w:pPr>
              <w:tabs>
                <w:tab w:val="left" w:pos="1260"/>
                <w:tab w:val="left" w:pos="1440"/>
              </w:tabs>
              <w:adjustRightInd w:val="0"/>
              <w:spacing w:line="360" w:lineRule="auto"/>
              <w:contextualSpacing/>
              <w:rPr>
                <w:rFonts w:ascii="仿宋_GB2312" w:hAnsi="宋体"/>
                <w:b/>
                <w:sz w:val="24"/>
                <w:szCs w:val="24"/>
              </w:rPr>
            </w:pPr>
            <w:r>
              <w:rPr>
                <w:rFonts w:hint="eastAsia" w:ascii="仿宋_GB2312" w:hAnsi="宋体"/>
                <w:b/>
                <w:sz w:val="24"/>
                <w:szCs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shd w:val="clear" w:color="auto" w:fill="auto"/>
            <w:vAlign w:val="center"/>
          </w:tcPr>
          <w:p>
            <w:pPr>
              <w:widowControl/>
              <w:jc w:val="center"/>
              <w:rPr>
                <w:rFonts w:ascii="仿宋_GB2312" w:hAnsi="宋体"/>
                <w:b/>
                <w:sz w:val="24"/>
                <w:szCs w:val="24"/>
              </w:rPr>
            </w:pPr>
            <w:r>
              <w:rPr>
                <w:rFonts w:hint="eastAsia" w:ascii="仿宋_GB2312" w:hAnsi="宋体"/>
                <w:b/>
                <w:sz w:val="24"/>
                <w:szCs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shd w:val="clear" w:color="auto" w:fill="auto"/>
            <w:vAlign w:val="center"/>
          </w:tcPr>
          <w:p>
            <w:pPr>
              <w:widowControl/>
              <w:jc w:val="center"/>
              <w:rPr>
                <w:rFonts w:ascii="仿宋_GB2312" w:hAnsi="宋体" w:cs="宋体"/>
                <w:kern w:val="0"/>
                <w:szCs w:val="21"/>
              </w:rPr>
            </w:pPr>
          </w:p>
        </w:tc>
        <w:tc>
          <w:tcPr>
            <w:tcW w:w="1058"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shd w:val="clear" w:color="auto" w:fill="auto"/>
            <w:vAlign w:val="center"/>
          </w:tcPr>
          <w:p>
            <w:pPr>
              <w:widowControl/>
              <w:jc w:val="center"/>
              <w:rPr>
                <w:rFonts w:ascii="仿宋_GB2312" w:hAnsi="宋体" w:cs="宋体"/>
                <w:kern w:val="0"/>
                <w:szCs w:val="21"/>
              </w:rPr>
            </w:pPr>
          </w:p>
        </w:tc>
        <w:tc>
          <w:tcPr>
            <w:tcW w:w="1187"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shd w:val="clear" w:color="auto" w:fill="auto"/>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widowControl/>
        <w:jc w:val="left"/>
        <w:rPr>
          <w:rFonts w:ascii="宋体" w:hAnsi="宋体"/>
          <w:b/>
          <w:sz w:val="36"/>
          <w:szCs w:val="36"/>
        </w:rPr>
      </w:pPr>
      <w:r>
        <w:rPr>
          <w:rFonts w:ascii="宋体" w:hAnsi="宋体"/>
          <w:b/>
          <w:sz w:val="36"/>
          <w:szCs w:val="36"/>
        </w:rPr>
        <w:br w:type="page"/>
      </w:r>
    </w:p>
    <w:p>
      <w:pPr>
        <w:spacing w:line="360" w:lineRule="auto"/>
        <w:jc w:val="center"/>
        <w:rPr>
          <w:rFonts w:ascii="宋体" w:hAnsi="宋体"/>
          <w:b/>
          <w:sz w:val="36"/>
          <w:szCs w:val="36"/>
        </w:rPr>
      </w:pPr>
      <w:r>
        <w:rPr>
          <w:rFonts w:hint="eastAsia" w:ascii="宋体" w:hAnsi="宋体"/>
          <w:b/>
          <w:sz w:val="36"/>
          <w:szCs w:val="36"/>
        </w:rPr>
        <w:t>项目新增设备/软件购置清单</w:t>
      </w:r>
    </w:p>
    <w:p>
      <w:pPr>
        <w:ind w:left="990"/>
        <w:jc w:val="center"/>
        <w:rPr>
          <w:rFonts w:ascii="仿宋_GB2312"/>
          <w:b/>
        </w:rPr>
      </w:pPr>
      <w:r>
        <w:rPr>
          <w:rFonts w:hint="eastAsia" w:ascii="仿宋_GB2312"/>
          <w:b/>
        </w:rPr>
        <w:t xml:space="preserve">                             单位：万元</w:t>
      </w:r>
    </w:p>
    <w:tbl>
      <w:tblPr>
        <w:tblStyle w:val="11"/>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07"/>
        <w:gridCol w:w="1300"/>
        <w:gridCol w:w="850"/>
        <w:gridCol w:w="74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序号</w:t>
            </w:r>
          </w:p>
        </w:tc>
        <w:tc>
          <w:tcPr>
            <w:tcW w:w="1807"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设备名称</w:t>
            </w:r>
          </w:p>
        </w:tc>
        <w:tc>
          <w:tcPr>
            <w:tcW w:w="1300"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参考型号</w:t>
            </w:r>
          </w:p>
        </w:tc>
        <w:tc>
          <w:tcPr>
            <w:tcW w:w="850"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参考数量</w:t>
            </w:r>
          </w:p>
        </w:tc>
        <w:tc>
          <w:tcPr>
            <w:tcW w:w="748"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参考单价</w:t>
            </w:r>
          </w:p>
        </w:tc>
        <w:tc>
          <w:tcPr>
            <w:tcW w:w="1417"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小计</w:t>
            </w:r>
          </w:p>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（参考）</w:t>
            </w:r>
          </w:p>
        </w:tc>
        <w:tc>
          <w:tcPr>
            <w:tcW w:w="1559" w:type="dxa"/>
            <w:shd w:val="clear" w:color="auto" w:fill="auto"/>
            <w:vAlign w:val="center"/>
          </w:tcPr>
          <w:p>
            <w:pPr>
              <w:tabs>
                <w:tab w:val="left" w:pos="1260"/>
                <w:tab w:val="left" w:pos="1440"/>
              </w:tabs>
              <w:adjustRightInd w:val="0"/>
              <w:spacing w:line="360" w:lineRule="auto"/>
              <w:contextualSpacing/>
              <w:jc w:val="center"/>
              <w:rPr>
                <w:rFonts w:ascii="仿宋_GB2312" w:hAnsi="宋体"/>
                <w:b/>
                <w:sz w:val="24"/>
                <w:szCs w:val="24"/>
              </w:rPr>
            </w:pPr>
            <w:r>
              <w:rPr>
                <w:rFonts w:hint="eastAsia" w:ascii="仿宋_GB2312"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bCs/>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bCs/>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bCs/>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bCs/>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4" w:type="dxa"/>
            <w:gridSpan w:val="2"/>
            <w:shd w:val="clear" w:color="auto" w:fill="auto"/>
            <w:vAlign w:val="center"/>
          </w:tcPr>
          <w:p>
            <w:pPr>
              <w:widowControl/>
              <w:jc w:val="center"/>
              <w:rPr>
                <w:rFonts w:ascii="仿宋_GB2312" w:hAnsi="宋体"/>
                <w:b/>
                <w:sz w:val="24"/>
                <w:szCs w:val="24"/>
              </w:rPr>
            </w:pPr>
            <w:r>
              <w:rPr>
                <w:rFonts w:hint="eastAsia" w:ascii="仿宋_GB2312" w:hAnsi="宋体"/>
                <w:b/>
                <w:sz w:val="24"/>
                <w:szCs w:val="24"/>
              </w:rPr>
              <w:t>合计</w:t>
            </w:r>
          </w:p>
        </w:tc>
        <w:tc>
          <w:tcPr>
            <w:tcW w:w="1300"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417" w:type="dxa"/>
            <w:shd w:val="clear" w:color="auto" w:fill="auto"/>
            <w:vAlign w:val="center"/>
          </w:tcPr>
          <w:p>
            <w:pPr>
              <w:widowControl/>
              <w:jc w:val="center"/>
              <w:rPr>
                <w:rFonts w:ascii="仿宋_GB2312" w:hAnsi="宋体" w:cs="宋体"/>
                <w:kern w:val="0"/>
                <w:szCs w:val="21"/>
              </w:rPr>
            </w:pPr>
          </w:p>
        </w:tc>
        <w:tc>
          <w:tcPr>
            <w:tcW w:w="1559" w:type="dxa"/>
            <w:shd w:val="clear" w:color="auto" w:fill="auto"/>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widowControl/>
        <w:jc w:val="left"/>
        <w:rPr>
          <w:rFonts w:ascii="仿宋_GB2312"/>
          <w:b/>
        </w:rPr>
      </w:pPr>
      <w:r>
        <w:rPr>
          <w:rFonts w:ascii="仿宋_GB2312"/>
          <w:b/>
        </w:rPr>
        <w:br w:type="page"/>
      </w:r>
    </w:p>
    <w:p>
      <w:pPr>
        <w:spacing w:line="360" w:lineRule="auto"/>
        <w:jc w:val="center"/>
        <w:rPr>
          <w:rFonts w:ascii="宋体" w:hAnsi="宋体"/>
          <w:b/>
          <w:sz w:val="36"/>
          <w:szCs w:val="36"/>
        </w:rPr>
      </w:pPr>
      <w:r>
        <w:rPr>
          <w:rFonts w:ascii="宋体" w:hAnsi="宋体"/>
          <w:b/>
          <w:sz w:val="36"/>
          <w:szCs w:val="36"/>
        </w:rPr>
        <w:t>申报项目使用政府补助资金招标事项计划表</w:t>
      </w: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b/>
                <w:sz w:val="28"/>
                <w:szCs w:val="28"/>
              </w:rPr>
            </w:pPr>
            <w:r>
              <w:rPr>
                <w:rFonts w:hint="eastAsia" w:ascii="仿宋_GB2312"/>
                <w:b/>
                <w:sz w:val="28"/>
                <w:szCs w:val="28"/>
              </w:rPr>
              <w:t>项目名称</w:t>
            </w:r>
          </w:p>
        </w:tc>
        <w:tc>
          <w:tcPr>
            <w:tcW w:w="7081" w:type="dxa"/>
            <w:gridSpan w:val="4"/>
          </w:tcPr>
          <w:p>
            <w:pPr>
              <w:spacing w:line="360" w:lineRule="auto"/>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b/>
                <w:sz w:val="28"/>
                <w:szCs w:val="28"/>
              </w:rPr>
            </w:pPr>
            <w:r>
              <w:rPr>
                <w:rFonts w:hint="eastAsia" w:ascii="仿宋_GB2312"/>
                <w:b/>
                <w:sz w:val="28"/>
                <w:szCs w:val="28"/>
              </w:rPr>
              <w:t>建设单位</w:t>
            </w:r>
          </w:p>
        </w:tc>
        <w:tc>
          <w:tcPr>
            <w:tcW w:w="7081" w:type="dxa"/>
            <w:gridSpan w:val="4"/>
          </w:tcPr>
          <w:p>
            <w:pPr>
              <w:spacing w:line="360" w:lineRule="auto"/>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vMerge w:val="restart"/>
            <w:vAlign w:val="center"/>
          </w:tcPr>
          <w:p>
            <w:pPr>
              <w:spacing w:line="360" w:lineRule="auto"/>
              <w:jc w:val="center"/>
              <w:rPr>
                <w:rFonts w:ascii="仿宋_GB2312"/>
                <w:b/>
                <w:sz w:val="28"/>
                <w:szCs w:val="28"/>
              </w:rPr>
            </w:pPr>
            <w:r>
              <w:rPr>
                <w:rFonts w:hint="eastAsia" w:ascii="仿宋_GB2312"/>
                <w:b/>
                <w:sz w:val="28"/>
                <w:szCs w:val="28"/>
              </w:rPr>
              <w:t>基本条目</w:t>
            </w:r>
          </w:p>
        </w:tc>
        <w:tc>
          <w:tcPr>
            <w:tcW w:w="3451" w:type="dxa"/>
            <w:gridSpan w:val="2"/>
          </w:tcPr>
          <w:p>
            <w:pPr>
              <w:spacing w:line="360" w:lineRule="auto"/>
              <w:jc w:val="center"/>
              <w:rPr>
                <w:rFonts w:ascii="仿宋_GB2312"/>
                <w:b/>
                <w:sz w:val="28"/>
                <w:szCs w:val="28"/>
              </w:rPr>
            </w:pPr>
            <w:r>
              <w:rPr>
                <w:rFonts w:hint="eastAsia" w:ascii="仿宋_GB2312"/>
                <w:b/>
                <w:sz w:val="28"/>
                <w:szCs w:val="28"/>
              </w:rPr>
              <w:t>招标组织形式</w:t>
            </w:r>
          </w:p>
        </w:tc>
        <w:tc>
          <w:tcPr>
            <w:tcW w:w="1800" w:type="dxa"/>
          </w:tcPr>
          <w:p>
            <w:pPr>
              <w:spacing w:line="360" w:lineRule="auto"/>
              <w:jc w:val="center"/>
              <w:rPr>
                <w:rFonts w:ascii="仿宋_GB2312"/>
                <w:b/>
                <w:sz w:val="28"/>
                <w:szCs w:val="28"/>
              </w:rPr>
            </w:pPr>
            <w:r>
              <w:rPr>
                <w:rFonts w:hint="eastAsia" w:ascii="仿宋_GB2312"/>
                <w:b/>
                <w:sz w:val="28"/>
                <w:szCs w:val="28"/>
              </w:rPr>
              <w:t>招标方式</w:t>
            </w:r>
          </w:p>
        </w:tc>
        <w:tc>
          <w:tcPr>
            <w:tcW w:w="1830" w:type="dxa"/>
            <w:vMerge w:val="restart"/>
            <w:vAlign w:val="center"/>
          </w:tcPr>
          <w:p>
            <w:pPr>
              <w:spacing w:line="360" w:lineRule="auto"/>
              <w:jc w:val="center"/>
              <w:rPr>
                <w:rFonts w:ascii="仿宋_GB2312"/>
                <w:b/>
                <w:sz w:val="28"/>
                <w:szCs w:val="28"/>
              </w:rPr>
            </w:pPr>
            <w:r>
              <w:rPr>
                <w:rFonts w:hint="eastAsia" w:ascii="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vMerge w:val="continue"/>
          </w:tcPr>
          <w:p>
            <w:pPr>
              <w:spacing w:line="360" w:lineRule="auto"/>
              <w:rPr>
                <w:rFonts w:ascii="仿宋_GB2312"/>
                <w:b/>
                <w:sz w:val="28"/>
                <w:szCs w:val="28"/>
              </w:rPr>
            </w:pPr>
          </w:p>
        </w:tc>
        <w:tc>
          <w:tcPr>
            <w:tcW w:w="1651" w:type="dxa"/>
          </w:tcPr>
          <w:p>
            <w:pPr>
              <w:spacing w:line="360" w:lineRule="auto"/>
              <w:jc w:val="center"/>
              <w:rPr>
                <w:rFonts w:ascii="仿宋_GB2312"/>
                <w:b/>
                <w:sz w:val="28"/>
                <w:szCs w:val="28"/>
              </w:rPr>
            </w:pPr>
            <w:r>
              <w:rPr>
                <w:rFonts w:hint="eastAsia" w:ascii="仿宋_GB2312"/>
                <w:b/>
                <w:sz w:val="28"/>
                <w:szCs w:val="28"/>
              </w:rPr>
              <w:t>自行招标</w:t>
            </w:r>
          </w:p>
        </w:tc>
        <w:tc>
          <w:tcPr>
            <w:tcW w:w="1800" w:type="dxa"/>
          </w:tcPr>
          <w:p>
            <w:pPr>
              <w:spacing w:line="360" w:lineRule="auto"/>
              <w:jc w:val="center"/>
              <w:rPr>
                <w:rFonts w:ascii="仿宋_GB2312"/>
                <w:b/>
                <w:sz w:val="28"/>
                <w:szCs w:val="28"/>
              </w:rPr>
            </w:pPr>
            <w:r>
              <w:rPr>
                <w:rFonts w:hint="eastAsia" w:ascii="仿宋_GB2312"/>
                <w:b/>
                <w:sz w:val="28"/>
                <w:szCs w:val="28"/>
              </w:rPr>
              <w:t>委托招标</w:t>
            </w:r>
          </w:p>
        </w:tc>
        <w:tc>
          <w:tcPr>
            <w:tcW w:w="1800" w:type="dxa"/>
          </w:tcPr>
          <w:p>
            <w:pPr>
              <w:spacing w:line="360" w:lineRule="auto"/>
              <w:jc w:val="center"/>
              <w:rPr>
                <w:rFonts w:ascii="仿宋_GB2312"/>
                <w:b/>
                <w:sz w:val="28"/>
                <w:szCs w:val="28"/>
              </w:rPr>
            </w:pPr>
            <w:r>
              <w:rPr>
                <w:rFonts w:hint="eastAsia" w:ascii="仿宋_GB2312"/>
                <w:b/>
                <w:sz w:val="28"/>
                <w:szCs w:val="28"/>
              </w:rPr>
              <w:t>公开招标</w:t>
            </w:r>
          </w:p>
        </w:tc>
        <w:tc>
          <w:tcPr>
            <w:tcW w:w="1830" w:type="dxa"/>
            <w:vMerge w:val="continue"/>
          </w:tcPr>
          <w:p>
            <w:pPr>
              <w:spacing w:line="360" w:lineRule="auto"/>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勘查</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restart"/>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设计</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建筑工程</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安装工程</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监理</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主要设备</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重要材料</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spacing w:line="360" w:lineRule="auto"/>
              <w:rPr>
                <w:rFonts w:ascii="仿宋_GB2312"/>
                <w:sz w:val="28"/>
                <w:szCs w:val="28"/>
              </w:rPr>
            </w:pPr>
            <w:r>
              <w:rPr>
                <w:rFonts w:hint="eastAsia" w:ascii="仿宋_GB2312"/>
                <w:sz w:val="28"/>
                <w:szCs w:val="28"/>
              </w:rPr>
              <w:t>其他</w:t>
            </w:r>
          </w:p>
        </w:tc>
        <w:tc>
          <w:tcPr>
            <w:tcW w:w="1651"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00" w:type="dxa"/>
          </w:tcPr>
          <w:p>
            <w:pPr>
              <w:spacing w:line="360" w:lineRule="auto"/>
              <w:rPr>
                <w:rFonts w:ascii="仿宋_GB2312"/>
                <w:sz w:val="28"/>
                <w:szCs w:val="28"/>
              </w:rPr>
            </w:pPr>
          </w:p>
        </w:tc>
        <w:tc>
          <w:tcPr>
            <w:tcW w:w="1830" w:type="dxa"/>
            <w:vMerge w:val="continue"/>
          </w:tcPr>
          <w:p>
            <w:pPr>
              <w:spacing w:line="360" w:lineRule="auto"/>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1" w:type="dxa"/>
            <w:gridSpan w:val="5"/>
          </w:tcPr>
          <w:p>
            <w:pPr>
              <w:spacing w:line="360" w:lineRule="auto"/>
              <w:rPr>
                <w:rFonts w:ascii="仿宋_GB2312"/>
                <w:sz w:val="28"/>
                <w:szCs w:val="28"/>
              </w:rPr>
            </w:pPr>
            <w:r>
              <w:rPr>
                <w:rFonts w:hint="eastAsia" w:ascii="仿宋_GB2312"/>
                <w:sz w:val="28"/>
                <w:szCs w:val="28"/>
              </w:rPr>
              <w:t>项目申报单位意见说明：</w:t>
            </w:r>
          </w:p>
          <w:p>
            <w:pPr>
              <w:spacing w:line="360" w:lineRule="auto"/>
              <w:rPr>
                <w:rFonts w:ascii="仿宋_GB2312"/>
                <w:sz w:val="28"/>
                <w:szCs w:val="28"/>
              </w:rPr>
            </w:pPr>
            <w:r>
              <w:rPr>
                <w:rFonts w:hint="eastAsia" w:ascii="仿宋_GB2312"/>
                <w:sz w:val="28"/>
                <w:szCs w:val="28"/>
              </w:rPr>
              <w:t xml:space="preserve">                                                （盖 章）</w:t>
            </w:r>
          </w:p>
          <w:p>
            <w:pPr>
              <w:spacing w:line="360" w:lineRule="auto"/>
              <w:rPr>
                <w:rFonts w:ascii="仿宋_GB2312"/>
                <w:sz w:val="28"/>
                <w:szCs w:val="28"/>
              </w:rPr>
            </w:pPr>
            <w:r>
              <w:rPr>
                <w:rFonts w:hint="eastAsia" w:ascii="仿宋_GB2312"/>
                <w:sz w:val="28"/>
                <w:szCs w:val="28"/>
              </w:rPr>
              <w:t xml:space="preserve">                                            年    月    日</w:t>
            </w:r>
          </w:p>
        </w:tc>
      </w:tr>
    </w:tbl>
    <w:p>
      <w:pPr>
        <w:widowControl/>
        <w:tabs>
          <w:tab w:val="left" w:pos="-180"/>
        </w:tabs>
        <w:ind w:left="-178" w:leftChars="-85"/>
        <w:jc w:val="left"/>
        <w:rPr>
          <w:rFonts w:ascii="仿宋_GB2312" w:eastAsia="仿宋_GB2312"/>
          <w:sz w:val="28"/>
          <w:szCs w:val="28"/>
        </w:rPr>
      </w:pPr>
    </w:p>
    <w:p>
      <w:pPr>
        <w:widowControl/>
        <w:tabs>
          <w:tab w:val="left" w:pos="-180"/>
        </w:tabs>
        <w:ind w:left="-178" w:leftChars="-85"/>
        <w:jc w:val="left"/>
        <w:rPr>
          <w:rFonts w:ascii="仿宋_GB2312" w:eastAsia="仿宋_GB2312"/>
          <w:sz w:val="28"/>
          <w:szCs w:val="28"/>
        </w:rPr>
      </w:pPr>
      <w:r>
        <w:rPr>
          <w:rFonts w:hint="eastAsia" w:ascii="仿宋_GB2312" w:eastAsia="仿宋_GB2312"/>
          <w:sz w:val="28"/>
          <w:szCs w:val="28"/>
        </w:rPr>
        <w:t>填写说明：</w:t>
      </w:r>
    </w:p>
    <w:p>
      <w:pPr>
        <w:widowControl/>
        <w:tabs>
          <w:tab w:val="left" w:pos="-180"/>
        </w:tabs>
        <w:ind w:left="-178" w:leftChars="-85" w:firstLine="548" w:firstLineChars="196"/>
        <w:jc w:val="left"/>
        <w:rPr>
          <w:rFonts w:ascii="仿宋_GB2312" w:eastAsia="仿宋_GB2312"/>
          <w:sz w:val="28"/>
          <w:szCs w:val="28"/>
        </w:rPr>
      </w:pPr>
      <w:r>
        <w:rPr>
          <w:rFonts w:hint="eastAsia" w:ascii="仿宋_GB2312" w:eastAsia="仿宋_GB2312"/>
          <w:sz w:val="28"/>
          <w:szCs w:val="28"/>
        </w:rPr>
        <w:t>按照相关要求，政府直接补助资金主要用于项目仪器设备及软硬件购置并进行公开招标。请在招标事项申报意见空格中按实际需求打“√”，在意见说明处阐述招标情况和理由并加盖单位公章。</w:t>
      </w:r>
    </w:p>
    <w:p>
      <w:pPr>
        <w:widowControl/>
        <w:tabs>
          <w:tab w:val="left" w:pos="-180"/>
        </w:tabs>
        <w:ind w:left="-178" w:leftChars="-85"/>
        <w:jc w:val="left"/>
        <w:rPr>
          <w:kern w:val="0"/>
          <w:sz w:val="24"/>
        </w:rPr>
      </w:pPr>
    </w:p>
    <w:p>
      <w:pPr>
        <w:jc w:val="center"/>
        <w:rPr>
          <w:rFonts w:ascii="宋体" w:hAnsi="宋体"/>
          <w:b/>
          <w:sz w:val="36"/>
          <w:szCs w:val="36"/>
        </w:rPr>
      </w:pPr>
      <w:r>
        <w:br w:type="page"/>
      </w:r>
      <w:r>
        <w:rPr>
          <w:rFonts w:hint="eastAsia" w:ascii="宋体" w:hAnsi="宋体"/>
          <w:b/>
          <w:sz w:val="36"/>
          <w:szCs w:val="36"/>
        </w:rPr>
        <w:t>项目管理承诺函</w:t>
      </w:r>
    </w:p>
    <w:p>
      <w:pPr>
        <w:rPr>
          <w:rFonts w:ascii="仿宋_GB2312"/>
          <w:szCs w:val="32"/>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 xml:space="preserve">万元，其中分年投入情况为：2017年投入 </w:t>
      </w:r>
      <w:r>
        <w:rPr>
          <w:rFonts w:hint="eastAsia" w:ascii="仿宋_GB2312" w:eastAsia="仿宋_GB2312"/>
          <w:sz w:val="32"/>
          <w:szCs w:val="32"/>
          <w:u w:val="single"/>
        </w:rPr>
        <w:t xml:space="preserve">      </w:t>
      </w:r>
      <w:r>
        <w:rPr>
          <w:rFonts w:hint="eastAsia" w:ascii="仿宋_GB2312" w:eastAsia="仿宋_GB2312"/>
          <w:sz w:val="32"/>
          <w:szCs w:val="32"/>
        </w:rPr>
        <w:t>万元;2018年投入</w:t>
      </w:r>
      <w:r>
        <w:rPr>
          <w:rFonts w:hint="eastAsia" w:ascii="仿宋_GB2312" w:eastAsia="仿宋_GB2312"/>
          <w:sz w:val="32"/>
          <w:szCs w:val="32"/>
          <w:u w:val="single"/>
        </w:rPr>
        <w:t xml:space="preserve">      </w:t>
      </w:r>
      <w:r>
        <w:rPr>
          <w:rFonts w:hint="eastAsia" w:ascii="仿宋_GB2312" w:eastAsia="仿宋_GB2312"/>
          <w:sz w:val="32"/>
          <w:szCs w:val="32"/>
        </w:rPr>
        <w:t>万元，2019年投入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04" w:firstLineChars="1095"/>
        <w:rPr>
          <w:rFonts w:ascii="仿宋_GB2312" w:eastAsia="仿宋_GB2312"/>
          <w:sz w:val="32"/>
          <w:szCs w:val="32"/>
        </w:rPr>
      </w:pPr>
      <w:r>
        <w:rPr>
          <w:rFonts w:hint="eastAsia" w:ascii="仿宋_GB2312" w:eastAsia="仿宋_GB2312"/>
          <w:sz w:val="32"/>
          <w:szCs w:val="32"/>
        </w:rPr>
        <w:t>日期：</w:t>
      </w:r>
    </w:p>
    <w:p>
      <w:pPr>
        <w:widowControl/>
        <w:shd w:val="clear" w:color="auto" w:fill="FFFFFF"/>
        <w:ind w:right="840" w:rightChars="400"/>
        <w:jc w:val="left"/>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C1254"/>
    <w:multiLevelType w:val="multilevel"/>
    <w:tmpl w:val="4FBC125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D16394"/>
    <w:rsid w:val="00002AD8"/>
    <w:rsid w:val="000122EA"/>
    <w:rsid w:val="000277CD"/>
    <w:rsid w:val="000316CD"/>
    <w:rsid w:val="00032265"/>
    <w:rsid w:val="00036B26"/>
    <w:rsid w:val="00036F78"/>
    <w:rsid w:val="00040829"/>
    <w:rsid w:val="00042028"/>
    <w:rsid w:val="000470F1"/>
    <w:rsid w:val="0005092E"/>
    <w:rsid w:val="00051DAC"/>
    <w:rsid w:val="00053B78"/>
    <w:rsid w:val="00055A8D"/>
    <w:rsid w:val="00060FBD"/>
    <w:rsid w:val="00062053"/>
    <w:rsid w:val="000620C5"/>
    <w:rsid w:val="00062FFD"/>
    <w:rsid w:val="000777C6"/>
    <w:rsid w:val="00087686"/>
    <w:rsid w:val="000A1779"/>
    <w:rsid w:val="000A1A52"/>
    <w:rsid w:val="000A4CE7"/>
    <w:rsid w:val="000B161D"/>
    <w:rsid w:val="000B31A1"/>
    <w:rsid w:val="000C1EBE"/>
    <w:rsid w:val="000C6305"/>
    <w:rsid w:val="000C7554"/>
    <w:rsid w:val="000D214B"/>
    <w:rsid w:val="000D4FCF"/>
    <w:rsid w:val="000E28A7"/>
    <w:rsid w:val="00100783"/>
    <w:rsid w:val="001113AE"/>
    <w:rsid w:val="001138D8"/>
    <w:rsid w:val="00117CBD"/>
    <w:rsid w:val="00121979"/>
    <w:rsid w:val="001227D0"/>
    <w:rsid w:val="00127BB5"/>
    <w:rsid w:val="00137E4E"/>
    <w:rsid w:val="00137F10"/>
    <w:rsid w:val="00145DA2"/>
    <w:rsid w:val="0015535B"/>
    <w:rsid w:val="00166916"/>
    <w:rsid w:val="00167428"/>
    <w:rsid w:val="001738C2"/>
    <w:rsid w:val="001829C3"/>
    <w:rsid w:val="00183901"/>
    <w:rsid w:val="0018545E"/>
    <w:rsid w:val="00187F37"/>
    <w:rsid w:val="00196A61"/>
    <w:rsid w:val="001A66D7"/>
    <w:rsid w:val="001B06A7"/>
    <w:rsid w:val="001C16D1"/>
    <w:rsid w:val="001C42CE"/>
    <w:rsid w:val="001C4FE1"/>
    <w:rsid w:val="001C6C75"/>
    <w:rsid w:val="001D0572"/>
    <w:rsid w:val="001D07C9"/>
    <w:rsid w:val="001D4CDF"/>
    <w:rsid w:val="001E3614"/>
    <w:rsid w:val="001E530E"/>
    <w:rsid w:val="001E5F7F"/>
    <w:rsid w:val="001E7D2B"/>
    <w:rsid w:val="001F481B"/>
    <w:rsid w:val="002034F8"/>
    <w:rsid w:val="002043B3"/>
    <w:rsid w:val="00205B82"/>
    <w:rsid w:val="00207422"/>
    <w:rsid w:val="002154E1"/>
    <w:rsid w:val="00223B4D"/>
    <w:rsid w:val="002330BB"/>
    <w:rsid w:val="002443AA"/>
    <w:rsid w:val="0025115D"/>
    <w:rsid w:val="00253EF2"/>
    <w:rsid w:val="00254F75"/>
    <w:rsid w:val="00261D75"/>
    <w:rsid w:val="00266526"/>
    <w:rsid w:val="00277AE1"/>
    <w:rsid w:val="00280AD7"/>
    <w:rsid w:val="002811CB"/>
    <w:rsid w:val="00285B5C"/>
    <w:rsid w:val="00287CF7"/>
    <w:rsid w:val="00290CBD"/>
    <w:rsid w:val="002A0EFE"/>
    <w:rsid w:val="002A235C"/>
    <w:rsid w:val="002A4559"/>
    <w:rsid w:val="002C4311"/>
    <w:rsid w:val="002C5750"/>
    <w:rsid w:val="002D2FD1"/>
    <w:rsid w:val="002D3D7E"/>
    <w:rsid w:val="002D50D4"/>
    <w:rsid w:val="002D53B6"/>
    <w:rsid w:val="002D7073"/>
    <w:rsid w:val="002D76F6"/>
    <w:rsid w:val="002D7BF2"/>
    <w:rsid w:val="002E29C5"/>
    <w:rsid w:val="002F3B18"/>
    <w:rsid w:val="002F51B7"/>
    <w:rsid w:val="003040F5"/>
    <w:rsid w:val="003046C6"/>
    <w:rsid w:val="00331DC3"/>
    <w:rsid w:val="00346DE3"/>
    <w:rsid w:val="003508DB"/>
    <w:rsid w:val="00355430"/>
    <w:rsid w:val="00360AFB"/>
    <w:rsid w:val="00361E01"/>
    <w:rsid w:val="00376BD7"/>
    <w:rsid w:val="003856F4"/>
    <w:rsid w:val="00391170"/>
    <w:rsid w:val="003A0F3A"/>
    <w:rsid w:val="003A103E"/>
    <w:rsid w:val="003A1661"/>
    <w:rsid w:val="003B0330"/>
    <w:rsid w:val="003B58DD"/>
    <w:rsid w:val="003C36F8"/>
    <w:rsid w:val="003C7D11"/>
    <w:rsid w:val="003D0993"/>
    <w:rsid w:val="003D6794"/>
    <w:rsid w:val="003E05BD"/>
    <w:rsid w:val="003E4A08"/>
    <w:rsid w:val="003E7DEE"/>
    <w:rsid w:val="003F7659"/>
    <w:rsid w:val="00405E9C"/>
    <w:rsid w:val="00415973"/>
    <w:rsid w:val="00416941"/>
    <w:rsid w:val="00416DEF"/>
    <w:rsid w:val="0042634D"/>
    <w:rsid w:val="0042785F"/>
    <w:rsid w:val="004329AD"/>
    <w:rsid w:val="004363DE"/>
    <w:rsid w:val="00437CED"/>
    <w:rsid w:val="004418D6"/>
    <w:rsid w:val="00443C23"/>
    <w:rsid w:val="00445BC9"/>
    <w:rsid w:val="00446902"/>
    <w:rsid w:val="004470E9"/>
    <w:rsid w:val="00447830"/>
    <w:rsid w:val="004639C7"/>
    <w:rsid w:val="00467BA6"/>
    <w:rsid w:val="004747B8"/>
    <w:rsid w:val="00475D21"/>
    <w:rsid w:val="0048059C"/>
    <w:rsid w:val="00480B7C"/>
    <w:rsid w:val="004830F8"/>
    <w:rsid w:val="004923EE"/>
    <w:rsid w:val="00497554"/>
    <w:rsid w:val="004A03A0"/>
    <w:rsid w:val="004A6FEE"/>
    <w:rsid w:val="004B736B"/>
    <w:rsid w:val="004C106B"/>
    <w:rsid w:val="004C6574"/>
    <w:rsid w:val="004D2499"/>
    <w:rsid w:val="004E0001"/>
    <w:rsid w:val="004E3083"/>
    <w:rsid w:val="004E6CD1"/>
    <w:rsid w:val="00505734"/>
    <w:rsid w:val="0050756C"/>
    <w:rsid w:val="00510664"/>
    <w:rsid w:val="00516EB0"/>
    <w:rsid w:val="005217AB"/>
    <w:rsid w:val="00526352"/>
    <w:rsid w:val="005278F0"/>
    <w:rsid w:val="0053155A"/>
    <w:rsid w:val="00537C00"/>
    <w:rsid w:val="00541B5F"/>
    <w:rsid w:val="00546F5A"/>
    <w:rsid w:val="0055235A"/>
    <w:rsid w:val="0056513C"/>
    <w:rsid w:val="0056727D"/>
    <w:rsid w:val="00574264"/>
    <w:rsid w:val="00574C7B"/>
    <w:rsid w:val="0058067B"/>
    <w:rsid w:val="00583EB8"/>
    <w:rsid w:val="005844DE"/>
    <w:rsid w:val="00584FA9"/>
    <w:rsid w:val="0058511B"/>
    <w:rsid w:val="00587B56"/>
    <w:rsid w:val="00587FB0"/>
    <w:rsid w:val="005903E5"/>
    <w:rsid w:val="00595AF5"/>
    <w:rsid w:val="005A1E18"/>
    <w:rsid w:val="005B1AD6"/>
    <w:rsid w:val="005B2286"/>
    <w:rsid w:val="005B5B2A"/>
    <w:rsid w:val="005B6A71"/>
    <w:rsid w:val="005B796B"/>
    <w:rsid w:val="005C2223"/>
    <w:rsid w:val="005C3D4B"/>
    <w:rsid w:val="00604DD0"/>
    <w:rsid w:val="00611328"/>
    <w:rsid w:val="006121C2"/>
    <w:rsid w:val="00614289"/>
    <w:rsid w:val="006343BF"/>
    <w:rsid w:val="006366F5"/>
    <w:rsid w:val="006419C1"/>
    <w:rsid w:val="00645693"/>
    <w:rsid w:val="006506C4"/>
    <w:rsid w:val="006513DD"/>
    <w:rsid w:val="00653AF7"/>
    <w:rsid w:val="00657FB5"/>
    <w:rsid w:val="00687DF3"/>
    <w:rsid w:val="0069452A"/>
    <w:rsid w:val="006A3DA1"/>
    <w:rsid w:val="006A4EB9"/>
    <w:rsid w:val="006A696C"/>
    <w:rsid w:val="006B2E5E"/>
    <w:rsid w:val="006C1BA3"/>
    <w:rsid w:val="006C35E7"/>
    <w:rsid w:val="006E41FE"/>
    <w:rsid w:val="006E7291"/>
    <w:rsid w:val="006F3E17"/>
    <w:rsid w:val="00705D3E"/>
    <w:rsid w:val="007111F6"/>
    <w:rsid w:val="0072176A"/>
    <w:rsid w:val="007320B7"/>
    <w:rsid w:val="00737705"/>
    <w:rsid w:val="007429D2"/>
    <w:rsid w:val="0074757A"/>
    <w:rsid w:val="00754A3C"/>
    <w:rsid w:val="0075624E"/>
    <w:rsid w:val="00757AAF"/>
    <w:rsid w:val="007641E2"/>
    <w:rsid w:val="00767F71"/>
    <w:rsid w:val="00782D22"/>
    <w:rsid w:val="00783627"/>
    <w:rsid w:val="00784EC1"/>
    <w:rsid w:val="0079523F"/>
    <w:rsid w:val="007A4507"/>
    <w:rsid w:val="007B1431"/>
    <w:rsid w:val="007B3EFC"/>
    <w:rsid w:val="007B6AD8"/>
    <w:rsid w:val="007C6338"/>
    <w:rsid w:val="007C6D39"/>
    <w:rsid w:val="007C7E68"/>
    <w:rsid w:val="007E2112"/>
    <w:rsid w:val="007F58DD"/>
    <w:rsid w:val="007F65E3"/>
    <w:rsid w:val="00806234"/>
    <w:rsid w:val="00806BE6"/>
    <w:rsid w:val="008217C7"/>
    <w:rsid w:val="00833B89"/>
    <w:rsid w:val="00836994"/>
    <w:rsid w:val="00837D98"/>
    <w:rsid w:val="00843267"/>
    <w:rsid w:val="00846385"/>
    <w:rsid w:val="00856D4F"/>
    <w:rsid w:val="0086654A"/>
    <w:rsid w:val="0087384E"/>
    <w:rsid w:val="0088408D"/>
    <w:rsid w:val="0088656A"/>
    <w:rsid w:val="00886D02"/>
    <w:rsid w:val="00896B44"/>
    <w:rsid w:val="008A5581"/>
    <w:rsid w:val="008A5F62"/>
    <w:rsid w:val="008B0530"/>
    <w:rsid w:val="008B5AC1"/>
    <w:rsid w:val="008D1C64"/>
    <w:rsid w:val="008D607F"/>
    <w:rsid w:val="008E2D97"/>
    <w:rsid w:val="008E5ABD"/>
    <w:rsid w:val="008F1EF8"/>
    <w:rsid w:val="009036AA"/>
    <w:rsid w:val="00915D34"/>
    <w:rsid w:val="00916767"/>
    <w:rsid w:val="00920C66"/>
    <w:rsid w:val="00920FC9"/>
    <w:rsid w:val="009216A3"/>
    <w:rsid w:val="0092397B"/>
    <w:rsid w:val="00937309"/>
    <w:rsid w:val="009416EC"/>
    <w:rsid w:val="00945506"/>
    <w:rsid w:val="009474CC"/>
    <w:rsid w:val="009505D4"/>
    <w:rsid w:val="00957591"/>
    <w:rsid w:val="00962A8C"/>
    <w:rsid w:val="009764CD"/>
    <w:rsid w:val="00982251"/>
    <w:rsid w:val="009823D2"/>
    <w:rsid w:val="009A29DB"/>
    <w:rsid w:val="009A637E"/>
    <w:rsid w:val="009A6AF0"/>
    <w:rsid w:val="009A7B00"/>
    <w:rsid w:val="009B2560"/>
    <w:rsid w:val="009B3A22"/>
    <w:rsid w:val="009C1E69"/>
    <w:rsid w:val="009C392A"/>
    <w:rsid w:val="009D793C"/>
    <w:rsid w:val="009E1DD3"/>
    <w:rsid w:val="009E5DCD"/>
    <w:rsid w:val="009E6D10"/>
    <w:rsid w:val="009E7DCB"/>
    <w:rsid w:val="009F25F4"/>
    <w:rsid w:val="009F28C4"/>
    <w:rsid w:val="009F4BF4"/>
    <w:rsid w:val="009F5A8F"/>
    <w:rsid w:val="00A07A06"/>
    <w:rsid w:val="00A14BD5"/>
    <w:rsid w:val="00A23B13"/>
    <w:rsid w:val="00A33941"/>
    <w:rsid w:val="00A41420"/>
    <w:rsid w:val="00A42ED5"/>
    <w:rsid w:val="00A436A2"/>
    <w:rsid w:val="00A43D67"/>
    <w:rsid w:val="00A60E3A"/>
    <w:rsid w:val="00A7253A"/>
    <w:rsid w:val="00A731EF"/>
    <w:rsid w:val="00A80159"/>
    <w:rsid w:val="00A834A9"/>
    <w:rsid w:val="00A83879"/>
    <w:rsid w:val="00A875C2"/>
    <w:rsid w:val="00A928CD"/>
    <w:rsid w:val="00A93ED3"/>
    <w:rsid w:val="00AB2406"/>
    <w:rsid w:val="00AC57A5"/>
    <w:rsid w:val="00AD19F5"/>
    <w:rsid w:val="00AD3AE2"/>
    <w:rsid w:val="00AD4F8F"/>
    <w:rsid w:val="00AD6C4C"/>
    <w:rsid w:val="00AE1267"/>
    <w:rsid w:val="00AE1D1A"/>
    <w:rsid w:val="00AE386B"/>
    <w:rsid w:val="00AF2739"/>
    <w:rsid w:val="00B14B69"/>
    <w:rsid w:val="00B156CC"/>
    <w:rsid w:val="00B166DA"/>
    <w:rsid w:val="00B20D4C"/>
    <w:rsid w:val="00B22D8B"/>
    <w:rsid w:val="00B242E2"/>
    <w:rsid w:val="00B330C8"/>
    <w:rsid w:val="00B3352B"/>
    <w:rsid w:val="00B4429C"/>
    <w:rsid w:val="00B456E7"/>
    <w:rsid w:val="00B50FF7"/>
    <w:rsid w:val="00B672B6"/>
    <w:rsid w:val="00B7298D"/>
    <w:rsid w:val="00BA7C17"/>
    <w:rsid w:val="00BB7A02"/>
    <w:rsid w:val="00BC50DB"/>
    <w:rsid w:val="00BC535D"/>
    <w:rsid w:val="00BD0179"/>
    <w:rsid w:val="00BD33FC"/>
    <w:rsid w:val="00BD679F"/>
    <w:rsid w:val="00BE0C74"/>
    <w:rsid w:val="00BE1318"/>
    <w:rsid w:val="00BE393B"/>
    <w:rsid w:val="00BF0348"/>
    <w:rsid w:val="00BF2912"/>
    <w:rsid w:val="00BF7668"/>
    <w:rsid w:val="00C234DF"/>
    <w:rsid w:val="00C32338"/>
    <w:rsid w:val="00C4080A"/>
    <w:rsid w:val="00C40C38"/>
    <w:rsid w:val="00C425B1"/>
    <w:rsid w:val="00C74079"/>
    <w:rsid w:val="00C814FC"/>
    <w:rsid w:val="00C827FB"/>
    <w:rsid w:val="00C83013"/>
    <w:rsid w:val="00C84782"/>
    <w:rsid w:val="00C8524A"/>
    <w:rsid w:val="00C92BCC"/>
    <w:rsid w:val="00C96C71"/>
    <w:rsid w:val="00CB0CD6"/>
    <w:rsid w:val="00CB5EE1"/>
    <w:rsid w:val="00CB74E8"/>
    <w:rsid w:val="00CB7DEF"/>
    <w:rsid w:val="00CC6573"/>
    <w:rsid w:val="00CC70D5"/>
    <w:rsid w:val="00CD11EE"/>
    <w:rsid w:val="00CD3A49"/>
    <w:rsid w:val="00CD7A96"/>
    <w:rsid w:val="00CE1833"/>
    <w:rsid w:val="00CE1EF6"/>
    <w:rsid w:val="00CF00DE"/>
    <w:rsid w:val="00CF7A09"/>
    <w:rsid w:val="00D03DB6"/>
    <w:rsid w:val="00D10C99"/>
    <w:rsid w:val="00D16394"/>
    <w:rsid w:val="00D17A47"/>
    <w:rsid w:val="00D24ACC"/>
    <w:rsid w:val="00D25AF7"/>
    <w:rsid w:val="00D262DC"/>
    <w:rsid w:val="00D403E4"/>
    <w:rsid w:val="00D43345"/>
    <w:rsid w:val="00D46C70"/>
    <w:rsid w:val="00D473B8"/>
    <w:rsid w:val="00D474F0"/>
    <w:rsid w:val="00D504E9"/>
    <w:rsid w:val="00D54C21"/>
    <w:rsid w:val="00D60A91"/>
    <w:rsid w:val="00D63C2C"/>
    <w:rsid w:val="00D63CEF"/>
    <w:rsid w:val="00D70131"/>
    <w:rsid w:val="00D7547C"/>
    <w:rsid w:val="00D80331"/>
    <w:rsid w:val="00D80624"/>
    <w:rsid w:val="00D81153"/>
    <w:rsid w:val="00D83B09"/>
    <w:rsid w:val="00D9026D"/>
    <w:rsid w:val="00D9080C"/>
    <w:rsid w:val="00D97ACA"/>
    <w:rsid w:val="00DA603E"/>
    <w:rsid w:val="00DB0EE7"/>
    <w:rsid w:val="00DC3CBC"/>
    <w:rsid w:val="00DD3BB1"/>
    <w:rsid w:val="00DD5D3E"/>
    <w:rsid w:val="00E0013C"/>
    <w:rsid w:val="00E16F34"/>
    <w:rsid w:val="00E25026"/>
    <w:rsid w:val="00E3175A"/>
    <w:rsid w:val="00E317F9"/>
    <w:rsid w:val="00E34B9E"/>
    <w:rsid w:val="00E4561C"/>
    <w:rsid w:val="00E4747C"/>
    <w:rsid w:val="00E60A1F"/>
    <w:rsid w:val="00E672CE"/>
    <w:rsid w:val="00E70DE8"/>
    <w:rsid w:val="00E83E76"/>
    <w:rsid w:val="00E94815"/>
    <w:rsid w:val="00E96655"/>
    <w:rsid w:val="00EA24AA"/>
    <w:rsid w:val="00EA4625"/>
    <w:rsid w:val="00EB280A"/>
    <w:rsid w:val="00EB3695"/>
    <w:rsid w:val="00EC12C9"/>
    <w:rsid w:val="00EC5686"/>
    <w:rsid w:val="00ED5626"/>
    <w:rsid w:val="00EE09C8"/>
    <w:rsid w:val="00EE337B"/>
    <w:rsid w:val="00EE6436"/>
    <w:rsid w:val="00EF6D94"/>
    <w:rsid w:val="00F003D8"/>
    <w:rsid w:val="00F01B7B"/>
    <w:rsid w:val="00F0743B"/>
    <w:rsid w:val="00F21FBC"/>
    <w:rsid w:val="00F22172"/>
    <w:rsid w:val="00F2573A"/>
    <w:rsid w:val="00F364B7"/>
    <w:rsid w:val="00F45AA0"/>
    <w:rsid w:val="00F55108"/>
    <w:rsid w:val="00F72FBC"/>
    <w:rsid w:val="00F7358C"/>
    <w:rsid w:val="00F8013A"/>
    <w:rsid w:val="00F8361A"/>
    <w:rsid w:val="00F86788"/>
    <w:rsid w:val="00F93F7E"/>
    <w:rsid w:val="00FA3E9E"/>
    <w:rsid w:val="00FA5976"/>
    <w:rsid w:val="00FA5FED"/>
    <w:rsid w:val="00FE2C42"/>
    <w:rsid w:val="00FE2CA2"/>
    <w:rsid w:val="00FF0533"/>
    <w:rsid w:val="21EE5084"/>
    <w:rsid w:val="704F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ocument Map"/>
    <w:basedOn w:val="1"/>
    <w:link w:val="24"/>
    <w:semiHidden/>
    <w:unhideWhenUsed/>
    <w:qFormat/>
    <w:uiPriority w:val="99"/>
    <w:rPr>
      <w:rFonts w:ascii="宋体"/>
      <w:sz w:val="18"/>
      <w:szCs w:val="18"/>
    </w:rPr>
  </w:style>
  <w:style w:type="paragraph" w:styleId="4">
    <w:name w:val="annotation text"/>
    <w:basedOn w:val="1"/>
    <w:link w:val="29"/>
    <w:semiHidden/>
    <w:unhideWhenUsed/>
    <w:qFormat/>
    <w:uiPriority w:val="99"/>
    <w:pPr>
      <w:jc w:val="left"/>
    </w:pPr>
  </w:style>
  <w:style w:type="paragraph" w:styleId="5">
    <w:name w:val="Date"/>
    <w:basedOn w:val="1"/>
    <w:next w:val="1"/>
    <w:link w:val="31"/>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30"/>
    <w:semiHidden/>
    <w:unhideWhenUsed/>
    <w:qFormat/>
    <w:uiPriority w:val="99"/>
    <w:rPr>
      <w:b/>
      <w:bCs/>
    </w:rPr>
  </w:style>
  <w:style w:type="character" w:styleId="13">
    <w:name w:val="page number"/>
    <w:basedOn w:val="12"/>
    <w:qFormat/>
    <w:uiPriority w:val="0"/>
  </w:style>
  <w:style w:type="character" w:styleId="14">
    <w:name w:val="Emphasis"/>
    <w:qFormat/>
    <w:uiPriority w:val="20"/>
    <w:rPr>
      <w:i/>
    </w:rPr>
  </w:style>
  <w:style w:type="character" w:styleId="15">
    <w:name w:val="Hyperlink"/>
    <w:semiHidden/>
    <w:unhideWhenUsed/>
    <w:qFormat/>
    <w:uiPriority w:val="99"/>
    <w:rPr>
      <w:color w:val="0000FF"/>
      <w:u w:val="single"/>
    </w:rPr>
  </w:style>
  <w:style w:type="character" w:styleId="16">
    <w:name w:val="annotation reference"/>
    <w:semiHidden/>
    <w:unhideWhenUsed/>
    <w:uiPriority w:val="99"/>
    <w:rPr>
      <w:sz w:val="21"/>
      <w:szCs w:val="21"/>
    </w:rPr>
  </w:style>
  <w:style w:type="character" w:customStyle="1" w:styleId="17">
    <w:name w:val="页眉 Char"/>
    <w:link w:val="8"/>
    <w:uiPriority w:val="99"/>
    <w:rPr>
      <w:sz w:val="18"/>
      <w:szCs w:val="18"/>
    </w:rPr>
  </w:style>
  <w:style w:type="character" w:customStyle="1" w:styleId="18">
    <w:name w:val="页脚 Char"/>
    <w:link w:val="7"/>
    <w:uiPriority w:val="99"/>
    <w:rPr>
      <w:sz w:val="18"/>
      <w:szCs w:val="18"/>
    </w:rPr>
  </w:style>
  <w:style w:type="character" w:customStyle="1" w:styleId="19">
    <w:name w:val="标题 1 Char"/>
    <w:link w:val="2"/>
    <w:uiPriority w:val="9"/>
    <w:rPr>
      <w:rFonts w:ascii="宋体" w:hAnsi="宋体" w:eastAsia="宋体" w:cs="宋体"/>
      <w:b/>
      <w:bCs/>
      <w:kern w:val="36"/>
      <w:sz w:val="48"/>
      <w:szCs w:val="48"/>
    </w:rPr>
  </w:style>
  <w:style w:type="paragraph" w:customStyle="1" w:styleId="20">
    <w:name w:val="ta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mr20"/>
    <w:basedOn w:val="12"/>
    <w:qFormat/>
    <w:uiPriority w:val="0"/>
  </w:style>
  <w:style w:type="character" w:customStyle="1" w:styleId="22">
    <w:name w:val="apple-converted-space"/>
    <w:basedOn w:val="12"/>
    <w:qFormat/>
    <w:uiPriority w:val="0"/>
  </w:style>
  <w:style w:type="character" w:customStyle="1" w:styleId="23">
    <w:name w:val="批注框文本 Char"/>
    <w:link w:val="6"/>
    <w:semiHidden/>
    <w:uiPriority w:val="99"/>
    <w:rPr>
      <w:kern w:val="2"/>
      <w:sz w:val="18"/>
      <w:szCs w:val="18"/>
    </w:rPr>
  </w:style>
  <w:style w:type="character" w:customStyle="1" w:styleId="24">
    <w:name w:val="文档结构图 Char"/>
    <w:link w:val="3"/>
    <w:semiHidden/>
    <w:qFormat/>
    <w:uiPriority w:val="99"/>
    <w:rPr>
      <w:rFonts w:ascii="宋体"/>
      <w:kern w:val="2"/>
      <w:sz w:val="18"/>
      <w:szCs w:val="18"/>
    </w:rPr>
  </w:style>
  <w:style w:type="paragraph" w:customStyle="1" w:styleId="25">
    <w:name w:val="样式1"/>
    <w:basedOn w:val="1"/>
    <w:link w:val="27"/>
    <w:qFormat/>
    <w:uiPriority w:val="0"/>
    <w:pPr>
      <w:widowControl/>
      <w:shd w:val="clear" w:color="auto" w:fill="FFFFFF"/>
      <w:ind w:firstLine="200" w:firstLineChars="200"/>
      <w:outlineLvl w:val="0"/>
    </w:pPr>
    <w:rPr>
      <w:rFonts w:ascii="黑体" w:hAnsi="黑体" w:eastAsia="黑体" w:cs="Arial"/>
      <w:color w:val="000000"/>
      <w:kern w:val="0"/>
      <w:sz w:val="32"/>
      <w:szCs w:val="32"/>
    </w:rPr>
  </w:style>
  <w:style w:type="paragraph" w:customStyle="1" w:styleId="26">
    <w:name w:val="样式2"/>
    <w:basedOn w:val="1"/>
    <w:link w:val="2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character" w:customStyle="1" w:styleId="27">
    <w:name w:val="样式1 Char"/>
    <w:link w:val="25"/>
    <w:uiPriority w:val="0"/>
    <w:rPr>
      <w:rFonts w:ascii="黑体" w:hAnsi="黑体" w:eastAsia="黑体" w:cs="Arial"/>
      <w:color w:val="000000"/>
      <w:sz w:val="32"/>
      <w:szCs w:val="32"/>
      <w:shd w:val="clear" w:color="auto" w:fill="FFFFFF"/>
    </w:rPr>
  </w:style>
  <w:style w:type="character" w:customStyle="1" w:styleId="28">
    <w:name w:val="样式2 Char"/>
    <w:link w:val="26"/>
    <w:qFormat/>
    <w:uiPriority w:val="0"/>
    <w:rPr>
      <w:rFonts w:ascii="楷体_GB2312" w:hAnsi="Arial" w:eastAsia="楷体_GB2312" w:cs="Arial"/>
      <w:b/>
      <w:color w:val="000000"/>
      <w:sz w:val="32"/>
      <w:szCs w:val="32"/>
      <w:shd w:val="clear" w:color="auto" w:fill="FFFFFF"/>
    </w:rPr>
  </w:style>
  <w:style w:type="character" w:customStyle="1" w:styleId="29">
    <w:name w:val="批注文字 Char"/>
    <w:link w:val="4"/>
    <w:semiHidden/>
    <w:qFormat/>
    <w:uiPriority w:val="99"/>
    <w:rPr>
      <w:kern w:val="2"/>
      <w:sz w:val="21"/>
      <w:szCs w:val="22"/>
    </w:rPr>
  </w:style>
  <w:style w:type="character" w:customStyle="1" w:styleId="30">
    <w:name w:val="批注主题 Char"/>
    <w:link w:val="10"/>
    <w:semiHidden/>
    <w:qFormat/>
    <w:uiPriority w:val="99"/>
    <w:rPr>
      <w:b/>
      <w:bCs/>
      <w:kern w:val="2"/>
      <w:sz w:val="21"/>
      <w:szCs w:val="22"/>
    </w:rPr>
  </w:style>
  <w:style w:type="character" w:customStyle="1" w:styleId="31">
    <w:name w:val="日期 Char"/>
    <w:link w:val="5"/>
    <w:semiHidden/>
    <w:uiPriority w:val="99"/>
    <w:rPr>
      <w:kern w:val="2"/>
      <w:sz w:val="21"/>
      <w:szCs w:val="22"/>
    </w:rPr>
  </w:style>
  <w:style w:type="paragraph" w:customStyle="1" w:styleId="32">
    <w:name w:val="样式3"/>
    <w:basedOn w:val="1"/>
    <w:link w:val="34"/>
    <w:qFormat/>
    <w:uiPriority w:val="0"/>
    <w:pPr>
      <w:outlineLvl w:val="0"/>
    </w:pPr>
    <w:rPr>
      <w:rFonts w:ascii="黑体" w:hAnsi="黑体" w:eastAsia="黑体"/>
      <w:sz w:val="32"/>
      <w:szCs w:val="32"/>
    </w:rPr>
  </w:style>
  <w:style w:type="paragraph" w:customStyle="1" w:styleId="33">
    <w:name w:val="样式4"/>
    <w:basedOn w:val="1"/>
    <w:link w:val="36"/>
    <w:qFormat/>
    <w:uiPriority w:val="0"/>
    <w:pPr>
      <w:jc w:val="center"/>
      <w:outlineLvl w:val="0"/>
    </w:pPr>
    <w:rPr>
      <w:rFonts w:ascii="宋体" w:hAnsi="宋体"/>
      <w:b/>
      <w:sz w:val="44"/>
      <w:szCs w:val="44"/>
    </w:rPr>
  </w:style>
  <w:style w:type="character" w:customStyle="1" w:styleId="34">
    <w:name w:val="样式3 Char"/>
    <w:link w:val="32"/>
    <w:qFormat/>
    <w:uiPriority w:val="0"/>
    <w:rPr>
      <w:rFonts w:ascii="黑体" w:hAnsi="黑体" w:eastAsia="黑体"/>
      <w:kern w:val="2"/>
      <w:sz w:val="32"/>
      <w:szCs w:val="32"/>
    </w:rPr>
  </w:style>
  <w:style w:type="paragraph" w:customStyle="1" w:styleId="35">
    <w:name w:val="样式5"/>
    <w:basedOn w:val="1"/>
    <w:link w:val="38"/>
    <w:qFormat/>
    <w:uiPriority w:val="0"/>
    <w:pPr>
      <w:ind w:firstLine="200" w:firstLineChars="200"/>
      <w:outlineLvl w:val="0"/>
    </w:pPr>
    <w:rPr>
      <w:rFonts w:ascii="黑体" w:hAnsi="黑体" w:eastAsia="黑体"/>
      <w:sz w:val="32"/>
      <w:szCs w:val="32"/>
    </w:rPr>
  </w:style>
  <w:style w:type="character" w:customStyle="1" w:styleId="36">
    <w:name w:val="样式4 Char"/>
    <w:link w:val="33"/>
    <w:qFormat/>
    <w:uiPriority w:val="0"/>
    <w:rPr>
      <w:rFonts w:ascii="宋体" w:hAnsi="宋体" w:eastAsia="宋体"/>
      <w:b/>
      <w:kern w:val="2"/>
      <w:sz w:val="44"/>
      <w:szCs w:val="44"/>
    </w:rPr>
  </w:style>
  <w:style w:type="paragraph" w:customStyle="1" w:styleId="37">
    <w:name w:val="样式6"/>
    <w:basedOn w:val="1"/>
    <w:link w:val="40"/>
    <w:qFormat/>
    <w:uiPriority w:val="0"/>
    <w:pPr>
      <w:ind w:firstLine="200" w:firstLineChars="200"/>
      <w:outlineLvl w:val="1"/>
    </w:pPr>
    <w:rPr>
      <w:rFonts w:ascii="楷体_GB2312" w:hAnsi="Times New Roman" w:eastAsia="楷体_GB2312"/>
      <w:b/>
      <w:sz w:val="32"/>
      <w:szCs w:val="32"/>
    </w:rPr>
  </w:style>
  <w:style w:type="character" w:customStyle="1" w:styleId="38">
    <w:name w:val="样式5 Char"/>
    <w:link w:val="35"/>
    <w:qFormat/>
    <w:uiPriority w:val="0"/>
    <w:rPr>
      <w:rFonts w:ascii="黑体" w:hAnsi="黑体" w:eastAsia="黑体"/>
      <w:kern w:val="2"/>
      <w:sz w:val="32"/>
      <w:szCs w:val="32"/>
    </w:rPr>
  </w:style>
  <w:style w:type="paragraph" w:customStyle="1" w:styleId="39">
    <w:name w:val="样式7"/>
    <w:basedOn w:val="1"/>
    <w:link w:val="42"/>
    <w:qFormat/>
    <w:uiPriority w:val="0"/>
    <w:pPr>
      <w:ind w:firstLine="200" w:firstLineChars="200"/>
      <w:outlineLvl w:val="2"/>
    </w:pPr>
    <w:rPr>
      <w:rFonts w:ascii="仿宋_GB2312" w:hAnsi="Times New Roman" w:eastAsia="仿宋_GB2312"/>
      <w:b/>
      <w:sz w:val="32"/>
      <w:szCs w:val="32"/>
    </w:rPr>
  </w:style>
  <w:style w:type="character" w:customStyle="1" w:styleId="40">
    <w:name w:val="样式6 Char"/>
    <w:link w:val="37"/>
    <w:qFormat/>
    <w:uiPriority w:val="0"/>
    <w:rPr>
      <w:rFonts w:ascii="楷体_GB2312" w:hAnsi="Times New Roman" w:eastAsia="楷体_GB2312"/>
      <w:b/>
      <w:kern w:val="2"/>
      <w:sz w:val="32"/>
      <w:szCs w:val="32"/>
    </w:rPr>
  </w:style>
  <w:style w:type="paragraph" w:styleId="41">
    <w:name w:val="List Paragraph"/>
    <w:basedOn w:val="1"/>
    <w:qFormat/>
    <w:uiPriority w:val="34"/>
    <w:pPr>
      <w:ind w:firstLine="420" w:firstLineChars="200"/>
    </w:pPr>
    <w:rPr>
      <w:rFonts w:ascii="Times New Roman" w:hAnsi="Times New Roman" w:eastAsia="仿宋_GB2312"/>
      <w:sz w:val="32"/>
      <w:szCs w:val="20"/>
    </w:rPr>
  </w:style>
  <w:style w:type="character" w:customStyle="1" w:styleId="42">
    <w:name w:val="样式7 Char"/>
    <w:link w:val="39"/>
    <w:qFormat/>
    <w:uiPriority w:val="0"/>
    <w:rPr>
      <w:rFonts w:ascii="仿宋_GB2312" w:hAnsi="Times New Roman" w:eastAsia="仿宋_GB2312"/>
      <w:b/>
      <w:kern w:val="2"/>
      <w:sz w:val="32"/>
      <w:szCs w:val="32"/>
    </w:rPr>
  </w:style>
  <w:style w:type="paragraph" w:customStyle="1" w:styleId="43">
    <w:name w:val="Char"/>
    <w:basedOn w:val="1"/>
    <w:qFormat/>
    <w:uiPriority w:val="0"/>
    <w:rPr>
      <w:rFonts w:ascii="Times New Roman" w:hAnsi="Times New Roman"/>
      <w:szCs w:val="24"/>
    </w:rPr>
  </w:style>
  <w:style w:type="paragraph" w:customStyle="1" w:styleId="44">
    <w:name w:val="p0"/>
    <w:basedOn w:val="1"/>
    <w:qFormat/>
    <w:uiPriority w:val="0"/>
    <w:pPr>
      <w:widowControl/>
    </w:pPr>
    <w:rPr>
      <w:rFonts w:cs="宋体"/>
      <w:kern w:val="0"/>
      <w:szCs w:val="21"/>
    </w:rPr>
  </w:style>
  <w:style w:type="paragraph" w:customStyle="1" w:styleId="4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28F2-4DC8-49F1-AB5D-5FDBBB8B438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3233</Words>
  <Characters>3283</Characters>
  <Lines>29</Lines>
  <Paragraphs>8</Paragraphs>
  <TotalTime>9</TotalTime>
  <ScaleCrop>false</ScaleCrop>
  <LinksUpToDate>false</LinksUpToDate>
  <CharactersWithSpaces>3654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2017-09-12T00:21:00Z</dcterms:created>
  <dc:creator>王枫</dc:creator>
  <cp:lastModifiedBy>WPS_1581317969</cp:lastModifiedBy>
  <dcterms:modified xsi:type="dcterms:W3CDTF">2022-07-18T06:39:53Z</dcterms:modified>
  <dc:title>深圳市发展改革委关于组织实施深圳市机器人、可穿戴设备和智能装备产业2015年第五批扶持计划（直接资助、股权资助、贷款贴息方式）的通知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0278C1E492414AFAB1E4B3738F3FBDB9</vt:lpwstr>
  </property>
</Properties>
</file>