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pPr>
      <w:r>
        <w:rPr>
          <w:rFonts w:hint="eastAsia" w:ascii="楷体" w:hAnsi="楷体" w:eastAsia="楷体"/>
          <w:b/>
          <w:bCs/>
          <w:color w:val="000000"/>
          <w:sz w:val="30"/>
        </w:rPr>
        <w:t>统一社会信用代码：</w:t>
      </w:r>
      <w:r>
        <w:rPr>
          <w:rFonts w:hint="eastAsia" w:ascii="楷体" w:hAnsi="楷体" w:eastAsia="楷体"/>
          <w:b/>
          <w:bCs/>
          <w:color w:val="000000"/>
          <w:sz w:val="30"/>
          <w:lang w:val="en-US" w:eastAsia="zh-CN"/>
        </w:rPr>
        <w:t>12440300455852015L</w:t>
      </w:r>
      <w:r>
        <w:rPr>
          <w:rFonts w:hint="eastAsia" w:ascii="楷体" w:hAnsi="楷体" w:eastAsia="楷体"/>
          <w:b/>
          <w:bCs/>
          <w:color w:val="000000"/>
          <w:sz w:val="30"/>
        </w:rPr>
        <w:t xml:space="preserve"> </w:t>
      </w: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p>
      <w:pPr>
        <w:jc w:val="center"/>
        <w:rPr>
          <w:rFonts w:ascii="楷体" w:hAnsi="楷体" w:eastAsia="楷体"/>
          <w:b/>
          <w:bCs/>
          <w:spacing w:val="30"/>
          <w:sz w:val="36"/>
        </w:rPr>
      </w:pPr>
      <w:r>
        <w:rPr>
          <w:rFonts w:hint="eastAsia" w:ascii="楷体" w:hAnsi="楷体" w:eastAsia="楷体"/>
          <w:b/>
          <w:bCs/>
          <w:spacing w:val="30"/>
          <w:sz w:val="36"/>
        </w:rPr>
        <w:t>（</w:t>
      </w:r>
      <w:r>
        <w:rPr>
          <w:rFonts w:hint="eastAsia" w:ascii="楷体" w:hAnsi="楷体" w:eastAsia="楷体"/>
          <w:b/>
          <w:bCs/>
          <w:spacing w:val="30"/>
          <w:sz w:val="36"/>
          <w:lang w:val="en-US" w:eastAsia="zh-CN"/>
        </w:rPr>
        <w:t>2018</w:t>
      </w:r>
      <w:r>
        <w:rPr>
          <w:rFonts w:hint="eastAsia" w:ascii="楷体" w:hAnsi="楷体" w:eastAsia="楷体"/>
          <w:b/>
          <w:bCs/>
          <w:spacing w:val="30"/>
          <w:sz w:val="36"/>
        </w:rPr>
        <w:t>年度）</w:t>
      </w:r>
    </w:p>
    <w:p>
      <w:pPr>
        <w:rPr>
          <w:u w:val="single"/>
        </w:rPr>
      </w:pPr>
    </w:p>
    <w:p>
      <w:pPr>
        <w:rPr>
          <w:u w:val="single"/>
        </w:rPr>
      </w:pPr>
    </w:p>
    <w:p>
      <w:pPr>
        <w:rPr>
          <w:u w:val="single"/>
        </w:rPr>
      </w:pPr>
    </w:p>
    <w:p>
      <w:pPr>
        <w:rPr>
          <w:sz w:val="32"/>
          <w:szCs w:val="32"/>
        </w:rPr>
      </w:pPr>
    </w:p>
    <w:p>
      <w:pPr>
        <w:rPr>
          <w:sz w:val="32"/>
          <w:szCs w:val="32"/>
        </w:rPr>
      </w:pPr>
    </w:p>
    <w:p>
      <w:pPr>
        <w:rPr>
          <w:sz w:val="32"/>
          <w:szCs w:val="32"/>
        </w:rPr>
      </w:pPr>
    </w:p>
    <w:p>
      <w:pPr>
        <w:rPr>
          <w:sz w:val="32"/>
          <w:szCs w:val="32"/>
        </w:rPr>
      </w:pPr>
    </w:p>
    <w:p>
      <w:pPr>
        <w:jc w:val="center"/>
        <w:rPr>
          <w:sz w:val="32"/>
          <w:szCs w:val="32"/>
          <w:lang w:val="en-US"/>
        </w:rPr>
      </w:pPr>
      <w:r>
        <w:rPr>
          <w:rFonts w:hint="eastAsia" w:ascii="黑体" w:hAnsi="黑体" w:eastAsia="黑体"/>
          <w:sz w:val="44"/>
          <w:szCs w:val="44"/>
        </w:rPr>
        <w:t>单位名称</w:t>
      </w:r>
      <w:r>
        <w:rPr>
          <w:rFonts w:hint="eastAsia" w:ascii="黑体" w:hAnsi="黑体" w:eastAsia="黑体"/>
          <w:sz w:val="44"/>
          <w:szCs w:val="44"/>
          <w:u w:val="single"/>
          <w:lang w:val="en-US" w:eastAsia="zh-CN"/>
        </w:rPr>
        <w:t xml:space="preserve">   </w:t>
      </w:r>
      <w:r>
        <w:rPr>
          <w:rFonts w:hint="eastAsia" w:ascii="楷体_GB2312" w:hAnsi="楷体_GB2312" w:eastAsia="楷体_GB2312" w:cs="楷体_GB2312"/>
          <w:b/>
          <w:bCs/>
          <w:sz w:val="32"/>
          <w:szCs w:val="32"/>
          <w:u w:val="single"/>
          <w:lang w:eastAsia="zh-CN"/>
        </w:rPr>
        <w:t>深圳市价格认证中心</w:t>
      </w:r>
      <w:r>
        <w:rPr>
          <w:rFonts w:hint="eastAsia" w:ascii="楷体_GB2312" w:hAnsi="楷体_GB2312" w:eastAsia="楷体_GB2312" w:cs="楷体_GB2312"/>
          <w:b/>
          <w:bCs/>
          <w:sz w:val="32"/>
          <w:szCs w:val="32"/>
          <w:u w:val="single"/>
          <w:lang w:val="en-US" w:eastAsia="zh-CN"/>
        </w:rPr>
        <w:t xml:space="preserve">    </w:t>
      </w:r>
    </w:p>
    <w:p>
      <w:pPr>
        <w:rPr>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注:事业单位仅需通过广东事业登记管理网提交，无需提供此纸质报告书。</w:t>
      </w:r>
    </w:p>
    <w:p>
      <w:pPr>
        <w:spacing w:line="560" w:lineRule="exact"/>
        <w:ind w:firstLine="3080" w:firstLineChars="700"/>
        <w:rPr>
          <w:rFonts w:hint="eastAsia" w:ascii="方正小标宋简体" w:hAnsi="楷体" w:eastAsia="方正小标宋简体"/>
          <w:sz w:val="44"/>
          <w:szCs w:val="44"/>
        </w:rPr>
      </w:pPr>
      <w:r>
        <w:rPr>
          <w:rFonts w:hint="eastAsia" w:ascii="方正小标宋简体" w:hAnsi="楷体" w:eastAsia="方正小标宋简体"/>
          <w:sz w:val="44"/>
          <w:szCs w:val="44"/>
        </w:rPr>
        <w:t>填表说明</w:t>
      </w:r>
    </w:p>
    <w:p>
      <w:pPr>
        <w:spacing w:line="560" w:lineRule="exact"/>
        <w:ind w:firstLine="1960" w:firstLineChars="700"/>
        <w:rPr>
          <w:rFonts w:hint="eastAsia" w:ascii="方正小标宋简体" w:hAnsi="楷体" w:eastAsia="方正小标宋简体"/>
          <w:sz w:val="28"/>
          <w:szCs w:val="28"/>
        </w:rPr>
      </w:pP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一、对《条例》和实施细则有关变更登记规定的执行情况：上一年度是否按规定申请了变更登记；变更登记的具体内容及时间。</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二、开展业务活动情况：填写上一年度内执行本单位章程的情况、按照登记的宗旨和业务范围开展了哪些具体的业务活动、法人治理情况（如理事会召开情况、理事会重大决策等）、重大事项、取得的主要社会效益和经济效益（用数字说明）、存在的问题及改进措施和下一步工作思路。</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三、相关资质认可或执业证明(含受委托)文件及有效期：填写本单位业务范围涉及的资质认可或执业许可(含受委托)文件内容，包括证书名称、认可（许可）范围、有效期截止日期、颁发机关。</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四、资产损益情况：分别填写本单位上一年度(截止时间为12月31日止)的资产负债表“净资产合计”或“所有者权益合计”科目的数额。</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五、人员编制情况：分别填写事业单位年末人员编制数、实有在职人数（含与本单位签订劳动合同的非在编人员，不包含劳务派遣人员）、在编人数。</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六、绩效和受奖惩及诉讼投诉情况：“绩效情况”填写是否接受过绩效评估以及评估的结果；“受奖惩情况”填写是否受到有关部门对单位的奖励和惩处以及所受奖惩的项目，不包括针对职工个人的奖惩情况；“诉讼投诉情况”填写是否有诉讼及社会投诉及具体内容。</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七、接受捐赠资助及使用情况：填写本单位接受捐赠资助的数量、方式、使用方向和使用结果等。</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八、其他需要说明的情况：填写事业单位分支机构设置和运行情况，以及其他需要说明的情况。</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九、报告联系人：填写该报告的联系人信息，将与年度报告一同向社会公开，接受公众咨询。</w:t>
      </w: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p>
      <w:pPr>
        <w:spacing w:line="500" w:lineRule="exact"/>
        <w:ind w:firstLine="640" w:firstLineChars="200"/>
        <w:rPr>
          <w:rFonts w:hint="eastAsia" w:ascii="仿宋_GB2312" w:hAnsi="楷体" w:eastAsia="仿宋_GB2312"/>
          <w:sz w:val="32"/>
          <w:szCs w:val="32"/>
        </w:rPr>
      </w:pPr>
    </w:p>
    <w:tbl>
      <w:tblPr>
        <w:tblStyle w:val="2"/>
        <w:tblW w:w="9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677"/>
        <w:gridCol w:w="339"/>
        <w:gridCol w:w="510"/>
        <w:gridCol w:w="1470"/>
        <w:gridCol w:w="258"/>
        <w:gridCol w:w="1107"/>
        <w:gridCol w:w="615"/>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584" w:type="dxa"/>
            <w:tcBorders>
              <w:top w:val="single" w:color="auto" w:sz="8" w:space="0"/>
              <w:left w:val="single" w:color="auto" w:sz="12" w:space="0"/>
              <w:bottom w:val="single" w:color="auto" w:sz="12" w:space="0"/>
              <w:right w:val="single" w:color="auto" w:sz="4" w:space="0"/>
            </w:tcBorders>
            <w:vAlign w:val="center"/>
          </w:tcPr>
          <w:p>
            <w:pPr>
              <w:jc w:val="center"/>
              <w:rPr>
                <w:rFonts w:hint="eastAsia" w:ascii="仿宋_GB2312" w:hAnsi="楷体" w:eastAsia="仿宋_GB2312"/>
                <w:b/>
                <w:bCs/>
                <w:sz w:val="32"/>
                <w:szCs w:val="32"/>
              </w:rPr>
            </w:pPr>
            <w:r>
              <w:rPr>
                <w:rFonts w:hint="eastAsia" w:ascii="仿宋_GB2312" w:hAnsi="楷体" w:eastAsia="仿宋_GB2312"/>
                <w:b/>
                <w:bCs/>
                <w:sz w:val="32"/>
                <w:szCs w:val="32"/>
              </w:rPr>
              <w:t>对《条</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例》和</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实施细</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则有关</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变更登</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记规定</w:t>
            </w:r>
          </w:p>
          <w:p>
            <w:pPr>
              <w:jc w:val="center"/>
              <w:rPr>
                <w:rFonts w:hint="eastAsia" w:ascii="仿宋_GB2312" w:hAnsi="楷体" w:eastAsia="仿宋_GB2312"/>
                <w:b/>
                <w:bCs/>
                <w:sz w:val="32"/>
                <w:szCs w:val="32"/>
              </w:rPr>
            </w:pPr>
            <w:r>
              <w:rPr>
                <w:rFonts w:hint="eastAsia" w:ascii="仿宋_GB2312" w:hAnsi="楷体" w:eastAsia="仿宋_GB2312"/>
                <w:b/>
                <w:bCs/>
                <w:sz w:val="32"/>
                <w:szCs w:val="32"/>
              </w:rPr>
              <w:t>的执行</w:t>
            </w:r>
          </w:p>
          <w:p>
            <w:pPr>
              <w:jc w:val="center"/>
              <w:rPr>
                <w:rFonts w:ascii="楷体_GB2312" w:hAnsi="楷体" w:eastAsia="楷体_GB2312"/>
                <w:b/>
                <w:bCs/>
                <w:sz w:val="32"/>
                <w:szCs w:val="32"/>
              </w:rPr>
            </w:pPr>
            <w:r>
              <w:rPr>
                <w:rFonts w:hint="eastAsia" w:ascii="仿宋_GB2312" w:hAnsi="楷体" w:eastAsia="仿宋_GB2312"/>
                <w:b/>
                <w:bCs/>
                <w:sz w:val="32"/>
                <w:szCs w:val="32"/>
              </w:rPr>
              <w:t>情  况</w:t>
            </w:r>
          </w:p>
        </w:tc>
        <w:tc>
          <w:tcPr>
            <w:tcW w:w="7957" w:type="dxa"/>
            <w:gridSpan w:val="8"/>
            <w:tcBorders>
              <w:top w:val="single" w:color="auto" w:sz="8" w:space="0"/>
              <w:left w:val="single" w:color="auto" w:sz="4" w:space="0"/>
              <w:bottom w:val="single" w:color="auto" w:sz="12" w:space="0"/>
              <w:right w:val="single" w:color="auto" w:sz="12" w:space="0"/>
            </w:tcBorders>
            <w:vAlign w:val="center"/>
          </w:tcPr>
          <w:p>
            <w:pPr>
              <w:spacing w:line="440" w:lineRule="exact"/>
              <w:ind w:firstLine="640" w:firstLineChars="200"/>
              <w:jc w:val="left"/>
              <w:rPr>
                <w:rFonts w:ascii="楷体_GB2312" w:hAnsi="楷体" w:eastAsia="楷体_GB2312"/>
                <w:b/>
                <w:bCs/>
                <w:sz w:val="32"/>
                <w:szCs w:val="32"/>
              </w:rPr>
            </w:pPr>
            <w:r>
              <w:rPr>
                <w:rFonts w:hint="eastAsia" w:ascii="楷体_GB2312" w:hAnsi="楷体" w:eastAsia="楷体_GB2312"/>
                <w:bCs/>
                <w:sz w:val="32"/>
                <w:szCs w:val="32"/>
              </w:rPr>
              <w:t>我单位</w:t>
            </w:r>
            <w:r>
              <w:rPr>
                <w:rFonts w:hint="eastAsia" w:ascii="楷体_GB2312" w:hAnsi="楷体" w:eastAsia="楷体_GB2312"/>
                <w:bCs/>
                <w:sz w:val="32"/>
                <w:szCs w:val="32"/>
                <w:lang w:val="en-US" w:eastAsia="zh-CN"/>
              </w:rPr>
              <w:t>2018</w:t>
            </w:r>
            <w:r>
              <w:rPr>
                <w:rFonts w:hint="eastAsia" w:ascii="楷体_GB2312" w:hAnsi="楷体" w:eastAsia="楷体_GB2312"/>
                <w:bCs/>
                <w:sz w:val="32"/>
                <w:szCs w:val="32"/>
              </w:rPr>
              <w:t>年度登记事项未发生变化。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584" w:type="dxa"/>
            <w:tcBorders>
              <w:top w:val="single" w:color="auto" w:sz="8" w:space="0"/>
              <w:left w:val="single" w:color="auto" w:sz="12" w:space="0"/>
              <w:bottom w:val="single" w:color="auto" w:sz="12" w:space="0"/>
              <w:right w:val="single" w:color="auto" w:sz="4" w:space="0"/>
            </w:tcBorders>
            <w:vAlign w:val="center"/>
          </w:tcPr>
          <w:p>
            <w:pPr>
              <w:jc w:val="center"/>
              <w:rPr>
                <w:rFonts w:ascii="楷体" w:hAnsi="楷体" w:eastAsia="楷体"/>
                <w:b/>
                <w:bCs/>
                <w:sz w:val="32"/>
                <w:szCs w:val="32"/>
              </w:rPr>
            </w:pPr>
            <w:r>
              <w:rPr>
                <w:rFonts w:hint="eastAsia" w:ascii="楷体" w:hAnsi="楷体" w:eastAsia="楷体"/>
                <w:b/>
                <w:bCs/>
                <w:sz w:val="32"/>
                <w:szCs w:val="32"/>
              </w:rPr>
              <w:t>开</w:t>
            </w:r>
          </w:p>
          <w:p>
            <w:pPr>
              <w:jc w:val="center"/>
              <w:rPr>
                <w:rFonts w:ascii="楷体" w:hAnsi="楷体" w:eastAsia="楷体"/>
                <w:b/>
                <w:bCs/>
                <w:sz w:val="32"/>
                <w:szCs w:val="32"/>
              </w:rPr>
            </w:pPr>
            <w:r>
              <w:rPr>
                <w:rFonts w:hint="eastAsia" w:ascii="楷体" w:hAnsi="楷体" w:eastAsia="楷体"/>
                <w:b/>
                <w:bCs/>
                <w:sz w:val="32"/>
                <w:szCs w:val="32"/>
              </w:rPr>
              <w:t>展</w:t>
            </w:r>
          </w:p>
          <w:p>
            <w:pPr>
              <w:jc w:val="center"/>
              <w:rPr>
                <w:rFonts w:ascii="楷体" w:hAnsi="楷体" w:eastAsia="楷体"/>
                <w:b/>
                <w:bCs/>
                <w:sz w:val="32"/>
                <w:szCs w:val="32"/>
              </w:rPr>
            </w:pPr>
            <w:r>
              <w:rPr>
                <w:rFonts w:hint="eastAsia" w:ascii="楷体" w:hAnsi="楷体" w:eastAsia="楷体"/>
                <w:b/>
                <w:bCs/>
                <w:sz w:val="32"/>
                <w:szCs w:val="32"/>
              </w:rPr>
              <w:t>业</w:t>
            </w:r>
          </w:p>
          <w:p>
            <w:pPr>
              <w:jc w:val="center"/>
              <w:rPr>
                <w:rFonts w:ascii="楷体" w:hAnsi="楷体" w:eastAsia="楷体"/>
                <w:b/>
                <w:bCs/>
                <w:sz w:val="32"/>
                <w:szCs w:val="32"/>
              </w:rPr>
            </w:pPr>
            <w:r>
              <w:rPr>
                <w:rFonts w:hint="eastAsia" w:ascii="楷体" w:hAnsi="楷体" w:eastAsia="楷体"/>
                <w:b/>
                <w:bCs/>
                <w:sz w:val="32"/>
                <w:szCs w:val="32"/>
              </w:rPr>
              <w:t>务</w:t>
            </w:r>
          </w:p>
          <w:p>
            <w:pPr>
              <w:jc w:val="center"/>
              <w:rPr>
                <w:rFonts w:ascii="楷体" w:hAnsi="楷体" w:eastAsia="楷体"/>
                <w:b/>
                <w:bCs/>
                <w:sz w:val="32"/>
                <w:szCs w:val="32"/>
              </w:rPr>
            </w:pPr>
            <w:r>
              <w:rPr>
                <w:rFonts w:hint="eastAsia" w:ascii="楷体" w:hAnsi="楷体" w:eastAsia="楷体"/>
                <w:b/>
                <w:bCs/>
                <w:sz w:val="32"/>
                <w:szCs w:val="32"/>
              </w:rPr>
              <w:t>活</w:t>
            </w:r>
          </w:p>
          <w:p>
            <w:pPr>
              <w:jc w:val="center"/>
              <w:rPr>
                <w:rFonts w:ascii="楷体" w:hAnsi="楷体" w:eastAsia="楷体"/>
                <w:b/>
                <w:bCs/>
                <w:sz w:val="32"/>
                <w:szCs w:val="32"/>
              </w:rPr>
            </w:pPr>
            <w:r>
              <w:rPr>
                <w:rFonts w:hint="eastAsia" w:ascii="楷体" w:hAnsi="楷体" w:eastAsia="楷体"/>
                <w:b/>
                <w:bCs/>
                <w:sz w:val="32"/>
                <w:szCs w:val="32"/>
              </w:rPr>
              <w:t>动</w:t>
            </w:r>
          </w:p>
          <w:p>
            <w:pPr>
              <w:jc w:val="center"/>
              <w:rPr>
                <w:rFonts w:ascii="楷体" w:hAnsi="楷体" w:eastAsia="楷体"/>
                <w:b/>
                <w:bCs/>
                <w:sz w:val="32"/>
                <w:szCs w:val="32"/>
              </w:rPr>
            </w:pPr>
            <w:r>
              <w:rPr>
                <w:rFonts w:hint="eastAsia" w:ascii="楷体" w:hAnsi="楷体" w:eastAsia="楷体"/>
                <w:b/>
                <w:bCs/>
                <w:sz w:val="32"/>
                <w:szCs w:val="32"/>
              </w:rPr>
              <w:t>情</w:t>
            </w:r>
          </w:p>
          <w:p>
            <w:pPr>
              <w:jc w:val="center"/>
              <w:rPr>
                <w:rFonts w:ascii="楷体" w:hAnsi="楷体" w:eastAsia="楷体"/>
                <w:sz w:val="28"/>
                <w:szCs w:val="28"/>
              </w:rPr>
            </w:pPr>
            <w:r>
              <w:rPr>
                <w:rFonts w:hint="eastAsia" w:ascii="楷体" w:hAnsi="楷体" w:eastAsia="楷体"/>
                <w:b/>
                <w:bCs/>
                <w:sz w:val="32"/>
                <w:szCs w:val="32"/>
              </w:rPr>
              <w:t>况</w:t>
            </w:r>
          </w:p>
        </w:tc>
        <w:tc>
          <w:tcPr>
            <w:tcW w:w="7957" w:type="dxa"/>
            <w:gridSpan w:val="8"/>
            <w:tcBorders>
              <w:top w:val="single" w:color="auto" w:sz="8"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color w:val="auto"/>
                <w:spacing w:val="0"/>
                <w:sz w:val="24"/>
                <w:szCs w:val="24"/>
                <w:shd w:val="clear" w:color="auto" w:fill="auto"/>
              </w:rPr>
            </w:pPr>
            <w:r>
              <w:rPr>
                <w:rFonts w:hint="eastAsia" w:ascii="仿宋_GB2312" w:hAnsi="仿宋_GB2312" w:eastAsia="仿宋_GB2312" w:cs="仿宋_GB2312"/>
                <w:color w:val="auto"/>
                <w:sz w:val="24"/>
                <w:szCs w:val="24"/>
                <w:shd w:val="clear" w:color="auto" w:fill="auto"/>
              </w:rPr>
              <w:t>2018年，在</w:t>
            </w:r>
            <w:r>
              <w:rPr>
                <w:rFonts w:hint="eastAsia" w:ascii="仿宋_GB2312" w:hAnsi="仿宋_GB2312" w:eastAsia="仿宋_GB2312" w:cs="仿宋_GB2312"/>
                <w:color w:val="auto"/>
                <w:sz w:val="24"/>
                <w:szCs w:val="24"/>
                <w:shd w:val="clear" w:color="auto" w:fill="auto"/>
                <w:lang w:eastAsia="zh-CN"/>
              </w:rPr>
              <w:t>市发展改革</w:t>
            </w:r>
            <w:r>
              <w:rPr>
                <w:rFonts w:hint="eastAsia" w:ascii="仿宋_GB2312" w:hAnsi="仿宋_GB2312" w:eastAsia="仿宋_GB2312" w:cs="仿宋_GB2312"/>
                <w:color w:val="auto"/>
                <w:sz w:val="24"/>
                <w:szCs w:val="24"/>
                <w:shd w:val="clear" w:color="auto" w:fill="auto"/>
              </w:rPr>
              <w:t>委党组的正确领导下，在</w:t>
            </w:r>
            <w:r>
              <w:rPr>
                <w:rFonts w:hint="eastAsia" w:ascii="仿宋_GB2312" w:hAnsi="仿宋_GB2312" w:eastAsia="仿宋_GB2312" w:cs="仿宋_GB2312"/>
                <w:color w:val="auto"/>
                <w:spacing w:val="0"/>
                <w:sz w:val="24"/>
                <w:szCs w:val="24"/>
                <w:shd w:val="clear" w:color="auto" w:fill="auto"/>
              </w:rPr>
              <w:t>上级各部门的关心指导下，</w:t>
            </w:r>
            <w:r>
              <w:rPr>
                <w:rFonts w:hint="eastAsia" w:ascii="仿宋_GB2312" w:hAnsi="仿宋_GB2312" w:eastAsia="仿宋_GB2312" w:cs="仿宋_GB2312"/>
                <w:color w:val="auto"/>
                <w:spacing w:val="0"/>
                <w:sz w:val="24"/>
                <w:szCs w:val="24"/>
                <w:shd w:val="clear" w:color="auto" w:fill="auto"/>
                <w:lang w:eastAsia="zh-CN"/>
              </w:rPr>
              <w:t>深圳市价格认证中心</w:t>
            </w:r>
            <w:r>
              <w:rPr>
                <w:rFonts w:hint="eastAsia" w:ascii="仿宋_GB2312" w:hAnsi="仿宋_GB2312" w:eastAsia="仿宋_GB2312" w:cs="仿宋_GB2312"/>
                <w:color w:val="auto"/>
                <w:sz w:val="24"/>
                <w:szCs w:val="24"/>
                <w:shd w:val="clear" w:color="auto" w:fill="auto"/>
              </w:rPr>
              <w:t>坚持以习近平新时代中国特色社会主义思想为指导，全面贯彻党的</w:t>
            </w:r>
            <w:r>
              <w:rPr>
                <w:rFonts w:hint="eastAsia" w:ascii="仿宋_GB2312" w:hAnsi="仿宋_GB2312" w:eastAsia="仿宋_GB2312" w:cs="仿宋_GB2312"/>
                <w:color w:val="auto"/>
                <w:sz w:val="24"/>
                <w:szCs w:val="24"/>
                <w:shd w:val="clear" w:color="auto" w:fill="auto"/>
              </w:rPr>
              <w:fldChar w:fldCharType="begin"/>
            </w:r>
            <w:r>
              <w:rPr>
                <w:rFonts w:hint="eastAsia" w:ascii="仿宋_GB2312" w:hAnsi="仿宋_GB2312" w:eastAsia="仿宋_GB2312" w:cs="仿宋_GB2312"/>
                <w:color w:val="auto"/>
                <w:sz w:val="24"/>
                <w:szCs w:val="24"/>
                <w:shd w:val="clear" w:color="auto" w:fill="auto"/>
              </w:rPr>
              <w:instrText xml:space="preserve"> HYPERLINK "http://www.wm114.cn/0v/120/index.html"</w:instrText>
            </w:r>
            <w:r>
              <w:rPr>
                <w:rFonts w:hint="eastAsia" w:ascii="仿宋_GB2312" w:hAnsi="仿宋_GB2312" w:eastAsia="仿宋_GB2312" w:cs="仿宋_GB2312"/>
                <w:color w:val="auto"/>
                <w:sz w:val="24"/>
                <w:szCs w:val="24"/>
                <w:shd w:val="clear" w:color="auto" w:fill="auto"/>
              </w:rPr>
              <w:fldChar w:fldCharType="separate"/>
            </w:r>
            <w:r>
              <w:rPr>
                <w:rStyle w:val="4"/>
                <w:rFonts w:hint="eastAsia" w:ascii="仿宋_GB2312" w:hAnsi="仿宋_GB2312" w:eastAsia="仿宋_GB2312" w:cs="仿宋_GB2312"/>
                <w:color w:val="auto"/>
                <w:sz w:val="24"/>
                <w:szCs w:val="24"/>
                <w:u w:val="none"/>
                <w:shd w:val="clear" w:color="auto" w:fill="auto"/>
              </w:rPr>
              <w:t>十九大</w:t>
            </w:r>
            <w:r>
              <w:rPr>
                <w:rStyle w:val="4"/>
                <w:rFonts w:hint="eastAsia" w:ascii="仿宋_GB2312" w:hAnsi="仿宋_GB2312" w:eastAsia="仿宋_GB2312" w:cs="仿宋_GB2312"/>
                <w:color w:val="auto"/>
                <w:sz w:val="24"/>
                <w:szCs w:val="24"/>
                <w:u w:val="none"/>
                <w:shd w:val="clear" w:color="auto" w:fill="auto"/>
              </w:rPr>
              <w:fldChar w:fldCharType="end"/>
            </w:r>
            <w:r>
              <w:rPr>
                <w:rFonts w:hint="eastAsia" w:ascii="仿宋_GB2312" w:hAnsi="仿宋_GB2312" w:eastAsia="仿宋_GB2312" w:cs="仿宋_GB2312"/>
                <w:color w:val="auto"/>
                <w:sz w:val="24"/>
                <w:szCs w:val="24"/>
                <w:shd w:val="clear" w:color="auto" w:fill="auto"/>
              </w:rPr>
              <w:t>精神，深入落实习近平总书记视察广东、深圳重要讲话精神，</w:t>
            </w:r>
            <w:r>
              <w:rPr>
                <w:rFonts w:hint="eastAsia" w:ascii="仿宋_GB2312" w:hAnsi="仿宋_GB2312" w:eastAsia="仿宋_GB2312" w:cs="仿宋_GB2312"/>
                <w:color w:val="auto"/>
                <w:spacing w:val="0"/>
                <w:sz w:val="24"/>
                <w:szCs w:val="24"/>
                <w:shd w:val="clear" w:color="auto" w:fill="auto"/>
              </w:rPr>
              <w:t>紧紧围绕国家发展改革委《关于全面深化价格机制改革的意见》和</w:t>
            </w:r>
            <w:r>
              <w:rPr>
                <w:rFonts w:hint="eastAsia" w:ascii="仿宋_GB2312" w:hAnsi="仿宋_GB2312" w:eastAsia="仿宋_GB2312" w:cs="仿宋_GB2312"/>
                <w:color w:val="auto"/>
                <w:sz w:val="24"/>
                <w:szCs w:val="24"/>
                <w:shd w:val="clear" w:color="auto" w:fill="auto"/>
              </w:rPr>
              <w:t>省、市价格机制改革工作部署，强化基础、法治和能力建设，</w:t>
            </w:r>
            <w:r>
              <w:rPr>
                <w:rFonts w:hint="eastAsia" w:ascii="仿宋_GB2312" w:hAnsi="仿宋_GB2312" w:eastAsia="仿宋_GB2312" w:cs="仿宋_GB2312"/>
                <w:color w:val="auto"/>
                <w:spacing w:val="0"/>
                <w:sz w:val="24"/>
                <w:szCs w:val="24"/>
                <w:shd w:val="clear" w:color="auto" w:fill="auto"/>
              </w:rPr>
              <w:t>扎实履行价格公共服务职责，较好地完成了年初确定的目标任务。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黑体" w:hAnsi="黑体" w:eastAsia="黑体" w:cs="黑体"/>
                <w:color w:val="auto"/>
                <w:sz w:val="24"/>
                <w:szCs w:val="24"/>
                <w:shd w:val="clear" w:color="auto" w:fill="auto"/>
              </w:rPr>
            </w:pPr>
            <w:r>
              <w:rPr>
                <w:rFonts w:hint="eastAsia" w:ascii="黑体" w:hAnsi="黑体" w:eastAsia="黑体" w:cs="黑体"/>
                <w:color w:val="auto"/>
                <w:sz w:val="24"/>
                <w:szCs w:val="24"/>
                <w:shd w:val="clear" w:color="auto" w:fill="auto"/>
              </w:rPr>
              <w:t>一、2018年重点工作完成情况</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bCs/>
                <w:color w:val="auto"/>
                <w:sz w:val="24"/>
                <w:szCs w:val="24"/>
                <w:shd w:val="clear" w:color="auto" w:fill="auto"/>
              </w:rPr>
            </w:pPr>
            <w:r>
              <w:rPr>
                <w:rFonts w:hint="eastAsia" w:ascii="楷体_GB2312" w:hAnsi="楷体_GB2312" w:eastAsia="楷体_GB2312" w:cs="楷体_GB2312"/>
                <w:b/>
                <w:bCs/>
                <w:color w:val="auto"/>
                <w:sz w:val="24"/>
                <w:szCs w:val="24"/>
                <w:shd w:val="clear" w:color="auto" w:fill="auto"/>
              </w:rPr>
              <w:t>（一）</w:t>
            </w:r>
            <w:r>
              <w:rPr>
                <w:rFonts w:hint="eastAsia" w:ascii="仿宋_GB2312" w:hAnsi="仿宋_GB2312" w:eastAsia="仿宋_GB2312" w:cs="仿宋_GB2312"/>
                <w:b/>
                <w:bCs/>
                <w:color w:val="auto"/>
                <w:sz w:val="24"/>
                <w:szCs w:val="24"/>
                <w:shd w:val="clear" w:color="auto" w:fill="auto"/>
              </w:rPr>
              <w:t>扎实做好价格监测预警工作，服务于宏观调控</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1.</w:t>
            </w:r>
            <w:r>
              <w:rPr>
                <w:rFonts w:hint="eastAsia" w:ascii="仿宋_GB2312" w:hAnsi="仿宋_GB2312" w:eastAsia="仿宋_GB2312" w:cs="仿宋_GB2312"/>
                <w:b/>
                <w:bCs/>
                <w:color w:val="auto"/>
                <w:sz w:val="24"/>
                <w:szCs w:val="24"/>
                <w:shd w:val="clear" w:color="auto" w:fill="auto"/>
              </w:rPr>
              <w:t>价格监测数据采集报送工作继续保持较高质量</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严格按照国家和</w:t>
            </w:r>
            <w:r>
              <w:rPr>
                <w:rFonts w:hint="eastAsia" w:ascii="仿宋_GB2312" w:hAnsi="仿宋_GB2312" w:eastAsia="仿宋_GB2312" w:cs="仿宋_GB2312"/>
                <w:color w:val="auto"/>
                <w:sz w:val="24"/>
                <w:szCs w:val="24"/>
                <w:shd w:val="clear" w:color="auto" w:fill="auto"/>
                <w:lang w:eastAsia="zh-CN"/>
              </w:rPr>
              <w:t>广东</w:t>
            </w:r>
            <w:r>
              <w:rPr>
                <w:rFonts w:hint="eastAsia" w:ascii="仿宋_GB2312" w:hAnsi="仿宋_GB2312" w:eastAsia="仿宋_GB2312" w:cs="仿宋_GB2312"/>
                <w:color w:val="auto"/>
                <w:sz w:val="24"/>
                <w:szCs w:val="24"/>
                <w:shd w:val="clear" w:color="auto" w:fill="auto"/>
              </w:rPr>
              <w:t>省各项价格监测报告制度的要求，认真督促指导价格监测定点单位及时、准确采集和填报粮油、肉蛋菜等民生商品价格信息，</w:t>
            </w:r>
            <w:r>
              <w:rPr>
                <w:rFonts w:hint="eastAsia" w:ascii="仿宋_GB2312" w:hAnsi="仿宋_GB2312" w:eastAsia="仿宋_GB2312" w:cs="仿宋_GB2312"/>
                <w:color w:val="auto"/>
                <w:sz w:val="24"/>
                <w:szCs w:val="24"/>
                <w:shd w:val="clear" w:color="auto" w:fill="auto"/>
                <w:lang w:eastAsia="zh-CN"/>
              </w:rPr>
              <w:t>特别是</w:t>
            </w:r>
            <w:r>
              <w:rPr>
                <w:rFonts w:hint="eastAsia" w:ascii="仿宋_GB2312" w:hAnsi="仿宋_GB2312" w:eastAsia="仿宋_GB2312" w:cs="仿宋_GB2312"/>
                <w:color w:val="auto"/>
                <w:sz w:val="24"/>
                <w:szCs w:val="24"/>
                <w:shd w:val="clear" w:color="auto" w:fill="auto"/>
              </w:rPr>
              <w:t>在全国两会</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中美贸易战等重要防护期期间，在汛期、非洲猪瘟等价格敏感期，及</w:t>
            </w:r>
            <w:r>
              <w:rPr>
                <w:rFonts w:hint="eastAsia" w:ascii="仿宋_GB2312" w:hAnsi="仿宋_GB2312" w:eastAsia="仿宋_GB2312" w:cs="仿宋_GB2312"/>
                <w:bCs w:val="0"/>
                <w:color w:val="auto"/>
                <w:sz w:val="24"/>
                <w:szCs w:val="24"/>
                <w:shd w:val="clear" w:color="auto" w:fill="auto"/>
              </w:rPr>
              <w:t>春节、</w:t>
            </w:r>
            <w:r>
              <w:rPr>
                <w:rFonts w:hint="eastAsia" w:ascii="仿宋_GB2312" w:hAnsi="仿宋_GB2312" w:eastAsia="仿宋_GB2312" w:cs="仿宋_GB2312"/>
                <w:color w:val="auto"/>
                <w:sz w:val="24"/>
                <w:szCs w:val="24"/>
                <w:shd w:val="clear" w:color="auto" w:fill="auto"/>
              </w:rPr>
              <w:t>端午、中秋、国庆等重要节假日期间，认真履行稳价安民责任，安排专人每天密切跟踪粮、油、肉、蛋、奶、菜等重点民生商品市场和价格变化情况，加强市场价格预测分析，并适时提出预警建议，为政府宏观调控提供了决策参考。</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2.</w:t>
            </w:r>
            <w:r>
              <w:rPr>
                <w:rFonts w:hint="eastAsia" w:ascii="仿宋_GB2312" w:hAnsi="仿宋_GB2312" w:eastAsia="仿宋_GB2312" w:cs="仿宋_GB2312"/>
                <w:b/>
                <w:bCs/>
                <w:color w:val="auto"/>
                <w:sz w:val="24"/>
                <w:szCs w:val="24"/>
                <w:shd w:val="clear" w:color="auto" w:fill="auto"/>
              </w:rPr>
              <w:t>价格形势分析和价格信息发布工作稳步推进</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密切关注与群众生活息息相关的粮、油、肉、禽、蛋、菜等农副产品市场价格动态，及时对重要商品和服务的价格走势展开综合分析和预测，形成价格动态、月度分析报告、季度分析报告等分析材料，及时报送国家、省价格监测部门，并不定期通过市主流媒体向社会公众发布市场价格动态信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3.</w:t>
            </w:r>
            <w:r>
              <w:rPr>
                <w:rFonts w:hint="eastAsia" w:ascii="仿宋_GB2312" w:hAnsi="仿宋_GB2312" w:eastAsia="仿宋_GB2312" w:cs="仿宋_GB2312"/>
                <w:b/>
                <w:bCs/>
                <w:color w:val="auto"/>
                <w:sz w:val="24"/>
                <w:szCs w:val="24"/>
                <w:shd w:val="clear" w:color="auto" w:fill="auto"/>
              </w:rPr>
              <w:t>专项监测调查和价格巡视工作扎实开展</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一是</w:t>
            </w:r>
            <w:r>
              <w:rPr>
                <w:rFonts w:hint="eastAsia" w:ascii="仿宋_GB2312" w:hAnsi="仿宋_GB2312" w:eastAsia="仿宋_GB2312" w:cs="仿宋_GB2312"/>
                <w:bCs w:val="0"/>
                <w:color w:val="auto"/>
                <w:sz w:val="24"/>
                <w:szCs w:val="24"/>
                <w:shd w:val="clear" w:color="auto" w:fill="auto"/>
              </w:rPr>
              <w:t>为详细了解中美贸易战对我市粮油市场的影响，</w:t>
            </w:r>
            <w:r>
              <w:rPr>
                <w:rFonts w:hint="eastAsia" w:ascii="仿宋_GB2312" w:hAnsi="仿宋_GB2312" w:eastAsia="仿宋_GB2312" w:cs="仿宋_GB2312"/>
                <w:color w:val="auto"/>
                <w:sz w:val="24"/>
                <w:szCs w:val="24"/>
                <w:shd w:val="clear" w:color="auto" w:fill="auto"/>
              </w:rPr>
              <w:t>开展了“粮油价格预期市场调查”，为准确把握后期粮油价格走势，做好价格监测预警，获取了第一手资料。</w:t>
            </w:r>
            <w:r>
              <w:rPr>
                <w:rFonts w:hint="eastAsia" w:ascii="仿宋_GB2312" w:hAnsi="仿宋_GB2312" w:eastAsia="仿宋_GB2312" w:cs="仿宋_GB2312"/>
                <w:b/>
                <w:bCs/>
                <w:color w:val="auto"/>
                <w:sz w:val="24"/>
                <w:szCs w:val="24"/>
                <w:shd w:val="clear" w:color="auto" w:fill="auto"/>
                <w:lang w:eastAsia="zh-CN"/>
              </w:rPr>
              <w:t>二</w:t>
            </w:r>
            <w:r>
              <w:rPr>
                <w:rFonts w:hint="eastAsia" w:ascii="仿宋_GB2312" w:hAnsi="仿宋_GB2312" w:eastAsia="仿宋_GB2312" w:cs="仿宋_GB2312"/>
                <w:b/>
                <w:bCs/>
                <w:color w:val="auto"/>
                <w:sz w:val="24"/>
                <w:szCs w:val="24"/>
                <w:shd w:val="clear" w:color="auto" w:fill="auto"/>
              </w:rPr>
              <w:t>是</w:t>
            </w:r>
            <w:r>
              <w:rPr>
                <w:rFonts w:hint="eastAsia" w:ascii="仿宋_GB2312" w:hAnsi="仿宋_GB2312" w:eastAsia="仿宋_GB2312" w:cs="仿宋_GB2312"/>
                <w:color w:val="auto"/>
                <w:sz w:val="24"/>
                <w:szCs w:val="24"/>
                <w:shd w:val="clear" w:color="auto" w:fill="auto"/>
              </w:rPr>
              <w:t>为了解我市房地产市场交易及价格情况</w:t>
            </w:r>
            <w:r>
              <w:rPr>
                <w:rFonts w:hint="eastAsia" w:ascii="仿宋_GB2312" w:hAnsi="仿宋_GB2312" w:eastAsia="仿宋_GB2312" w:cs="仿宋_GB2312"/>
                <w:color w:val="auto"/>
                <w:sz w:val="24"/>
                <w:szCs w:val="24"/>
                <w:shd w:val="clear" w:color="auto" w:fill="auto"/>
                <w:lang w:eastAsia="zh-CN"/>
              </w:rPr>
              <w:t>，在</w:t>
            </w:r>
            <w:r>
              <w:rPr>
                <w:rFonts w:hint="eastAsia" w:ascii="仿宋_GB2312" w:hAnsi="仿宋_GB2312" w:eastAsia="仿宋_GB2312" w:cs="仿宋_GB2312"/>
                <w:color w:val="auto"/>
                <w:sz w:val="24"/>
                <w:szCs w:val="24"/>
                <w:shd w:val="clear" w:color="auto" w:fill="auto"/>
              </w:rPr>
              <w:t>市规划国土委、市住房建设局</w:t>
            </w:r>
            <w:r>
              <w:rPr>
                <w:rFonts w:hint="eastAsia" w:ascii="仿宋_GB2312" w:hAnsi="仿宋_GB2312" w:eastAsia="仿宋_GB2312" w:cs="仿宋_GB2312"/>
                <w:color w:val="auto"/>
                <w:sz w:val="24"/>
                <w:szCs w:val="24"/>
                <w:shd w:val="clear" w:color="auto" w:fill="auto"/>
                <w:lang w:eastAsia="zh-CN"/>
              </w:rPr>
              <w:t>等有关部门的支持配合下，完成了</w:t>
            </w:r>
            <w:r>
              <w:rPr>
                <w:rFonts w:hint="eastAsia" w:ascii="仿宋_GB2312" w:hAnsi="仿宋_GB2312" w:eastAsia="仿宋_GB2312" w:cs="仿宋_GB2312"/>
                <w:color w:val="auto"/>
                <w:sz w:val="24"/>
                <w:szCs w:val="24"/>
                <w:shd w:val="clear" w:color="auto" w:fill="auto"/>
              </w:rPr>
              <w:t>我市房地产市场交易及价格情况</w:t>
            </w:r>
            <w:r>
              <w:rPr>
                <w:rFonts w:hint="eastAsia" w:ascii="仿宋_GB2312" w:hAnsi="仿宋_GB2312" w:eastAsia="仿宋_GB2312" w:cs="仿宋_GB2312"/>
                <w:color w:val="auto"/>
                <w:sz w:val="24"/>
                <w:szCs w:val="24"/>
                <w:shd w:val="clear" w:color="auto" w:fill="auto"/>
                <w:lang w:eastAsia="zh-CN"/>
              </w:rPr>
              <w:t>调查工作</w:t>
            </w:r>
            <w:r>
              <w:rPr>
                <w:rFonts w:hint="eastAsia" w:ascii="仿宋_GB2312" w:hAnsi="仿宋_GB2312" w:eastAsia="仿宋_GB2312" w:cs="仿宋_GB2312"/>
                <w:color w:val="auto"/>
                <w:sz w:val="24"/>
                <w:szCs w:val="24"/>
                <w:shd w:val="clear" w:color="auto" w:fill="auto"/>
              </w:rPr>
              <w:t>。</w:t>
            </w:r>
            <w:r>
              <w:rPr>
                <w:rFonts w:hint="eastAsia" w:ascii="仿宋_GB2312" w:hAnsi="仿宋_GB2312" w:eastAsia="仿宋_GB2312" w:cs="仿宋_GB2312"/>
                <w:b/>
                <w:bCs/>
                <w:color w:val="auto"/>
                <w:sz w:val="24"/>
                <w:szCs w:val="24"/>
                <w:shd w:val="clear" w:color="auto" w:fill="auto"/>
                <w:lang w:eastAsia="zh-CN"/>
              </w:rPr>
              <w:t>三是</w:t>
            </w:r>
            <w:r>
              <w:rPr>
                <w:rFonts w:hint="eastAsia" w:ascii="仿宋_GB2312" w:hAnsi="仿宋_GB2312" w:eastAsia="仿宋_GB2312" w:cs="仿宋_GB2312"/>
                <w:color w:val="auto"/>
                <w:sz w:val="24"/>
                <w:szCs w:val="24"/>
                <w:shd w:val="clear" w:color="auto" w:fill="auto"/>
              </w:rPr>
              <w:t>认真落实</w:t>
            </w:r>
            <w:r>
              <w:rPr>
                <w:rFonts w:hint="eastAsia" w:ascii="仿宋_GB2312" w:hAnsi="仿宋_GB2312" w:eastAsia="仿宋_GB2312" w:cs="仿宋_GB2312"/>
                <w:color w:val="auto"/>
                <w:sz w:val="24"/>
                <w:szCs w:val="24"/>
                <w:shd w:val="clear" w:color="auto" w:fill="auto"/>
                <w:lang w:eastAsia="zh-CN"/>
              </w:rPr>
              <w:t>对价格监测点的定时</w:t>
            </w:r>
            <w:r>
              <w:rPr>
                <w:rFonts w:hint="eastAsia" w:ascii="仿宋_GB2312" w:hAnsi="仿宋_GB2312" w:eastAsia="仿宋_GB2312" w:cs="仿宋_GB2312"/>
                <w:color w:val="auto"/>
                <w:sz w:val="24"/>
                <w:szCs w:val="24"/>
                <w:shd w:val="clear" w:color="auto" w:fill="auto"/>
              </w:rPr>
              <w:t>巡查制度，多次组织人员到相关价格监测定点单位进行巡视，对价格监测数据进行现场调查核实，要求存在问题的监测点立即进行整改，促进了我市价格监测质量整体提高。</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（二）</w:t>
            </w:r>
            <w:r>
              <w:rPr>
                <w:rFonts w:hint="eastAsia" w:ascii="仿宋_GB2312" w:hAnsi="仿宋_GB2312" w:eastAsia="仿宋_GB2312" w:cs="仿宋_GB2312"/>
                <w:b/>
                <w:bCs/>
                <w:color w:val="auto"/>
                <w:sz w:val="24"/>
                <w:szCs w:val="24"/>
                <w:shd w:val="clear" w:color="auto" w:fill="auto"/>
              </w:rPr>
              <w:t>进一步强化价格成本监审调查工作，服务于政府价格决策</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1.</w:t>
            </w:r>
            <w:r>
              <w:rPr>
                <w:rFonts w:hint="eastAsia" w:ascii="仿宋_GB2312" w:hAnsi="仿宋_GB2312" w:eastAsia="仿宋_GB2312" w:cs="仿宋_GB2312"/>
                <w:b/>
                <w:bCs/>
                <w:color w:val="auto"/>
                <w:sz w:val="24"/>
                <w:szCs w:val="24"/>
                <w:shd w:val="clear" w:color="auto" w:fill="auto"/>
              </w:rPr>
              <w:t>有序推进重点领域和民生项目监审。一是</w:t>
            </w:r>
            <w:r>
              <w:rPr>
                <w:rFonts w:hint="eastAsia" w:ascii="仿宋_GB2312" w:hAnsi="仿宋_GB2312" w:eastAsia="仿宋_GB2312" w:cs="仿宋_GB2312"/>
                <w:color w:val="auto"/>
                <w:sz w:val="24"/>
                <w:szCs w:val="24"/>
                <w:shd w:val="clear" w:color="auto" w:fill="auto"/>
              </w:rPr>
              <w:t>配合我市轨道交通三期票价优化调整工作，</w:t>
            </w:r>
            <w:r>
              <w:rPr>
                <w:rFonts w:hint="eastAsia" w:ascii="仿宋_GB2312" w:hAnsi="仿宋_GB2312" w:eastAsia="仿宋_GB2312" w:cs="仿宋_GB2312"/>
                <w:color w:val="auto"/>
                <w:sz w:val="24"/>
                <w:szCs w:val="24"/>
                <w:shd w:val="clear" w:color="auto" w:fill="auto"/>
                <w:lang w:eastAsia="zh-CN"/>
              </w:rPr>
              <w:t>完成了</w:t>
            </w:r>
            <w:r>
              <w:rPr>
                <w:rFonts w:hint="eastAsia" w:ascii="仿宋_GB2312" w:hAnsi="仿宋_GB2312" w:eastAsia="仿宋_GB2312" w:cs="仿宋_GB2312"/>
                <w:color w:val="auto"/>
                <w:kern w:val="2"/>
                <w:sz w:val="24"/>
                <w:szCs w:val="24"/>
                <w:shd w:val="clear" w:color="auto" w:fill="auto"/>
              </w:rPr>
              <w:t>对港铁轨道交通（深圳）有限公司和深圳市地铁集团有限公司运营总部2017年度地铁运营定价成本监审工作</w:t>
            </w:r>
            <w:r>
              <w:rPr>
                <w:rFonts w:hint="eastAsia" w:ascii="仿宋_GB2312" w:hAnsi="仿宋_GB2312" w:eastAsia="仿宋_GB2312" w:cs="仿宋_GB2312"/>
                <w:color w:val="auto"/>
                <w:kern w:val="2"/>
                <w:sz w:val="24"/>
                <w:szCs w:val="24"/>
                <w:shd w:val="clear" w:color="auto" w:fill="auto"/>
                <w:lang w:eastAsia="zh-CN"/>
              </w:rPr>
              <w:t>，</w:t>
            </w:r>
            <w:r>
              <w:rPr>
                <w:rFonts w:hint="eastAsia" w:ascii="仿宋_GB2312" w:hAnsi="仿宋_GB2312" w:eastAsia="仿宋_GB2312" w:cs="仿宋_GB2312"/>
                <w:color w:val="auto"/>
                <w:kern w:val="2"/>
                <w:sz w:val="24"/>
                <w:szCs w:val="24"/>
                <w:shd w:val="clear" w:color="auto" w:fill="auto"/>
              </w:rPr>
              <w:t>审核金额达77.11亿元，核减不应计入定价成本费用1.82亿元。</w:t>
            </w:r>
            <w:r>
              <w:rPr>
                <w:rFonts w:hint="eastAsia" w:ascii="仿宋_GB2312" w:hAnsi="仿宋_GB2312" w:eastAsia="仿宋_GB2312" w:cs="仿宋_GB2312"/>
                <w:b/>
                <w:bCs/>
                <w:color w:val="auto"/>
                <w:sz w:val="24"/>
                <w:szCs w:val="24"/>
                <w:shd w:val="clear" w:color="auto" w:fill="auto"/>
              </w:rPr>
              <w:t>二是</w:t>
            </w:r>
            <w:r>
              <w:rPr>
                <w:rFonts w:hint="eastAsia" w:ascii="仿宋_GB2312" w:hAnsi="仿宋_GB2312" w:eastAsia="仿宋_GB2312" w:cs="仿宋_GB2312"/>
                <w:color w:val="auto"/>
                <w:sz w:val="24"/>
                <w:szCs w:val="24"/>
                <w:shd w:val="clear" w:color="auto" w:fill="auto"/>
              </w:rPr>
              <w:t>根据管道气价格机制改革的要求，完成了对市燃气集团管道燃气配气成本的监审工作</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审核企业经营成本28亿元，核减不应计入定价成本费用4.5亿元。</w:t>
            </w:r>
            <w:r>
              <w:rPr>
                <w:rFonts w:hint="eastAsia" w:ascii="仿宋_GB2312" w:hAnsi="仿宋_GB2312" w:eastAsia="仿宋_GB2312" w:cs="仿宋_GB2312"/>
                <w:b/>
                <w:bCs/>
                <w:color w:val="auto"/>
                <w:sz w:val="24"/>
                <w:szCs w:val="24"/>
                <w:shd w:val="clear" w:color="auto" w:fill="auto"/>
              </w:rPr>
              <w:t>三是</w:t>
            </w:r>
            <w:r>
              <w:rPr>
                <w:rFonts w:hint="eastAsia" w:ascii="仿宋_GB2312" w:hAnsi="仿宋_GB2312" w:eastAsia="仿宋_GB2312" w:cs="仿宋_GB2312"/>
                <w:color w:val="auto"/>
                <w:sz w:val="24"/>
                <w:szCs w:val="24"/>
                <w:shd w:val="clear" w:color="auto" w:fill="auto"/>
              </w:rPr>
              <w:t>完成了污泥干化成本的审核工作。按照全市价格工作部署，对深水生态环境技术有限公司2017年污泥处置成本进行监审，审核企业上报经营成本2亿元，核减不应计入定价成本费用0.42亿元，核减率21%，为制定新的污泥干化补偿标准提供了详实的成本数据</w:t>
            </w:r>
            <w:r>
              <w:rPr>
                <w:rFonts w:hint="eastAsia" w:ascii="仿宋_GB2312" w:hAnsi="仿宋_GB2312" w:eastAsia="仿宋_GB2312" w:cs="仿宋_GB2312"/>
                <w:b w:val="0"/>
                <w:bCs w:val="0"/>
                <w:color w:val="auto"/>
                <w:sz w:val="24"/>
                <w:szCs w:val="24"/>
                <w:shd w:val="clear" w:color="auto" w:fill="auto"/>
              </w:rPr>
              <w:t>。</w:t>
            </w:r>
            <w:r>
              <w:rPr>
                <w:rFonts w:hint="eastAsia" w:ascii="仿宋_GB2312" w:hAnsi="仿宋_GB2312" w:eastAsia="仿宋_GB2312" w:cs="仿宋_GB2312"/>
                <w:b/>
                <w:bCs/>
                <w:color w:val="auto"/>
                <w:sz w:val="24"/>
                <w:szCs w:val="24"/>
                <w:shd w:val="clear" w:color="auto" w:fill="auto"/>
              </w:rPr>
              <w:t>四是</w:t>
            </w:r>
            <w:r>
              <w:rPr>
                <w:rFonts w:hint="eastAsia" w:ascii="仿宋_GB2312" w:hAnsi="仿宋_GB2312" w:eastAsia="仿宋_GB2312" w:cs="仿宋_GB2312"/>
                <w:color w:val="auto"/>
                <w:sz w:val="24"/>
                <w:szCs w:val="24"/>
                <w:shd w:val="clear" w:color="auto" w:fill="auto"/>
              </w:rPr>
              <w:t>完成了对中英公学、景园外国语</w:t>
            </w:r>
            <w:r>
              <w:rPr>
                <w:rFonts w:hint="eastAsia" w:ascii="仿宋_GB2312" w:hAnsi="仿宋_GB2312" w:eastAsia="仿宋_GB2312" w:cs="仿宋_GB2312"/>
                <w:color w:val="auto"/>
                <w:sz w:val="24"/>
                <w:szCs w:val="24"/>
                <w:shd w:val="clear" w:color="auto" w:fill="auto"/>
                <w:lang w:eastAsia="zh-CN"/>
              </w:rPr>
              <w:t>学校</w:t>
            </w:r>
            <w:r>
              <w:rPr>
                <w:rFonts w:hint="eastAsia" w:ascii="仿宋_GB2312" w:hAnsi="仿宋_GB2312" w:eastAsia="仿宋_GB2312" w:cs="仿宋_GB2312"/>
                <w:color w:val="auto"/>
                <w:sz w:val="24"/>
                <w:szCs w:val="24"/>
                <w:shd w:val="clear" w:color="auto" w:fill="auto"/>
              </w:rPr>
              <w:t>等8所民办中小学教育培养成本及住宿成本的审核工作</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核减不应计入定价成本费用0.59亿元，核减率16%。</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2.</w:t>
            </w:r>
            <w:r>
              <w:rPr>
                <w:rFonts w:hint="eastAsia" w:ascii="仿宋_GB2312" w:hAnsi="仿宋_GB2312" w:eastAsia="仿宋_GB2312" w:cs="仿宋_GB2312"/>
                <w:b/>
                <w:bCs/>
                <w:color w:val="auto"/>
                <w:sz w:val="24"/>
                <w:szCs w:val="24"/>
                <w:shd w:val="clear" w:color="auto" w:fill="auto"/>
              </w:rPr>
              <w:t>稳步推进重要商品和专项成本调查工作。一是</w:t>
            </w:r>
            <w:r>
              <w:rPr>
                <w:rFonts w:hint="eastAsia" w:ascii="仿宋_GB2312" w:hAnsi="仿宋_GB2312" w:eastAsia="仿宋_GB2312" w:cs="仿宋_GB2312"/>
                <w:color w:val="auto"/>
                <w:sz w:val="24"/>
                <w:szCs w:val="24"/>
                <w:shd w:val="clear" w:color="auto" w:fill="auto"/>
              </w:rPr>
              <w:t>按照国家和省发展改革委的部署和要求，</w:t>
            </w:r>
            <w:r>
              <w:rPr>
                <w:rFonts w:hint="eastAsia" w:ascii="仿宋_GB2312" w:hAnsi="仿宋_GB2312" w:eastAsia="仿宋_GB2312" w:cs="仿宋_GB2312"/>
                <w:color w:val="auto"/>
                <w:sz w:val="24"/>
                <w:szCs w:val="24"/>
                <w:shd w:val="clear" w:color="auto" w:fill="auto"/>
                <w:lang w:eastAsia="zh-CN"/>
              </w:rPr>
              <w:t>完成了</w:t>
            </w:r>
            <w:r>
              <w:rPr>
                <w:rFonts w:hint="eastAsia" w:ascii="仿宋_GB2312" w:hAnsi="仿宋_GB2312" w:eastAsia="仿宋_GB2312" w:cs="仿宋_GB2312"/>
                <w:color w:val="auto"/>
                <w:sz w:val="24"/>
                <w:szCs w:val="24"/>
                <w:shd w:val="clear" w:color="auto" w:fill="auto"/>
              </w:rPr>
              <w:t>对芭田公司复合肥生产经营成本的调查工作。</w:t>
            </w:r>
            <w:r>
              <w:rPr>
                <w:rFonts w:hint="eastAsia" w:ascii="仿宋_GB2312" w:hAnsi="仿宋_GB2312" w:eastAsia="仿宋_GB2312" w:cs="仿宋_GB2312"/>
                <w:b/>
                <w:bCs/>
                <w:color w:val="auto"/>
                <w:sz w:val="24"/>
                <w:szCs w:val="24"/>
                <w:shd w:val="clear" w:color="auto" w:fill="auto"/>
              </w:rPr>
              <w:t>二是</w:t>
            </w:r>
            <w:r>
              <w:rPr>
                <w:rFonts w:hint="eastAsia" w:ascii="仿宋_GB2312" w:hAnsi="仿宋_GB2312" w:eastAsia="仿宋_GB2312" w:cs="仿宋_GB2312"/>
                <w:color w:val="auto"/>
                <w:sz w:val="24"/>
                <w:szCs w:val="24"/>
                <w:shd w:val="clear" w:color="auto" w:fill="auto"/>
              </w:rPr>
              <w:t>根据国家规范殡葬、墓地价格的有关要求和市政府价格工作安排，对4家经营性公墓的经营成本进行调查，为下一步规范我市墓地销售价格及管理费标准奠定良好的基础；</w:t>
            </w:r>
            <w:r>
              <w:rPr>
                <w:rFonts w:hint="eastAsia" w:ascii="仿宋_GB2312" w:hAnsi="仿宋_GB2312" w:eastAsia="仿宋_GB2312" w:cs="仿宋_GB2312"/>
                <w:b/>
                <w:bCs/>
                <w:color w:val="auto"/>
                <w:sz w:val="24"/>
                <w:szCs w:val="24"/>
                <w:shd w:val="clear" w:color="auto" w:fill="auto"/>
              </w:rPr>
              <w:t>三是</w:t>
            </w:r>
            <w:r>
              <w:rPr>
                <w:rFonts w:hint="eastAsia" w:ascii="仿宋_GB2312" w:hAnsi="仿宋_GB2312" w:eastAsia="仿宋_GB2312" w:cs="仿宋_GB2312"/>
                <w:color w:val="auto"/>
                <w:sz w:val="24"/>
                <w:szCs w:val="24"/>
                <w:shd w:val="clear" w:color="auto" w:fill="auto"/>
              </w:rPr>
              <w:t>配合国家发改委、省发改委完成了国家级景区门票和重点行业企业污染治理设施建设及运行成本专项调查工作；</w:t>
            </w:r>
            <w:r>
              <w:rPr>
                <w:rFonts w:hint="eastAsia" w:ascii="仿宋_GB2312" w:hAnsi="仿宋_GB2312" w:eastAsia="仿宋_GB2312" w:cs="仿宋_GB2312"/>
                <w:b/>
                <w:bCs/>
                <w:color w:val="auto"/>
                <w:sz w:val="24"/>
                <w:szCs w:val="24"/>
                <w:shd w:val="clear" w:color="auto" w:fill="auto"/>
              </w:rPr>
              <w:t>四是</w:t>
            </w:r>
            <w:r>
              <w:rPr>
                <w:rFonts w:hint="eastAsia" w:ascii="仿宋_GB2312" w:hAnsi="仿宋_GB2312" w:eastAsia="仿宋_GB2312" w:cs="仿宋_GB2312"/>
                <w:color w:val="auto"/>
                <w:sz w:val="24"/>
                <w:szCs w:val="24"/>
                <w:shd w:val="clear" w:color="auto" w:fill="auto"/>
              </w:rPr>
              <w:t>配合国家发展改革委价格成本调查中心开展了城市生活垃圾及污水处理成本收费情况的调研工作，为健全和完善城市生活垃圾及污水处理价格管理和成本监审政策收集了重要的数据资料。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val="0"/>
                <w:bCs w:val="0"/>
                <w:color w:val="auto"/>
                <w:kern w:val="2"/>
                <w:sz w:val="24"/>
                <w:szCs w:val="24"/>
                <w:shd w:val="clear" w:color="auto" w:fill="auto"/>
              </w:rPr>
            </w:pPr>
            <w:r>
              <w:rPr>
                <w:rFonts w:hint="eastAsia" w:ascii="仿宋_GB2312" w:hAnsi="仿宋_GB2312" w:eastAsia="仿宋_GB2312" w:cs="仿宋_GB2312"/>
                <w:b/>
                <w:bCs/>
                <w:color w:val="auto"/>
                <w:kern w:val="2"/>
                <w:sz w:val="24"/>
                <w:szCs w:val="24"/>
                <w:shd w:val="clear" w:color="auto" w:fill="auto"/>
                <w:lang w:val="en-US" w:eastAsia="zh-CN"/>
              </w:rPr>
              <w:t>3.</w:t>
            </w:r>
            <w:r>
              <w:rPr>
                <w:rFonts w:hint="eastAsia" w:ascii="仿宋_GB2312" w:hAnsi="仿宋_GB2312" w:eastAsia="仿宋_GB2312" w:cs="仿宋_GB2312"/>
                <w:b/>
                <w:bCs/>
                <w:color w:val="auto"/>
                <w:kern w:val="2"/>
                <w:sz w:val="24"/>
                <w:szCs w:val="24"/>
                <w:shd w:val="clear" w:color="auto" w:fill="auto"/>
              </w:rPr>
              <w:t>继续做好监管周期内输配电成本和收入情况的比较分析工作</w:t>
            </w:r>
            <w:r>
              <w:rPr>
                <w:rFonts w:hint="eastAsia" w:ascii="仿宋_GB2312" w:hAnsi="仿宋_GB2312" w:eastAsia="仿宋_GB2312" w:cs="仿宋_GB2312"/>
                <w:b/>
                <w:bCs/>
                <w:color w:val="auto"/>
                <w:kern w:val="2"/>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按照省发展改革委工作部署，完成了对深圳供电局2017年及第一个监管周期实际输配电成本、收入与准许成本、准许收入情况的比较分析，共审核费用74.33亿元，为下一个定价周期准许成本、准许收入的制定打下了坚实基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（三）高效廉洁开展</w:t>
            </w:r>
            <w:r>
              <w:rPr>
                <w:rFonts w:hint="eastAsia" w:ascii="仿宋_GB2312" w:hAnsi="仿宋_GB2312" w:eastAsia="仿宋_GB2312" w:cs="仿宋_GB2312"/>
                <w:b/>
                <w:bCs/>
                <w:color w:val="auto"/>
                <w:sz w:val="24"/>
                <w:szCs w:val="24"/>
                <w:shd w:val="clear" w:color="auto" w:fill="auto"/>
              </w:rPr>
              <w:t>价格认定工作，服务于社会公平正义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b/>
                <w:bCs/>
                <w:color w:val="auto"/>
                <w:sz w:val="24"/>
                <w:szCs w:val="24"/>
                <w:shd w:val="clear" w:color="auto" w:fill="auto"/>
                <w:lang w:val="en-US" w:eastAsia="zh-CN"/>
              </w:rPr>
              <w:t>1.</w:t>
            </w:r>
            <w:r>
              <w:rPr>
                <w:rFonts w:hint="eastAsia" w:ascii="仿宋_GB2312" w:hAnsi="仿宋_GB2312" w:eastAsia="仿宋_GB2312" w:cs="仿宋_GB2312"/>
                <w:b/>
                <w:bCs/>
                <w:color w:val="auto"/>
                <w:sz w:val="24"/>
                <w:szCs w:val="24"/>
                <w:shd w:val="clear" w:color="auto" w:fill="auto"/>
              </w:rPr>
              <w:t>顺利通过省发展改革委价格认定工作质量评查。</w:t>
            </w:r>
            <w:r>
              <w:rPr>
                <w:rFonts w:hint="eastAsia" w:ascii="仿宋_GB2312" w:hAnsi="仿宋_GB2312" w:eastAsia="仿宋_GB2312" w:cs="仿宋_GB2312"/>
                <w:color w:val="auto"/>
                <w:sz w:val="24"/>
                <w:szCs w:val="24"/>
                <w:shd w:val="clear" w:color="auto" w:fill="auto"/>
              </w:rPr>
              <w:t>为做好迎接省发展改革委价格认定工作质量评查工作，我中心坚持以问题为导向，对本中心价格认定案卷和作业流程进行认真梳理，着力解决工作中存在的薄弱环节，及时查漏补缺</w:t>
            </w:r>
            <w:r>
              <w:rPr>
                <w:rFonts w:hint="eastAsia" w:ascii="仿宋_GB2312" w:hAnsi="仿宋_GB2312" w:eastAsia="仿宋_GB2312" w:cs="仿宋_GB2312"/>
                <w:color w:val="auto"/>
                <w:sz w:val="24"/>
                <w:szCs w:val="24"/>
                <w:shd w:val="clear" w:color="auto" w:fill="auto"/>
                <w:lang w:eastAsia="zh-CN"/>
              </w:rPr>
              <w:t>，先后被</w:t>
            </w:r>
            <w:r>
              <w:rPr>
                <w:rFonts w:hint="eastAsia" w:ascii="仿宋_GB2312" w:hAnsi="仿宋_GB2312" w:eastAsia="仿宋_GB2312" w:cs="仿宋_GB2312"/>
                <w:color w:val="auto"/>
                <w:sz w:val="24"/>
                <w:szCs w:val="24"/>
                <w:shd w:val="clear" w:color="auto" w:fill="auto"/>
                <w:lang w:val="en-US" w:eastAsia="zh-CN"/>
              </w:rPr>
              <w:t>国家发展改革委价格认证中心和广东省</w:t>
            </w:r>
            <w:r>
              <w:rPr>
                <w:rFonts w:hint="eastAsia" w:ascii="仿宋_GB2312" w:hAnsi="仿宋_GB2312" w:eastAsia="仿宋_GB2312" w:cs="仿宋_GB2312"/>
                <w:color w:val="auto"/>
                <w:sz w:val="24"/>
                <w:szCs w:val="24"/>
                <w:shd w:val="clear" w:color="auto" w:fill="auto"/>
                <w:lang w:eastAsia="zh-CN"/>
              </w:rPr>
              <w:t>发展改革委</w:t>
            </w:r>
            <w:r>
              <w:rPr>
                <w:rFonts w:hint="eastAsia" w:ascii="仿宋_GB2312" w:hAnsi="仿宋_GB2312" w:eastAsia="仿宋_GB2312" w:cs="仿宋_GB2312"/>
                <w:color w:val="auto"/>
                <w:sz w:val="24"/>
                <w:szCs w:val="24"/>
                <w:shd w:val="clear" w:color="auto" w:fill="auto"/>
              </w:rPr>
              <w:t>评为</w:t>
            </w:r>
            <w:r>
              <w:rPr>
                <w:rFonts w:hint="eastAsia" w:ascii="仿宋_GB2312" w:hAnsi="仿宋_GB2312" w:eastAsia="仿宋_GB2312" w:cs="仿宋_GB2312"/>
                <w:color w:val="auto"/>
                <w:sz w:val="24"/>
                <w:szCs w:val="24"/>
                <w:shd w:val="clear" w:color="auto" w:fill="auto"/>
                <w:lang w:val="en-US" w:eastAsia="zh-CN"/>
              </w:rPr>
              <w:t>“全国价格认定工作先进机构”和</w:t>
            </w:r>
            <w:r>
              <w:rPr>
                <w:rFonts w:hint="eastAsia" w:ascii="仿宋_GB2312" w:hAnsi="仿宋_GB2312" w:eastAsia="仿宋_GB2312" w:cs="仿宋_GB2312"/>
                <w:color w:val="auto"/>
                <w:sz w:val="24"/>
                <w:szCs w:val="24"/>
                <w:shd w:val="clear" w:color="auto" w:fill="auto"/>
              </w:rPr>
              <w:t>“</w:t>
            </w:r>
            <w:r>
              <w:rPr>
                <w:rFonts w:hint="eastAsia" w:ascii="仿宋_GB2312" w:hAnsi="仿宋_GB2312" w:eastAsia="仿宋_GB2312" w:cs="仿宋_GB2312"/>
                <w:color w:val="auto"/>
                <w:sz w:val="24"/>
                <w:szCs w:val="24"/>
                <w:shd w:val="clear" w:color="auto" w:fill="auto"/>
                <w:lang w:eastAsia="zh-CN"/>
              </w:rPr>
              <w:t>广东省</w:t>
            </w:r>
            <w:r>
              <w:rPr>
                <w:rFonts w:hint="eastAsia" w:ascii="仿宋_GB2312" w:hAnsi="仿宋_GB2312" w:eastAsia="仿宋_GB2312" w:cs="仿宋_GB2312"/>
                <w:color w:val="auto"/>
                <w:sz w:val="24"/>
                <w:szCs w:val="24"/>
                <w:shd w:val="clear" w:color="auto" w:fill="auto"/>
              </w:rPr>
              <w:t>价格认定质量</w:t>
            </w:r>
            <w:r>
              <w:rPr>
                <w:rFonts w:hint="eastAsia" w:ascii="仿宋_GB2312" w:hAnsi="仿宋_GB2312" w:eastAsia="仿宋_GB2312" w:cs="仿宋_GB2312"/>
                <w:color w:val="auto"/>
                <w:sz w:val="24"/>
                <w:szCs w:val="24"/>
                <w:shd w:val="clear" w:color="auto" w:fill="auto"/>
                <w:lang w:eastAsia="zh-CN"/>
              </w:rPr>
              <w:t>评查</w:t>
            </w:r>
            <w:r>
              <w:rPr>
                <w:rFonts w:hint="eastAsia" w:ascii="仿宋_GB2312" w:hAnsi="仿宋_GB2312" w:eastAsia="仿宋_GB2312" w:cs="仿宋_GB2312"/>
                <w:color w:val="auto"/>
                <w:sz w:val="24"/>
                <w:szCs w:val="24"/>
                <w:shd w:val="clear" w:color="auto" w:fill="auto"/>
              </w:rPr>
              <w:t>表扬单位”</w:t>
            </w:r>
            <w:r>
              <w:rPr>
                <w:rFonts w:hint="eastAsia" w:ascii="仿宋_GB2312" w:hAnsi="仿宋_GB2312" w:eastAsia="仿宋_GB2312" w:cs="仿宋_GB2312"/>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Cs w:val="0"/>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2.</w:t>
            </w:r>
            <w:r>
              <w:rPr>
                <w:rFonts w:hint="eastAsia" w:ascii="仿宋_GB2312" w:hAnsi="仿宋_GB2312" w:eastAsia="仿宋_GB2312" w:cs="仿宋_GB2312"/>
                <w:b/>
                <w:bCs/>
                <w:color w:val="auto"/>
                <w:sz w:val="24"/>
                <w:szCs w:val="24"/>
                <w:shd w:val="clear" w:color="auto" w:fill="auto"/>
              </w:rPr>
              <w:t>依规高效完成公安部督办案件涉案财物价格认定工作。</w:t>
            </w:r>
            <w:r>
              <w:rPr>
                <w:rFonts w:hint="eastAsia" w:ascii="仿宋_GB2312" w:hAnsi="仿宋_GB2312" w:eastAsia="仿宋_GB2312" w:cs="仿宋_GB2312"/>
                <w:color w:val="auto"/>
                <w:sz w:val="24"/>
                <w:szCs w:val="24"/>
                <w:shd w:val="clear" w:color="auto" w:fill="auto"/>
              </w:rPr>
              <w:t>2018年3月，市公安局经济犯罪侦查局就</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XXX合同诈骗案</w:t>
            </w:r>
            <w:r>
              <w:rPr>
                <w:rFonts w:hint="eastAsia" w:ascii="仿宋_GB2312" w:hAnsi="仿宋_GB2312" w:eastAsia="仿宋_GB2312" w:cs="仿宋_GB2312"/>
                <w:color w:val="auto"/>
                <w:sz w:val="24"/>
                <w:szCs w:val="24"/>
                <w:shd w:val="clear" w:color="auto" w:fill="auto"/>
                <w:lang w:eastAsia="zh-CN"/>
              </w:rPr>
              <w:t>”向我中心</w:t>
            </w:r>
            <w:r>
              <w:rPr>
                <w:rFonts w:hint="eastAsia" w:ascii="仿宋_GB2312" w:hAnsi="仿宋_GB2312" w:eastAsia="仿宋_GB2312" w:cs="仿宋_GB2312"/>
                <w:color w:val="auto"/>
                <w:sz w:val="24"/>
                <w:szCs w:val="24"/>
                <w:shd w:val="clear" w:color="auto" w:fill="auto"/>
              </w:rPr>
              <w:t>提出涉案财物价格认定</w:t>
            </w:r>
            <w:r>
              <w:rPr>
                <w:rFonts w:hint="eastAsia" w:ascii="仿宋_GB2312" w:hAnsi="仿宋_GB2312" w:eastAsia="仿宋_GB2312" w:cs="仿宋_GB2312"/>
                <w:color w:val="auto"/>
                <w:sz w:val="24"/>
                <w:szCs w:val="24"/>
                <w:shd w:val="clear" w:color="auto" w:fill="auto"/>
                <w:lang w:eastAsia="zh-CN"/>
              </w:rPr>
              <w:t>协助</w:t>
            </w:r>
            <w:r>
              <w:rPr>
                <w:rFonts w:hint="eastAsia" w:ascii="仿宋_GB2312" w:hAnsi="仿宋_GB2312" w:eastAsia="仿宋_GB2312" w:cs="仿宋_GB2312"/>
                <w:color w:val="auto"/>
                <w:sz w:val="24"/>
                <w:szCs w:val="24"/>
                <w:shd w:val="clear" w:color="auto" w:fill="auto"/>
              </w:rPr>
              <w:t>申请。该案为公安部督办案件,案件影响大，涉案物品数量巨大、种类繁多，时间要求紧、任务重。我中心高度重视，召开专题会议，成立专门工作小组，制定工作方案，针对疑难涉案物品聘请专家参与实物查验，提出咨询意见</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经过为期两个</w:t>
            </w:r>
            <w:r>
              <w:rPr>
                <w:rFonts w:hint="eastAsia" w:ascii="仿宋_GB2312" w:hAnsi="仿宋_GB2312" w:eastAsia="仿宋_GB2312" w:cs="仿宋_GB2312"/>
                <w:color w:val="auto"/>
                <w:sz w:val="24"/>
                <w:szCs w:val="24"/>
                <w:shd w:val="clear" w:color="auto" w:fill="auto"/>
                <w:lang w:eastAsia="zh-CN"/>
              </w:rPr>
              <w:t>多月</w:t>
            </w:r>
            <w:r>
              <w:rPr>
                <w:rFonts w:hint="eastAsia" w:ascii="仿宋_GB2312" w:hAnsi="仿宋_GB2312" w:eastAsia="仿宋_GB2312" w:cs="仿宋_GB2312"/>
                <w:color w:val="auto"/>
                <w:sz w:val="24"/>
                <w:szCs w:val="24"/>
                <w:shd w:val="clear" w:color="auto" w:fill="auto"/>
              </w:rPr>
              <w:t>的努力，出具了价格认定结论</w:t>
            </w:r>
            <w:r>
              <w:rPr>
                <w:rFonts w:hint="eastAsia" w:ascii="仿宋_GB2312" w:hAnsi="仿宋_GB2312" w:eastAsia="仿宋_GB2312" w:cs="仿宋_GB2312"/>
                <w:color w:val="auto"/>
                <w:sz w:val="24"/>
                <w:szCs w:val="24"/>
                <w:shd w:val="clear" w:color="auto" w:fill="auto"/>
                <w:lang w:eastAsia="zh-CN"/>
              </w:rPr>
              <w:t>书</w:t>
            </w:r>
            <w:r>
              <w:rPr>
                <w:rFonts w:hint="eastAsia" w:ascii="仿宋_GB2312" w:hAnsi="仿宋_GB2312" w:eastAsia="仿宋_GB2312" w:cs="仿宋_GB2312"/>
                <w:color w:val="auto"/>
                <w:sz w:val="24"/>
                <w:szCs w:val="24"/>
                <w:shd w:val="clear" w:color="auto" w:fill="auto"/>
              </w:rPr>
              <w:t>，为该案后续的起诉和审判工作提供了价格依据。市公安局经济犯罪侦查局向</w:t>
            </w:r>
            <w:r>
              <w:rPr>
                <w:rFonts w:hint="eastAsia" w:ascii="仿宋_GB2312" w:hAnsi="仿宋_GB2312" w:eastAsia="仿宋_GB2312" w:cs="仿宋_GB2312"/>
                <w:color w:val="auto"/>
                <w:sz w:val="24"/>
                <w:szCs w:val="24"/>
                <w:shd w:val="clear" w:color="auto" w:fill="auto"/>
                <w:lang w:eastAsia="zh-CN"/>
              </w:rPr>
              <w:t>我</w:t>
            </w:r>
            <w:r>
              <w:rPr>
                <w:rFonts w:hint="eastAsia" w:ascii="仿宋_GB2312" w:hAnsi="仿宋_GB2312" w:eastAsia="仿宋_GB2312" w:cs="仿宋_GB2312"/>
                <w:color w:val="auto"/>
                <w:sz w:val="24"/>
                <w:szCs w:val="24"/>
                <w:shd w:val="clear" w:color="auto" w:fill="auto"/>
              </w:rPr>
              <w:t>委递交了表扬信，对我中心的工作给予了肯定和表扬。</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3.</w:t>
            </w:r>
            <w:r>
              <w:rPr>
                <w:rFonts w:hint="eastAsia" w:ascii="仿宋_GB2312" w:hAnsi="仿宋_GB2312" w:eastAsia="仿宋_GB2312" w:cs="仿宋_GB2312"/>
                <w:b/>
                <w:bCs/>
                <w:color w:val="auto"/>
                <w:sz w:val="24"/>
                <w:szCs w:val="24"/>
                <w:shd w:val="clear" w:color="auto" w:fill="auto"/>
              </w:rPr>
              <w:t>全力配合办案部门做好各项专项打击走私行动。一是</w:t>
            </w:r>
            <w:r>
              <w:rPr>
                <w:rFonts w:hint="eastAsia" w:ascii="仿宋_GB2312" w:hAnsi="仿宋_GB2312" w:eastAsia="仿宋_GB2312" w:cs="仿宋_GB2312"/>
                <w:b w:val="0"/>
                <w:bCs w:val="0"/>
                <w:color w:val="auto"/>
                <w:sz w:val="24"/>
                <w:szCs w:val="24"/>
                <w:shd w:val="clear" w:color="auto" w:fill="auto"/>
              </w:rPr>
              <w:t>助力全市扫黑除恶专项斗争</w:t>
            </w:r>
            <w:r>
              <w:rPr>
                <w:rFonts w:hint="eastAsia" w:ascii="仿宋_GB2312" w:hAnsi="仿宋_GB2312" w:eastAsia="仿宋_GB2312" w:cs="仿宋_GB2312"/>
                <w:b w:val="0"/>
                <w:bCs w:val="0"/>
                <w:color w:val="auto"/>
                <w:sz w:val="24"/>
                <w:szCs w:val="24"/>
                <w:shd w:val="clear" w:color="auto" w:fill="auto"/>
                <w:lang w:eastAsia="zh-CN"/>
              </w:rPr>
              <w:t>，高质高效完成相关价格认定工作</w:t>
            </w:r>
            <w:r>
              <w:rPr>
                <w:rFonts w:hint="eastAsia" w:ascii="仿宋_GB2312" w:hAnsi="仿宋_GB2312" w:eastAsia="仿宋_GB2312" w:cs="仿宋_GB2312"/>
                <w:b w:val="0"/>
                <w:bCs w:val="0"/>
                <w:color w:val="auto"/>
                <w:sz w:val="24"/>
                <w:szCs w:val="24"/>
                <w:shd w:val="clear" w:color="auto" w:fill="auto"/>
              </w:rPr>
              <w:t>。</w:t>
            </w:r>
            <w:r>
              <w:rPr>
                <w:rFonts w:hint="eastAsia" w:ascii="仿宋_GB2312" w:hAnsi="仿宋_GB2312" w:eastAsia="仿宋_GB2312" w:cs="仿宋_GB2312"/>
                <w:b/>
                <w:bCs/>
                <w:color w:val="auto"/>
                <w:sz w:val="24"/>
                <w:szCs w:val="24"/>
                <w:shd w:val="clear" w:color="auto" w:fill="auto"/>
              </w:rPr>
              <w:t>二是</w:t>
            </w:r>
            <w:r>
              <w:rPr>
                <w:rFonts w:hint="eastAsia" w:ascii="仿宋_GB2312" w:hAnsi="仿宋_GB2312" w:eastAsia="仿宋_GB2312" w:cs="仿宋_GB2312"/>
                <w:color w:val="auto"/>
                <w:sz w:val="24"/>
                <w:szCs w:val="24"/>
                <w:shd w:val="clear" w:color="auto" w:fill="auto"/>
              </w:rPr>
              <w:t>主动配合海关办案部门开展各类专项行动</w:t>
            </w:r>
            <w:r>
              <w:rPr>
                <w:rFonts w:hint="eastAsia" w:ascii="仿宋_GB2312" w:hAnsi="仿宋_GB2312" w:eastAsia="仿宋_GB2312" w:cs="仿宋_GB2312"/>
                <w:color w:val="auto"/>
                <w:sz w:val="24"/>
                <w:szCs w:val="24"/>
                <w:shd w:val="clear" w:color="auto" w:fill="auto"/>
                <w:lang w:eastAsia="zh-CN"/>
              </w:rPr>
              <w:t>，为</w:t>
            </w:r>
            <w:r>
              <w:rPr>
                <w:rFonts w:hint="eastAsia" w:ascii="仿宋_GB2312" w:hAnsi="仿宋_GB2312" w:eastAsia="仿宋_GB2312" w:cs="仿宋_GB2312"/>
                <w:color w:val="auto"/>
                <w:sz w:val="24"/>
                <w:szCs w:val="24"/>
                <w:shd w:val="clear" w:color="auto" w:fill="auto"/>
              </w:rPr>
              <w:t>海关办案部门打击各种走私违法犯罪活动，建立良好的市场秩序和社会秩序发挥了积极作用。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4.</w:t>
            </w:r>
            <w:r>
              <w:rPr>
                <w:rFonts w:hint="eastAsia" w:ascii="仿宋_GB2312" w:hAnsi="仿宋_GB2312" w:eastAsia="仿宋_GB2312" w:cs="仿宋_GB2312"/>
                <w:b/>
                <w:bCs/>
                <w:color w:val="auto"/>
                <w:sz w:val="24"/>
                <w:szCs w:val="24"/>
                <w:shd w:val="clear" w:color="auto" w:fill="auto"/>
              </w:rPr>
              <w:t>认真做好政府公物处置价格认定工作。</w:t>
            </w:r>
            <w:r>
              <w:rPr>
                <w:rFonts w:hint="eastAsia" w:ascii="仿宋_GB2312" w:hAnsi="仿宋_GB2312" w:eastAsia="仿宋_GB2312" w:cs="仿宋_GB2312"/>
                <w:color w:val="auto"/>
                <w:sz w:val="24"/>
                <w:szCs w:val="24"/>
                <w:shd w:val="clear" w:color="auto" w:fill="auto"/>
              </w:rPr>
              <w:t>较好地配合财政公物仓完成了大量积压罚没物资拍卖保留价价格认定，加快了公物处置的进程，避免了国有资产的流失。据统计，全年共完成市财政委提出的罚没物资拍卖保留价价格认定243宗，认定价值5125.72万元。</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（四）</w:t>
            </w:r>
            <w:r>
              <w:rPr>
                <w:rFonts w:hint="eastAsia" w:ascii="仿宋_GB2312" w:hAnsi="仿宋_GB2312" w:eastAsia="仿宋_GB2312" w:cs="仿宋_GB2312"/>
                <w:b/>
                <w:bCs/>
                <w:color w:val="auto"/>
                <w:sz w:val="24"/>
                <w:szCs w:val="24"/>
                <w:shd w:val="clear" w:color="auto" w:fill="auto"/>
              </w:rPr>
              <w:t>扎实推进价格争议纠纷调解处理工作健康发展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按照</w:t>
            </w:r>
            <w:r>
              <w:rPr>
                <w:rFonts w:hint="eastAsia" w:ascii="仿宋_GB2312" w:hAnsi="仿宋_GB2312" w:eastAsia="仿宋_GB2312" w:cs="仿宋_GB2312"/>
                <w:color w:val="auto"/>
                <w:sz w:val="24"/>
                <w:szCs w:val="24"/>
                <w:shd w:val="clear" w:color="auto" w:fill="auto"/>
                <w:lang w:eastAsia="zh-CN"/>
              </w:rPr>
              <w:t>有关</w:t>
            </w:r>
            <w:r>
              <w:rPr>
                <w:rFonts w:hint="eastAsia" w:ascii="仿宋_GB2312" w:hAnsi="仿宋_GB2312" w:eastAsia="仿宋_GB2312" w:cs="仿宋_GB2312"/>
                <w:color w:val="auto"/>
                <w:sz w:val="24"/>
                <w:szCs w:val="24"/>
                <w:shd w:val="clear" w:color="auto" w:fill="auto"/>
              </w:rPr>
              <w:t>工作要求，重新编制业务指南、业务手册和业务流程图，进一步细化了申请、受理、调查、听证、调解期限等方面工作流程，重新调整了价格争议调解领导小组和专责工作小组成员</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为价格争议调解处理工作全面开展奠定了坚实基础。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黑体" w:hAnsi="黑体" w:eastAsia="黑体" w:cs="黑体"/>
                <w:b w:val="0"/>
                <w:color w:val="auto"/>
                <w:sz w:val="24"/>
                <w:szCs w:val="24"/>
                <w:shd w:val="clear" w:color="auto" w:fill="auto"/>
              </w:rPr>
            </w:pPr>
            <w:r>
              <w:rPr>
                <w:rFonts w:hint="eastAsia" w:ascii="黑体" w:hAnsi="黑体" w:eastAsia="黑体" w:cs="黑体"/>
                <w:b w:val="0"/>
                <w:color w:val="auto"/>
                <w:sz w:val="24"/>
                <w:szCs w:val="24"/>
                <w:shd w:val="clear" w:color="auto" w:fill="auto"/>
              </w:rPr>
              <w:t>二、2019年工作思路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bCs/>
                <w:color w:val="auto"/>
                <w:sz w:val="24"/>
                <w:szCs w:val="24"/>
                <w:shd w:val="clear" w:color="auto" w:fill="auto"/>
              </w:rPr>
            </w:pPr>
            <w:r>
              <w:rPr>
                <w:rFonts w:hint="eastAsia" w:ascii="楷体_GB2312" w:hAnsi="楷体_GB2312" w:eastAsia="楷体_GB2312" w:cs="楷体_GB2312"/>
                <w:b/>
                <w:bCs/>
                <w:i w:val="0"/>
                <w:caps w:val="0"/>
                <w:color w:val="auto"/>
                <w:spacing w:val="0"/>
                <w:sz w:val="24"/>
                <w:szCs w:val="24"/>
                <w:shd w:val="clear" w:fill="auto"/>
                <w:lang w:eastAsia="zh-CN"/>
              </w:rPr>
              <w:t>（一）</w:t>
            </w:r>
            <w:r>
              <w:rPr>
                <w:rFonts w:hint="eastAsia" w:ascii="仿宋_GB2312" w:hAnsi="仿宋_GB2312" w:eastAsia="仿宋_GB2312" w:cs="仿宋_GB2312"/>
                <w:b/>
                <w:bCs/>
                <w:color w:val="auto"/>
                <w:sz w:val="24"/>
                <w:szCs w:val="24"/>
                <w:shd w:val="clear" w:color="auto" w:fill="auto"/>
              </w:rPr>
              <w:t>持续做好价格监测预警工作，服务发展改革大局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一是</w:t>
            </w:r>
            <w:r>
              <w:rPr>
                <w:rFonts w:hint="eastAsia" w:ascii="仿宋_GB2312" w:hAnsi="仿宋_GB2312" w:eastAsia="仿宋_GB2312" w:cs="仿宋_GB2312"/>
                <w:bCs w:val="0"/>
                <w:color w:val="auto"/>
                <w:sz w:val="24"/>
                <w:szCs w:val="24"/>
                <w:shd w:val="clear" w:color="auto" w:fill="auto"/>
              </w:rPr>
              <w:t>做好国家发展改革委价格监测预警</w:t>
            </w:r>
            <w:r>
              <w:rPr>
                <w:rFonts w:hint="eastAsia" w:ascii="仿宋_GB2312" w:hAnsi="仿宋_GB2312" w:eastAsia="仿宋_GB2312" w:cs="仿宋_GB2312"/>
                <w:color w:val="auto"/>
                <w:sz w:val="24"/>
                <w:szCs w:val="24"/>
                <w:shd w:val="clear" w:color="auto" w:fill="auto"/>
              </w:rPr>
              <w:t>新系统的使用工作。尽快熟练掌握国家新价格监测系统中数据采集、审核、汇总、上报等功能模块的使用方法，高质量做好价格监测数据报送工作。</w:t>
            </w:r>
            <w:r>
              <w:rPr>
                <w:rFonts w:hint="eastAsia" w:ascii="仿宋_GB2312" w:hAnsi="仿宋_GB2312" w:eastAsia="仿宋_GB2312" w:cs="仿宋_GB2312"/>
                <w:b/>
                <w:bCs/>
                <w:color w:val="auto"/>
                <w:sz w:val="24"/>
                <w:szCs w:val="24"/>
                <w:shd w:val="clear" w:color="auto" w:fill="auto"/>
                <w:lang w:eastAsia="zh-CN"/>
              </w:rPr>
              <w:t>二是</w:t>
            </w:r>
            <w:r>
              <w:rPr>
                <w:rFonts w:hint="eastAsia" w:ascii="仿宋_GB2312" w:hAnsi="仿宋_GB2312" w:eastAsia="仿宋_GB2312" w:cs="仿宋_GB2312"/>
                <w:bCs w:val="0"/>
                <w:color w:val="auto"/>
                <w:sz w:val="24"/>
                <w:szCs w:val="24"/>
                <w:shd w:val="clear" w:color="auto" w:fill="auto"/>
              </w:rPr>
              <w:t>灵敏反映动态信息。</w:t>
            </w:r>
            <w:r>
              <w:rPr>
                <w:rFonts w:hint="eastAsia" w:ascii="仿宋_GB2312" w:hAnsi="仿宋_GB2312" w:eastAsia="仿宋_GB2312" w:cs="仿宋_GB2312"/>
                <w:color w:val="auto"/>
                <w:sz w:val="24"/>
                <w:szCs w:val="24"/>
                <w:shd w:val="clear" w:color="auto" w:fill="auto"/>
              </w:rPr>
              <w:t>抓好主要品种、重要时段、关键时点的市场价格和供求情况动态反映，重点做好节假日和突发事件期间的市场动态反映，及时发现苗头性、倾向性的价格问题，切实提高捕捉价格异常波动敏感度，提高预警和分析预测水平。</w:t>
            </w:r>
            <w:r>
              <w:rPr>
                <w:rFonts w:hint="eastAsia" w:ascii="仿宋_GB2312" w:hAnsi="仿宋_GB2312" w:eastAsia="仿宋_GB2312" w:cs="仿宋_GB2312"/>
                <w:b/>
                <w:bCs/>
                <w:color w:val="auto"/>
                <w:sz w:val="24"/>
                <w:szCs w:val="24"/>
                <w:shd w:val="clear" w:color="auto" w:fill="auto"/>
                <w:lang w:eastAsia="zh-CN"/>
              </w:rPr>
              <w:t>三是</w:t>
            </w:r>
            <w:r>
              <w:rPr>
                <w:rFonts w:hint="eastAsia" w:ascii="仿宋_GB2312" w:hAnsi="仿宋_GB2312" w:eastAsia="仿宋_GB2312" w:cs="仿宋_GB2312"/>
                <w:color w:val="auto"/>
                <w:sz w:val="24"/>
                <w:szCs w:val="24"/>
                <w:shd w:val="clear" w:color="auto" w:fill="auto"/>
              </w:rPr>
              <w:t>加强分析预判，服务宏观调控。对宏观价格形势分析预测，提出政策建议，对涉及价格调控管理的重点、热点问题开展专项调研分析。</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（二）</w:t>
            </w:r>
            <w:r>
              <w:rPr>
                <w:rFonts w:hint="eastAsia" w:ascii="仿宋_GB2312" w:hAnsi="仿宋_GB2312" w:eastAsia="仿宋_GB2312" w:cs="仿宋_GB2312"/>
                <w:b/>
                <w:bCs/>
                <w:color w:val="auto"/>
                <w:sz w:val="24"/>
                <w:szCs w:val="24"/>
                <w:shd w:val="clear" w:color="auto" w:fill="auto"/>
              </w:rPr>
              <w:t>继续做好成本监审工作，服务政府宏观决策</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一是</w:t>
            </w:r>
            <w:r>
              <w:rPr>
                <w:rFonts w:hint="eastAsia" w:ascii="仿宋_GB2312" w:hAnsi="仿宋_GB2312" w:eastAsia="仿宋_GB2312" w:cs="仿宋_GB2312"/>
                <w:color w:val="auto"/>
                <w:sz w:val="24"/>
                <w:szCs w:val="24"/>
                <w:shd w:val="clear" w:color="auto" w:fill="auto"/>
              </w:rPr>
              <w:t>配合《广东省定价目录（2018年版）》、《广东省定价成本监审目录》颁布实施，清理废止与新定价、监审目录规定冲突的规章制度，承接好省里下放和委托我市价格管理事项中的成本监审工作。</w:t>
            </w:r>
            <w:r>
              <w:rPr>
                <w:rFonts w:hint="eastAsia" w:ascii="仿宋_GB2312" w:hAnsi="仿宋_GB2312" w:eastAsia="仿宋_GB2312" w:cs="仿宋_GB2312"/>
                <w:b/>
                <w:bCs/>
                <w:color w:val="auto"/>
                <w:sz w:val="24"/>
                <w:szCs w:val="24"/>
                <w:shd w:val="clear" w:color="auto" w:fill="auto"/>
                <w:lang w:eastAsia="zh-CN"/>
              </w:rPr>
              <w:t>二是</w:t>
            </w:r>
            <w:r>
              <w:rPr>
                <w:rFonts w:hint="eastAsia" w:ascii="仿宋_GB2312" w:hAnsi="仿宋_GB2312" w:eastAsia="仿宋_GB2312" w:cs="仿宋_GB2312"/>
                <w:color w:val="auto"/>
                <w:sz w:val="24"/>
                <w:szCs w:val="24"/>
                <w:shd w:val="clear" w:color="auto" w:fill="auto"/>
              </w:rPr>
              <w:t>按照国家和省的部署，结合管道燃气价格管理办法的出台，配合管道天然气配气价格的制定工作，做好成本监审工作，促进天然气价格市场化改革。</w:t>
            </w:r>
            <w:r>
              <w:rPr>
                <w:rFonts w:hint="eastAsia" w:ascii="仿宋_GB2312" w:hAnsi="仿宋_GB2312" w:eastAsia="仿宋_GB2312" w:cs="仿宋_GB2312"/>
                <w:b/>
                <w:bCs/>
                <w:color w:val="auto"/>
                <w:sz w:val="24"/>
                <w:szCs w:val="24"/>
                <w:shd w:val="clear" w:color="auto" w:fill="auto"/>
                <w:lang w:eastAsia="zh-CN"/>
              </w:rPr>
              <w:t>三是</w:t>
            </w:r>
            <w:r>
              <w:rPr>
                <w:rFonts w:hint="eastAsia" w:ascii="仿宋_GB2312" w:hAnsi="仿宋_GB2312" w:eastAsia="仿宋_GB2312" w:cs="仿宋_GB2312"/>
                <w:color w:val="auto"/>
                <w:sz w:val="24"/>
                <w:szCs w:val="24"/>
                <w:shd w:val="clear" w:color="auto" w:fill="auto"/>
              </w:rPr>
              <w:t>配合公益服务价格改革工作，做好医疗、教育收费成本监审相关工作。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（三）</w:t>
            </w:r>
            <w:r>
              <w:rPr>
                <w:rFonts w:hint="eastAsia" w:ascii="仿宋_GB2312" w:hAnsi="仿宋_GB2312" w:eastAsia="仿宋_GB2312" w:cs="仿宋_GB2312"/>
                <w:b/>
                <w:bCs/>
                <w:color w:val="auto"/>
                <w:sz w:val="24"/>
                <w:szCs w:val="24"/>
                <w:shd w:val="clear" w:color="auto" w:fill="auto"/>
              </w:rPr>
              <w:t>进一步强化价格认定工作，服务社会</w:t>
            </w:r>
            <w:r>
              <w:rPr>
                <w:rFonts w:hint="eastAsia" w:ascii="仿宋_GB2312" w:hAnsi="仿宋_GB2312" w:eastAsia="仿宋_GB2312" w:cs="仿宋_GB2312"/>
                <w:b/>
                <w:bCs/>
                <w:color w:val="auto"/>
                <w:sz w:val="24"/>
                <w:szCs w:val="24"/>
                <w:shd w:val="clear" w:color="auto" w:fill="auto"/>
                <w:lang w:eastAsia="zh-CN"/>
              </w:rPr>
              <w:t>公平</w:t>
            </w:r>
            <w:r>
              <w:rPr>
                <w:rFonts w:hint="eastAsia" w:ascii="仿宋_GB2312" w:hAnsi="仿宋_GB2312" w:eastAsia="仿宋_GB2312" w:cs="仿宋_GB2312"/>
                <w:b/>
                <w:bCs/>
                <w:color w:val="auto"/>
                <w:sz w:val="24"/>
                <w:szCs w:val="24"/>
                <w:shd w:val="clear" w:color="auto" w:fill="auto"/>
              </w:rPr>
              <w:t>正义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2" w:firstLineChars="200"/>
              <w:textAlignment w:val="auto"/>
              <w:outlineLvl w:val="9"/>
              <w:rPr>
                <w:rFonts w:hint="eastAsia" w:ascii="仿宋_GB2312" w:hAnsi="仿宋_GB2312" w:eastAsia="仿宋_GB2312" w:cs="仿宋_GB2312"/>
                <w:color w:val="auto"/>
                <w:kern w:val="2"/>
                <w:sz w:val="24"/>
                <w:szCs w:val="24"/>
                <w:shd w:val="clear" w:color="auto" w:fill="auto"/>
              </w:rPr>
            </w:pPr>
            <w:r>
              <w:rPr>
                <w:rFonts w:hint="eastAsia" w:ascii="仿宋_GB2312" w:hAnsi="仿宋_GB2312" w:eastAsia="仿宋_GB2312" w:cs="仿宋_GB2312"/>
                <w:b/>
                <w:bCs/>
                <w:color w:val="auto"/>
                <w:kern w:val="2"/>
                <w:sz w:val="24"/>
                <w:szCs w:val="24"/>
                <w:shd w:val="clear" w:color="auto" w:fill="auto"/>
                <w:lang w:eastAsia="zh-CN"/>
              </w:rPr>
              <w:t>一是</w:t>
            </w:r>
            <w:r>
              <w:rPr>
                <w:rFonts w:hint="eastAsia" w:ascii="仿宋_GB2312" w:hAnsi="仿宋_GB2312" w:eastAsia="仿宋_GB2312" w:cs="仿宋_GB2312"/>
                <w:b w:val="0"/>
                <w:bCs w:val="0"/>
                <w:color w:val="auto"/>
                <w:kern w:val="2"/>
                <w:sz w:val="24"/>
                <w:szCs w:val="24"/>
                <w:shd w:val="clear" w:color="auto" w:fill="auto"/>
                <w:lang w:eastAsia="zh-CN"/>
              </w:rPr>
              <w:t>坚持</w:t>
            </w:r>
            <w:r>
              <w:rPr>
                <w:rFonts w:hint="eastAsia" w:ascii="仿宋_GB2312" w:hAnsi="仿宋_GB2312" w:eastAsia="仿宋_GB2312" w:cs="仿宋_GB2312"/>
                <w:color w:val="auto"/>
                <w:kern w:val="2"/>
                <w:sz w:val="24"/>
                <w:szCs w:val="24"/>
                <w:shd w:val="clear" w:color="auto" w:fill="auto"/>
              </w:rPr>
              <w:t>以质量为主线，显著提升价格认定工作水平。始终聚焦质量这个关键，做好涉纪检监察、涉刑事、涉行政价格认定工作，全面从严规范价格认定程序和行为，建立健全质量管控长效机制，确保工作质量和水平不断迈上新台阶。</w:t>
            </w:r>
            <w:r>
              <w:rPr>
                <w:rFonts w:hint="eastAsia" w:ascii="仿宋_GB2312" w:hAnsi="仿宋_GB2312" w:eastAsia="仿宋_GB2312" w:cs="仿宋_GB2312"/>
                <w:b/>
                <w:bCs/>
                <w:color w:val="auto"/>
                <w:kern w:val="2"/>
                <w:sz w:val="24"/>
                <w:szCs w:val="24"/>
                <w:shd w:val="clear" w:color="auto" w:fill="auto"/>
                <w:lang w:eastAsia="zh-CN"/>
              </w:rPr>
              <w:t>二是</w:t>
            </w:r>
            <w:r>
              <w:rPr>
                <w:rFonts w:hint="eastAsia" w:ascii="仿宋_GB2312" w:hAnsi="仿宋_GB2312" w:eastAsia="仿宋_GB2312" w:cs="仿宋_GB2312"/>
                <w:b/>
                <w:bCs/>
                <w:color w:val="auto"/>
                <w:kern w:val="2"/>
                <w:sz w:val="24"/>
                <w:szCs w:val="24"/>
                <w:shd w:val="clear" w:color="auto" w:fill="auto"/>
              </w:rPr>
              <w:t>积</w:t>
            </w:r>
            <w:r>
              <w:rPr>
                <w:rFonts w:hint="eastAsia" w:ascii="仿宋_GB2312" w:hAnsi="仿宋_GB2312" w:eastAsia="仿宋_GB2312" w:cs="仿宋_GB2312"/>
                <w:color w:val="auto"/>
                <w:kern w:val="2"/>
                <w:sz w:val="24"/>
                <w:szCs w:val="24"/>
                <w:shd w:val="clear" w:color="auto" w:fill="auto"/>
              </w:rPr>
              <w:t>极配合监察体制改革，拓展涉纪检监察价格认定阵地。借监察体制改革东风，进一步强化涉纪财物价格认定职能，打造价格认定紧密服务于反腐败工作的新形象。</w:t>
            </w:r>
            <w:r>
              <w:rPr>
                <w:rFonts w:hint="eastAsia" w:ascii="仿宋_GB2312" w:hAnsi="仿宋_GB2312" w:eastAsia="仿宋_GB2312" w:cs="仿宋_GB2312"/>
                <w:b/>
                <w:bCs/>
                <w:color w:val="auto"/>
                <w:kern w:val="2"/>
                <w:sz w:val="24"/>
                <w:szCs w:val="24"/>
                <w:shd w:val="clear" w:color="auto" w:fill="auto"/>
                <w:lang w:eastAsia="zh-CN"/>
              </w:rPr>
              <w:t>三是</w:t>
            </w:r>
            <w:r>
              <w:rPr>
                <w:rFonts w:hint="eastAsia" w:ascii="仿宋_GB2312" w:hAnsi="仿宋_GB2312" w:eastAsia="仿宋_GB2312" w:cs="仿宋_GB2312"/>
                <w:color w:val="auto"/>
                <w:kern w:val="2"/>
                <w:sz w:val="24"/>
                <w:szCs w:val="24"/>
                <w:shd w:val="clear" w:color="auto" w:fill="auto"/>
              </w:rPr>
              <w:t>紧扣主题，突出特色，继续开展价格认定学习提升年活动。坚持政治和业务两手抓，创新丰富载体和形式，丰富活动内容创新方式和方法，突出问题导向，落实改进措施，全方位提升价格认定工作，达到补短板、强基础、提效能的效果。</w:t>
            </w:r>
            <w:r>
              <w:rPr>
                <w:rFonts w:hint="eastAsia" w:ascii="仿宋_GB2312" w:hAnsi="仿宋_GB2312" w:eastAsia="仿宋_GB2312" w:cs="仿宋_GB2312"/>
                <w:b/>
                <w:bCs/>
                <w:color w:val="auto"/>
                <w:kern w:val="2"/>
                <w:sz w:val="24"/>
                <w:szCs w:val="24"/>
                <w:shd w:val="clear" w:color="auto" w:fill="auto"/>
                <w:lang w:eastAsia="zh-CN"/>
              </w:rPr>
              <w:t>四是</w:t>
            </w:r>
            <w:r>
              <w:rPr>
                <w:rFonts w:hint="eastAsia" w:ascii="仿宋_GB2312" w:hAnsi="仿宋_GB2312" w:eastAsia="仿宋_GB2312" w:cs="仿宋_GB2312"/>
                <w:color w:val="auto"/>
                <w:kern w:val="2"/>
                <w:sz w:val="24"/>
                <w:szCs w:val="24"/>
                <w:shd w:val="clear" w:color="auto" w:fill="auto"/>
              </w:rPr>
              <w:t>服务价格机制改革，在“放管服”的大背景下，推进做好价格争议纠纷调解工作，打造深圳价格争议调解特色服务品牌。</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楷体_GB2312" w:hAnsi="楷体_GB2312" w:eastAsia="楷体_GB2312" w:cs="楷体_GB2312"/>
                <w:b/>
                <w:bCs/>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楷体_GB2312" w:hAnsi="楷体_GB2312" w:eastAsia="楷体_GB2312" w:cs="楷体_GB2312"/>
                <w:b/>
                <w:bCs/>
                <w:color w:val="auto"/>
                <w:sz w:val="24"/>
                <w:szCs w:val="24"/>
                <w:shd w:val="clear" w:color="auto" w:fill="auto"/>
                <w:lang w:eastAsia="zh-CN"/>
              </w:rPr>
            </w:pPr>
            <w:r>
              <w:rPr>
                <w:rFonts w:hint="eastAsia" w:ascii="楷体_GB2312" w:hAnsi="楷体_GB2312" w:eastAsia="楷体_GB2312" w:cs="楷体_GB2312"/>
                <w:b/>
                <w:bCs/>
                <w:color w:val="auto"/>
                <w:sz w:val="24"/>
                <w:szCs w:val="24"/>
                <w:shd w:val="clear" w:color="auto" w:fill="auto"/>
              </w:rPr>
              <w:t xml:space="preserve"> (</w:t>
            </w:r>
            <w:r>
              <w:rPr>
                <w:rFonts w:hint="eastAsia" w:ascii="楷体_GB2312" w:hAnsi="楷体_GB2312" w:eastAsia="楷体_GB2312" w:cs="楷体_GB2312"/>
                <w:b/>
                <w:bCs/>
                <w:color w:val="auto"/>
                <w:sz w:val="24"/>
                <w:szCs w:val="24"/>
                <w:shd w:val="clear" w:color="auto" w:fill="auto"/>
                <w:lang w:eastAsia="zh-CN"/>
              </w:rPr>
              <w:t>四</w:t>
            </w:r>
            <w:r>
              <w:rPr>
                <w:rFonts w:hint="eastAsia" w:ascii="楷体_GB2312" w:hAnsi="楷体_GB2312" w:eastAsia="楷体_GB2312" w:cs="楷体_GB2312"/>
                <w:b/>
                <w:bCs/>
                <w:color w:val="auto"/>
                <w:sz w:val="24"/>
                <w:szCs w:val="24"/>
                <w:shd w:val="clear" w:color="auto" w:fill="auto"/>
              </w:rPr>
              <w:t>)做好基础工作</w:t>
            </w:r>
            <w:r>
              <w:rPr>
                <w:rFonts w:hint="eastAsia" w:ascii="楷体_GB2312" w:hAnsi="楷体_GB2312" w:eastAsia="楷体_GB2312" w:cs="楷体_GB2312"/>
                <w:b/>
                <w:bCs/>
                <w:color w:val="auto"/>
                <w:sz w:val="24"/>
                <w:szCs w:val="24"/>
                <w:shd w:val="clear" w:color="auto" w:fill="auto"/>
                <w:lang w:eastAsia="zh-CN"/>
              </w:rPr>
              <w:t>，为价格公共服务升级提供有力支撑</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ascii="楷体_GB2312" w:hAnsi="楷体" w:eastAsia="楷体_GB2312"/>
                <w:b/>
                <w:bCs/>
                <w:sz w:val="32"/>
                <w:szCs w:val="32"/>
              </w:rPr>
            </w:pPr>
            <w:r>
              <w:rPr>
                <w:rFonts w:hint="eastAsia" w:ascii="仿宋_GB2312" w:hAnsi="仿宋_GB2312" w:eastAsia="仿宋_GB2312" w:cs="仿宋_GB2312"/>
                <w:b/>
                <w:bCs/>
                <w:color w:val="auto"/>
                <w:sz w:val="24"/>
                <w:szCs w:val="24"/>
                <w:shd w:val="clear" w:color="auto" w:fill="auto"/>
                <w:lang w:eastAsia="zh-CN"/>
              </w:rPr>
              <w:t>一是</w:t>
            </w:r>
            <w:r>
              <w:rPr>
                <w:rFonts w:hint="eastAsia" w:ascii="仿宋_GB2312" w:hAnsi="仿宋_GB2312" w:eastAsia="仿宋_GB2312" w:cs="仿宋_GB2312"/>
                <w:color w:val="auto"/>
                <w:sz w:val="24"/>
                <w:szCs w:val="24"/>
                <w:shd w:val="clear" w:color="auto" w:fill="auto"/>
              </w:rPr>
              <w:t>加强和完善制度建设。结合中心实际和上级主管部门相关工作要求，对现行各项规章制度进行全面梳理，并按照相关法律法规进行修改完善。</w:t>
            </w:r>
            <w:r>
              <w:rPr>
                <w:rFonts w:hint="eastAsia" w:ascii="仿宋_GB2312" w:hAnsi="仿宋_GB2312" w:eastAsia="仿宋_GB2312" w:cs="仿宋_GB2312"/>
                <w:b/>
                <w:bCs/>
                <w:color w:val="auto"/>
                <w:sz w:val="24"/>
                <w:szCs w:val="24"/>
                <w:shd w:val="clear" w:color="auto" w:fill="auto"/>
                <w:lang w:eastAsia="zh-CN"/>
              </w:rPr>
              <w:t>二是</w:t>
            </w:r>
            <w:r>
              <w:rPr>
                <w:rFonts w:hint="eastAsia" w:ascii="仿宋_GB2312" w:hAnsi="仿宋_GB2312" w:eastAsia="仿宋_GB2312" w:cs="仿宋_GB2312"/>
                <w:color w:val="auto"/>
                <w:sz w:val="24"/>
                <w:szCs w:val="24"/>
                <w:shd w:val="clear" w:color="auto" w:fill="auto"/>
              </w:rPr>
              <w:t>稳步推进信息化建设。</w:t>
            </w:r>
            <w:r>
              <w:rPr>
                <w:rFonts w:hint="eastAsia" w:ascii="仿宋_GB2312" w:hAnsi="仿宋_GB2312" w:eastAsia="仿宋_GB2312" w:cs="仿宋_GB2312"/>
                <w:color w:val="auto"/>
                <w:kern w:val="2"/>
                <w:sz w:val="24"/>
                <w:szCs w:val="24"/>
                <w:shd w:val="clear" w:color="auto" w:fill="auto"/>
              </w:rPr>
              <w:t>发挥“互联网+”优势，</w:t>
            </w:r>
            <w:r>
              <w:rPr>
                <w:rFonts w:hint="eastAsia" w:ascii="仿宋_GB2312" w:hAnsi="仿宋_GB2312" w:eastAsia="仿宋_GB2312" w:cs="仿宋_GB2312"/>
                <w:color w:val="auto"/>
                <w:sz w:val="24"/>
                <w:szCs w:val="24"/>
                <w:shd w:val="clear" w:color="auto" w:fill="auto"/>
              </w:rPr>
              <w:t>全面推进价格认定管理系统全市上线运行</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kern w:val="2"/>
                <w:sz w:val="24"/>
                <w:szCs w:val="24"/>
                <w:shd w:val="clear" w:color="auto" w:fill="auto"/>
              </w:rPr>
              <w:t>充分发挥互联网、大数据对价格</w:t>
            </w:r>
            <w:r>
              <w:rPr>
                <w:rFonts w:hint="eastAsia" w:ascii="仿宋_GB2312" w:hAnsi="仿宋_GB2312" w:eastAsia="仿宋_GB2312" w:cs="仿宋_GB2312"/>
                <w:color w:val="auto"/>
                <w:kern w:val="2"/>
                <w:sz w:val="24"/>
                <w:szCs w:val="24"/>
                <w:shd w:val="clear" w:color="auto" w:fill="auto"/>
                <w:lang w:eastAsia="zh-CN"/>
              </w:rPr>
              <w:t>公共服务</w:t>
            </w:r>
            <w:r>
              <w:rPr>
                <w:rFonts w:hint="eastAsia" w:ascii="仿宋_GB2312" w:hAnsi="仿宋_GB2312" w:eastAsia="仿宋_GB2312" w:cs="仿宋_GB2312"/>
                <w:color w:val="auto"/>
                <w:kern w:val="2"/>
                <w:sz w:val="24"/>
                <w:szCs w:val="24"/>
                <w:shd w:val="clear" w:color="auto" w:fill="auto"/>
              </w:rPr>
              <w:t>工作的支撑作用。</w:t>
            </w:r>
            <w:r>
              <w:rPr>
                <w:rFonts w:hint="eastAsia" w:ascii="仿宋_GB2312" w:hAnsi="仿宋_GB2312" w:eastAsia="仿宋_GB2312" w:cs="仿宋_GB2312"/>
                <w:b/>
                <w:bCs/>
                <w:color w:val="auto"/>
                <w:sz w:val="24"/>
                <w:szCs w:val="24"/>
                <w:shd w:val="clear" w:color="auto" w:fill="auto"/>
                <w:lang w:eastAsia="zh-CN"/>
              </w:rPr>
              <w:t>三是</w:t>
            </w:r>
            <w:r>
              <w:rPr>
                <w:rFonts w:hint="eastAsia" w:ascii="仿宋_GB2312" w:hAnsi="仿宋_GB2312" w:eastAsia="仿宋_GB2312" w:cs="仿宋_GB2312"/>
                <w:color w:val="auto"/>
                <w:sz w:val="24"/>
                <w:szCs w:val="24"/>
                <w:shd w:val="clear" w:color="auto" w:fill="auto"/>
              </w:rPr>
              <w:t>继续支持和鼓励工作人员积极参加国家、省价格主管部门举办的业务培训和研讨会议，不断提高工作人员理论水平和业务能力。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584" w:type="dxa"/>
            <w:vMerge w:val="restart"/>
            <w:tcBorders>
              <w:top w:val="single" w:color="auto" w:sz="4" w:space="0"/>
              <w:left w:val="single" w:color="auto" w:sz="12" w:space="0"/>
              <w:right w:val="single" w:color="auto" w:sz="4" w:space="0"/>
            </w:tcBorders>
            <w:vAlign w:val="center"/>
          </w:tcPr>
          <w:p>
            <w:pPr>
              <w:spacing w:line="500" w:lineRule="exact"/>
              <w:jc w:val="center"/>
              <w:rPr>
                <w:rFonts w:ascii="楷体" w:hAnsi="楷体" w:eastAsia="楷体"/>
                <w:b/>
                <w:bCs/>
                <w:sz w:val="32"/>
                <w:szCs w:val="32"/>
              </w:rPr>
            </w:pPr>
            <w:r>
              <w:rPr>
                <w:rFonts w:hint="eastAsia" w:ascii="楷体" w:hAnsi="楷体" w:eastAsia="楷体"/>
                <w:b/>
                <w:bCs/>
                <w:sz w:val="32"/>
                <w:szCs w:val="32"/>
              </w:rPr>
              <w:t>相关资质认可或执业许可</w:t>
            </w:r>
            <w:r>
              <w:rPr>
                <w:rFonts w:hint="eastAsia" w:ascii="楷体" w:hAnsi="楷体" w:eastAsia="楷体"/>
                <w:sz w:val="28"/>
                <w:szCs w:val="28"/>
              </w:rPr>
              <w:t>(含受委托)</w:t>
            </w:r>
            <w:r>
              <w:rPr>
                <w:rFonts w:hint="eastAsia" w:ascii="楷体" w:hAnsi="楷体" w:eastAsia="楷体"/>
                <w:b/>
                <w:bCs/>
                <w:sz w:val="32"/>
                <w:szCs w:val="32"/>
              </w:rPr>
              <w:t>证明文件及有 效 期</w:t>
            </w:r>
          </w:p>
        </w:tc>
        <w:tc>
          <w:tcPr>
            <w:tcW w:w="2016"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楷体" w:hAnsi="楷体" w:eastAsia="楷体"/>
                <w:b/>
                <w:bCs/>
                <w:sz w:val="32"/>
                <w:szCs w:val="32"/>
              </w:rPr>
            </w:pPr>
            <w:r>
              <w:rPr>
                <w:rFonts w:hint="eastAsia" w:ascii="楷体" w:hAnsi="楷体" w:eastAsia="楷体"/>
                <w:b/>
                <w:bCs/>
                <w:sz w:val="32"/>
                <w:szCs w:val="32"/>
              </w:rPr>
              <w:t>证书名称</w:t>
            </w:r>
          </w:p>
        </w:tc>
        <w:tc>
          <w:tcPr>
            <w:tcW w:w="1980"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楷体" w:hAnsi="楷体" w:eastAsia="楷体"/>
                <w:b/>
                <w:bCs/>
                <w:sz w:val="32"/>
                <w:szCs w:val="32"/>
              </w:rPr>
            </w:pPr>
            <w:r>
              <w:rPr>
                <w:rFonts w:hint="eastAsia" w:ascii="楷体" w:hAnsi="楷体" w:eastAsia="楷体"/>
                <w:b/>
                <w:bCs/>
                <w:sz w:val="32"/>
                <w:szCs w:val="32"/>
              </w:rPr>
              <w:t>认可（许可/</w:t>
            </w:r>
            <w:r>
              <w:rPr>
                <w:rFonts w:hint="eastAsia" w:ascii="楷体" w:hAnsi="楷体" w:eastAsia="楷体"/>
                <w:sz w:val="28"/>
                <w:szCs w:val="28"/>
              </w:rPr>
              <w:t>受委托</w:t>
            </w:r>
            <w:r>
              <w:rPr>
                <w:rFonts w:hint="eastAsia" w:ascii="楷体" w:hAnsi="楷体" w:eastAsia="楷体"/>
                <w:b/>
                <w:bCs/>
                <w:sz w:val="32"/>
                <w:szCs w:val="32"/>
              </w:rPr>
              <w:t>）范围</w:t>
            </w:r>
          </w:p>
        </w:tc>
        <w:tc>
          <w:tcPr>
            <w:tcW w:w="1980" w:type="dxa"/>
            <w:gridSpan w:val="3"/>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楷体" w:hAnsi="楷体" w:eastAsia="楷体"/>
                <w:b/>
                <w:bCs/>
                <w:sz w:val="32"/>
                <w:szCs w:val="32"/>
              </w:rPr>
            </w:pPr>
            <w:r>
              <w:rPr>
                <w:rFonts w:hint="eastAsia" w:ascii="楷体" w:hAnsi="楷体" w:eastAsia="楷体"/>
                <w:b/>
                <w:bCs/>
                <w:sz w:val="32"/>
                <w:szCs w:val="32"/>
              </w:rPr>
              <w:t>有效期</w:t>
            </w:r>
          </w:p>
          <w:p>
            <w:pPr>
              <w:spacing w:line="400" w:lineRule="exact"/>
              <w:jc w:val="center"/>
              <w:rPr>
                <w:rFonts w:ascii="楷体" w:hAnsi="楷体" w:eastAsia="楷体"/>
                <w:b/>
                <w:bCs/>
                <w:sz w:val="32"/>
                <w:szCs w:val="32"/>
              </w:rPr>
            </w:pPr>
            <w:r>
              <w:rPr>
                <w:rFonts w:hint="eastAsia" w:ascii="楷体" w:hAnsi="楷体" w:eastAsia="楷体"/>
                <w:b/>
                <w:bCs/>
                <w:sz w:val="32"/>
                <w:szCs w:val="32"/>
              </w:rPr>
              <w:t>截止日期</w:t>
            </w:r>
          </w:p>
        </w:tc>
        <w:tc>
          <w:tcPr>
            <w:tcW w:w="1981"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楷体" w:hAnsi="楷体" w:eastAsia="楷体"/>
                <w:b/>
                <w:bCs/>
                <w:sz w:val="32"/>
                <w:szCs w:val="32"/>
              </w:rPr>
            </w:pPr>
            <w:r>
              <w:rPr>
                <w:rFonts w:hint="eastAsia" w:ascii="楷体" w:hAnsi="楷体" w:eastAsia="楷体"/>
                <w:b/>
                <w:bCs/>
                <w:sz w:val="32"/>
                <w:szCs w:val="32"/>
              </w:rPr>
              <w:t>颁发机关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584" w:type="dxa"/>
            <w:vMerge w:val="continue"/>
            <w:tcBorders>
              <w:left w:val="single" w:color="auto" w:sz="12" w:space="0"/>
              <w:bottom w:val="single" w:color="auto" w:sz="4" w:space="0"/>
              <w:right w:val="single" w:color="auto" w:sz="4" w:space="0"/>
            </w:tcBorders>
            <w:vAlign w:val="center"/>
          </w:tcPr>
          <w:p>
            <w:pPr>
              <w:spacing w:line="500" w:lineRule="exact"/>
              <w:jc w:val="center"/>
              <w:rPr>
                <w:rFonts w:ascii="楷体" w:hAnsi="楷体" w:eastAsia="楷体"/>
                <w:b/>
                <w:bCs/>
                <w:sz w:val="32"/>
                <w:szCs w:val="32"/>
              </w:rPr>
            </w:pPr>
          </w:p>
        </w:tc>
        <w:tc>
          <w:tcPr>
            <w:tcW w:w="2016" w:type="dxa"/>
            <w:gridSpan w:val="2"/>
            <w:tcBorders>
              <w:top w:val="single" w:color="auto" w:sz="4" w:space="0"/>
              <w:left w:val="single" w:color="auto" w:sz="4" w:space="0"/>
              <w:bottom w:val="single" w:color="auto" w:sz="4" w:space="0"/>
              <w:right w:val="single" w:color="auto" w:sz="12" w:space="0"/>
            </w:tcBorders>
            <w:vAlign w:val="center"/>
          </w:tcPr>
          <w:p>
            <w:pPr>
              <w:jc w:val="center"/>
              <w:rPr>
                <w:rFonts w:hint="eastAsia" w:ascii="楷体" w:hAnsi="楷体" w:eastAsia="楷体"/>
                <w:bCs/>
                <w:sz w:val="32"/>
                <w:szCs w:val="32"/>
                <w:lang w:eastAsia="zh-CN"/>
              </w:rPr>
            </w:pPr>
            <w:r>
              <w:rPr>
                <w:rFonts w:hint="eastAsia" w:ascii="楷体" w:hAnsi="楷体" w:eastAsia="楷体"/>
                <w:bCs/>
                <w:sz w:val="32"/>
                <w:szCs w:val="32"/>
                <w:lang w:eastAsia="zh-CN"/>
              </w:rPr>
              <w:t>无</w:t>
            </w:r>
          </w:p>
        </w:tc>
        <w:tc>
          <w:tcPr>
            <w:tcW w:w="1980" w:type="dxa"/>
            <w:gridSpan w:val="2"/>
            <w:tcBorders>
              <w:top w:val="single" w:color="auto" w:sz="4" w:space="0"/>
              <w:left w:val="single" w:color="auto" w:sz="4" w:space="0"/>
              <w:bottom w:val="single" w:color="auto" w:sz="4" w:space="0"/>
              <w:right w:val="single" w:color="auto" w:sz="12" w:space="0"/>
            </w:tcBorders>
            <w:vAlign w:val="center"/>
          </w:tcPr>
          <w:p>
            <w:pPr>
              <w:rPr>
                <w:rFonts w:ascii="楷体" w:hAnsi="楷体" w:eastAsia="楷体"/>
                <w:bCs/>
                <w:sz w:val="32"/>
                <w:szCs w:val="32"/>
              </w:rPr>
            </w:pPr>
          </w:p>
        </w:tc>
        <w:tc>
          <w:tcPr>
            <w:tcW w:w="1980" w:type="dxa"/>
            <w:gridSpan w:val="3"/>
            <w:tcBorders>
              <w:top w:val="single" w:color="auto" w:sz="4" w:space="0"/>
              <w:left w:val="single" w:color="auto" w:sz="4" w:space="0"/>
              <w:bottom w:val="single" w:color="auto" w:sz="4" w:space="0"/>
              <w:right w:val="single" w:color="auto" w:sz="12" w:space="0"/>
            </w:tcBorders>
            <w:vAlign w:val="center"/>
          </w:tcPr>
          <w:p>
            <w:pPr>
              <w:rPr>
                <w:rFonts w:ascii="楷体" w:hAnsi="楷体" w:eastAsia="楷体"/>
                <w:bCs/>
                <w:sz w:val="32"/>
                <w:szCs w:val="32"/>
              </w:rPr>
            </w:pPr>
          </w:p>
        </w:tc>
        <w:tc>
          <w:tcPr>
            <w:tcW w:w="1981" w:type="dxa"/>
            <w:tcBorders>
              <w:top w:val="single" w:color="auto" w:sz="4" w:space="0"/>
              <w:left w:val="single" w:color="auto" w:sz="4" w:space="0"/>
              <w:bottom w:val="single" w:color="auto" w:sz="4" w:space="0"/>
              <w:right w:val="single" w:color="auto" w:sz="12" w:space="0"/>
            </w:tcBorders>
            <w:vAlign w:val="center"/>
          </w:tcPr>
          <w:p>
            <w:pPr>
              <w:rPr>
                <w:rFonts w:ascii="楷体" w:hAnsi="楷体" w:eastAsia="楷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84" w:type="dxa"/>
            <w:vMerge w:val="restart"/>
            <w:tcBorders>
              <w:top w:val="single" w:color="auto" w:sz="4" w:space="0"/>
              <w:left w:val="single" w:color="auto" w:sz="12" w:space="0"/>
              <w:bottom w:val="single" w:color="auto" w:sz="4" w:space="0"/>
              <w:right w:val="single" w:color="auto" w:sz="12" w:space="0"/>
            </w:tcBorders>
            <w:vAlign w:val="center"/>
          </w:tcPr>
          <w:p>
            <w:pPr>
              <w:adjustRightInd w:val="0"/>
              <w:snapToGrid w:val="0"/>
              <w:spacing w:line="300" w:lineRule="auto"/>
              <w:jc w:val="center"/>
              <w:rPr>
                <w:rFonts w:ascii="楷体" w:hAnsi="楷体" w:eastAsia="楷体"/>
                <w:b/>
                <w:bCs/>
                <w:sz w:val="32"/>
                <w:szCs w:val="32"/>
              </w:rPr>
            </w:pPr>
            <w:r>
              <w:rPr>
                <w:rFonts w:hint="eastAsia" w:ascii="楷体" w:hAnsi="楷体" w:eastAsia="楷体"/>
                <w:b/>
                <w:bCs/>
                <w:sz w:val="32"/>
                <w:szCs w:val="32"/>
              </w:rPr>
              <w:t>资产</w:t>
            </w:r>
          </w:p>
          <w:p>
            <w:pPr>
              <w:adjustRightInd w:val="0"/>
              <w:snapToGrid w:val="0"/>
              <w:spacing w:line="300" w:lineRule="auto"/>
              <w:jc w:val="center"/>
              <w:rPr>
                <w:rFonts w:ascii="楷体" w:hAnsi="楷体" w:eastAsia="楷体"/>
                <w:b/>
                <w:bCs/>
                <w:sz w:val="32"/>
                <w:szCs w:val="32"/>
              </w:rPr>
            </w:pPr>
            <w:r>
              <w:rPr>
                <w:rFonts w:hint="eastAsia" w:ascii="楷体" w:hAnsi="楷体" w:eastAsia="楷体"/>
                <w:b/>
                <w:bCs/>
                <w:sz w:val="32"/>
                <w:szCs w:val="32"/>
              </w:rPr>
              <w:t>损益</w:t>
            </w:r>
          </w:p>
          <w:p>
            <w:pPr>
              <w:adjustRightInd w:val="0"/>
              <w:snapToGrid w:val="0"/>
              <w:spacing w:line="300" w:lineRule="auto"/>
              <w:jc w:val="center"/>
              <w:rPr>
                <w:rFonts w:ascii="楷体" w:hAnsi="楷体" w:eastAsia="楷体"/>
                <w:b/>
                <w:bCs/>
                <w:sz w:val="32"/>
                <w:szCs w:val="32"/>
              </w:rPr>
            </w:pPr>
            <w:r>
              <w:rPr>
                <w:rFonts w:hint="eastAsia" w:ascii="楷体" w:hAnsi="楷体" w:eastAsia="楷体"/>
                <w:b/>
                <w:bCs/>
                <w:sz w:val="32"/>
                <w:szCs w:val="32"/>
              </w:rPr>
              <w:t>情况</w:t>
            </w:r>
          </w:p>
        </w:tc>
        <w:tc>
          <w:tcPr>
            <w:tcW w:w="7957" w:type="dxa"/>
            <w:gridSpan w:val="8"/>
            <w:tcBorders>
              <w:top w:val="single" w:color="auto" w:sz="4" w:space="0"/>
              <w:left w:val="single" w:color="auto" w:sz="12"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58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楷体" w:hAnsi="楷体" w:eastAsia="楷体"/>
                <w:b/>
                <w:bCs/>
                <w:sz w:val="32"/>
                <w:szCs w:val="32"/>
              </w:rPr>
            </w:pPr>
          </w:p>
        </w:tc>
        <w:tc>
          <w:tcPr>
            <w:tcW w:w="3996" w:type="dxa"/>
            <w:gridSpan w:val="4"/>
            <w:tcBorders>
              <w:top w:val="single" w:color="auto" w:sz="4" w:space="0"/>
              <w:left w:val="single" w:color="auto" w:sz="12"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年初数（万元）</w:t>
            </w:r>
          </w:p>
        </w:tc>
        <w:tc>
          <w:tcPr>
            <w:tcW w:w="3961" w:type="dxa"/>
            <w:gridSpan w:val="4"/>
            <w:tcBorders>
              <w:top w:val="single" w:color="auto" w:sz="4" w:space="0"/>
              <w:left w:val="single" w:color="auto" w:sz="12"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58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楷体" w:hAnsi="楷体" w:eastAsia="楷体"/>
                <w:b/>
                <w:bCs/>
                <w:sz w:val="32"/>
                <w:szCs w:val="32"/>
              </w:rPr>
            </w:pPr>
          </w:p>
        </w:tc>
        <w:tc>
          <w:tcPr>
            <w:tcW w:w="3996" w:type="dxa"/>
            <w:gridSpan w:val="4"/>
            <w:tcBorders>
              <w:top w:val="single" w:color="auto" w:sz="4" w:space="0"/>
              <w:left w:val="single" w:color="auto" w:sz="12" w:space="0"/>
              <w:bottom w:val="single" w:color="auto" w:sz="4" w:space="0"/>
              <w:right w:val="single" w:color="auto" w:sz="12" w:space="0"/>
            </w:tcBorders>
            <w:vAlign w:val="center"/>
          </w:tcPr>
          <w:p>
            <w:pPr>
              <w:ind w:firstLine="948" w:firstLineChars="295"/>
              <w:rPr>
                <w:rFonts w:hint="eastAsia" w:ascii="楷体" w:hAnsi="楷体" w:eastAsia="楷体"/>
                <w:b/>
                <w:bCs/>
                <w:sz w:val="32"/>
                <w:szCs w:val="32"/>
                <w:lang w:val="en-US" w:eastAsia="zh-CN"/>
              </w:rPr>
            </w:pPr>
            <w:r>
              <w:rPr>
                <w:rFonts w:hint="eastAsia" w:ascii="楷体" w:hAnsi="楷体" w:eastAsia="楷体"/>
                <w:b/>
                <w:bCs/>
                <w:sz w:val="32"/>
                <w:szCs w:val="32"/>
              </w:rPr>
              <w:t xml:space="preserve"> </w:t>
            </w:r>
            <w:r>
              <w:rPr>
                <w:rFonts w:hint="eastAsia" w:ascii="楷体" w:hAnsi="楷体" w:eastAsia="楷体"/>
                <w:b/>
                <w:bCs/>
                <w:sz w:val="32"/>
                <w:szCs w:val="32"/>
                <w:lang w:val="en-US" w:eastAsia="zh-CN"/>
              </w:rPr>
              <w:t>2028.46</w:t>
            </w:r>
          </w:p>
        </w:tc>
        <w:tc>
          <w:tcPr>
            <w:tcW w:w="3961" w:type="dxa"/>
            <w:gridSpan w:val="4"/>
            <w:tcBorders>
              <w:top w:val="single" w:color="auto" w:sz="4" w:space="0"/>
              <w:left w:val="single" w:color="auto" w:sz="12" w:space="0"/>
              <w:bottom w:val="single" w:color="auto" w:sz="4" w:space="0"/>
              <w:right w:val="single" w:color="auto" w:sz="12" w:space="0"/>
            </w:tcBorders>
            <w:vAlign w:val="center"/>
          </w:tcPr>
          <w:p>
            <w:pPr>
              <w:rPr>
                <w:rFonts w:hint="eastAsia" w:ascii="楷体" w:hAnsi="楷体" w:eastAsia="楷体"/>
                <w:b/>
                <w:bCs/>
                <w:sz w:val="32"/>
                <w:szCs w:val="32"/>
                <w:lang w:val="en-US" w:eastAsia="zh-CN"/>
              </w:rPr>
            </w:pPr>
            <w:r>
              <w:rPr>
                <w:rFonts w:hint="eastAsia" w:ascii="楷体" w:hAnsi="楷体" w:eastAsia="楷体"/>
                <w:b/>
                <w:bCs/>
                <w:sz w:val="32"/>
                <w:szCs w:val="32"/>
              </w:rPr>
              <w:t xml:space="preserve">     </w:t>
            </w:r>
            <w:r>
              <w:rPr>
                <w:rFonts w:hint="eastAsia" w:ascii="楷体" w:hAnsi="楷体" w:eastAsia="楷体"/>
                <w:b/>
                <w:bCs/>
                <w:sz w:val="32"/>
                <w:szCs w:val="32"/>
                <w:lang w:val="en-US" w:eastAsia="zh-CN"/>
              </w:rPr>
              <w:t>2030.15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584" w:type="dxa"/>
            <w:vMerge w:val="restart"/>
            <w:tcBorders>
              <w:top w:val="single" w:color="auto" w:sz="4" w:space="0"/>
              <w:left w:val="single" w:color="auto" w:sz="12" w:space="0"/>
              <w:right w:val="single" w:color="auto" w:sz="12" w:space="0"/>
            </w:tcBorders>
            <w:vAlign w:val="center"/>
          </w:tcPr>
          <w:p>
            <w:pPr>
              <w:widowControl/>
              <w:jc w:val="center"/>
              <w:rPr>
                <w:rFonts w:ascii="楷体" w:hAnsi="楷体" w:eastAsia="楷体"/>
                <w:b/>
                <w:bCs/>
                <w:sz w:val="32"/>
                <w:szCs w:val="32"/>
              </w:rPr>
            </w:pPr>
            <w:r>
              <w:rPr>
                <w:rFonts w:hint="eastAsia" w:ascii="楷体" w:hAnsi="楷体" w:eastAsia="楷体"/>
                <w:b/>
                <w:sz w:val="32"/>
              </w:rPr>
              <w:t>人员编制情况</w:t>
            </w:r>
          </w:p>
        </w:tc>
        <w:tc>
          <w:tcPr>
            <w:tcW w:w="2526" w:type="dxa"/>
            <w:gridSpan w:val="3"/>
            <w:tcBorders>
              <w:top w:val="single" w:color="auto" w:sz="4" w:space="0"/>
              <w:left w:val="single" w:color="auto" w:sz="12"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编制数</w:t>
            </w:r>
          </w:p>
        </w:tc>
        <w:tc>
          <w:tcPr>
            <w:tcW w:w="2835" w:type="dxa"/>
            <w:gridSpan w:val="3"/>
            <w:tcBorders>
              <w:top w:val="single" w:color="auto" w:sz="4" w:space="0"/>
              <w:left w:val="single" w:color="auto" w:sz="12"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sz w:val="32"/>
              </w:rPr>
              <w:t>实有人数</w:t>
            </w:r>
          </w:p>
        </w:tc>
        <w:tc>
          <w:tcPr>
            <w:tcW w:w="2596" w:type="dxa"/>
            <w:gridSpan w:val="2"/>
            <w:tcBorders>
              <w:top w:val="single" w:color="auto" w:sz="4" w:space="0"/>
              <w:left w:val="single" w:color="auto" w:sz="12"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sz w:val="32"/>
              </w:rPr>
              <w:t>实有在编人数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584" w:type="dxa"/>
            <w:vMerge w:val="continue"/>
            <w:tcBorders>
              <w:left w:val="single" w:color="auto" w:sz="12" w:space="0"/>
              <w:bottom w:val="single" w:color="auto" w:sz="4" w:space="0"/>
              <w:right w:val="single" w:color="auto" w:sz="12" w:space="0"/>
            </w:tcBorders>
            <w:vAlign w:val="center"/>
          </w:tcPr>
          <w:p>
            <w:pPr>
              <w:widowControl/>
              <w:jc w:val="center"/>
              <w:rPr>
                <w:rFonts w:ascii="楷体" w:hAnsi="楷体" w:eastAsia="楷体"/>
                <w:b/>
                <w:sz w:val="32"/>
              </w:rPr>
            </w:pPr>
          </w:p>
        </w:tc>
        <w:tc>
          <w:tcPr>
            <w:tcW w:w="2526" w:type="dxa"/>
            <w:gridSpan w:val="3"/>
            <w:tcBorders>
              <w:top w:val="single" w:color="auto" w:sz="4" w:space="0"/>
              <w:left w:val="single" w:color="auto" w:sz="12" w:space="0"/>
              <w:bottom w:val="single" w:color="auto" w:sz="4" w:space="0"/>
              <w:right w:val="single" w:color="auto" w:sz="12" w:space="0"/>
            </w:tcBorders>
            <w:vAlign w:val="center"/>
          </w:tcPr>
          <w:p>
            <w:pPr>
              <w:jc w:val="center"/>
              <w:rPr>
                <w:rFonts w:hint="eastAsia" w:ascii="楷体" w:hAnsi="楷体" w:eastAsia="楷体"/>
                <w:bCs/>
                <w:sz w:val="32"/>
                <w:szCs w:val="32"/>
                <w:lang w:val="en-US" w:eastAsia="zh-CN"/>
              </w:rPr>
            </w:pPr>
            <w:r>
              <w:rPr>
                <w:rFonts w:hint="eastAsia" w:ascii="楷体" w:hAnsi="楷体" w:eastAsia="楷体"/>
                <w:bCs/>
                <w:sz w:val="32"/>
                <w:szCs w:val="32"/>
                <w:lang w:val="en-US" w:eastAsia="zh-CN"/>
              </w:rPr>
              <w:t>23</w:t>
            </w:r>
          </w:p>
        </w:tc>
        <w:tc>
          <w:tcPr>
            <w:tcW w:w="2835" w:type="dxa"/>
            <w:gridSpan w:val="3"/>
            <w:tcBorders>
              <w:left w:val="single" w:color="auto" w:sz="12" w:space="0"/>
              <w:bottom w:val="single" w:color="auto" w:sz="4" w:space="0"/>
              <w:right w:val="single" w:color="auto" w:sz="12" w:space="0"/>
            </w:tcBorders>
            <w:vAlign w:val="center"/>
          </w:tcPr>
          <w:p>
            <w:pPr>
              <w:jc w:val="center"/>
              <w:rPr>
                <w:rFonts w:hint="eastAsia" w:ascii="楷体" w:hAnsi="楷体" w:eastAsia="楷体"/>
                <w:sz w:val="32"/>
                <w:lang w:val="en-US" w:eastAsia="zh-CN"/>
              </w:rPr>
            </w:pPr>
            <w:r>
              <w:rPr>
                <w:rFonts w:hint="eastAsia" w:ascii="楷体" w:hAnsi="楷体" w:eastAsia="楷体"/>
                <w:sz w:val="32"/>
                <w:lang w:val="en-US" w:eastAsia="zh-CN"/>
              </w:rPr>
              <w:t>35</w:t>
            </w:r>
          </w:p>
        </w:tc>
        <w:tc>
          <w:tcPr>
            <w:tcW w:w="2596" w:type="dxa"/>
            <w:gridSpan w:val="2"/>
            <w:tcBorders>
              <w:left w:val="single" w:color="auto" w:sz="12" w:space="0"/>
              <w:bottom w:val="single" w:color="auto" w:sz="4" w:space="0"/>
              <w:right w:val="single" w:color="auto" w:sz="12" w:space="0"/>
            </w:tcBorders>
            <w:vAlign w:val="center"/>
          </w:tcPr>
          <w:p>
            <w:pPr>
              <w:jc w:val="center"/>
              <w:rPr>
                <w:rFonts w:hint="eastAsia" w:ascii="楷体" w:hAnsi="楷体" w:eastAsia="楷体"/>
                <w:bCs/>
                <w:sz w:val="32"/>
                <w:szCs w:val="32"/>
                <w:lang w:val="en-US" w:eastAsia="zh-CN"/>
              </w:rPr>
            </w:pPr>
            <w:r>
              <w:rPr>
                <w:rFonts w:hint="eastAsia" w:ascii="楷体" w:hAnsi="楷体" w:eastAsia="楷体"/>
                <w:bCs/>
                <w:sz w:val="32"/>
                <w:szCs w:val="32"/>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1584"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360" w:lineRule="auto"/>
              <w:jc w:val="center"/>
              <w:rPr>
                <w:rFonts w:ascii="楷体" w:hAnsi="楷体" w:eastAsia="楷体"/>
                <w:b/>
                <w:bCs/>
                <w:sz w:val="32"/>
                <w:szCs w:val="32"/>
              </w:rPr>
            </w:pPr>
            <w:r>
              <w:rPr>
                <w:rFonts w:hint="eastAsia" w:ascii="楷体" w:hAnsi="楷体" w:eastAsia="楷体"/>
                <w:b/>
                <w:bCs/>
                <w:sz w:val="32"/>
                <w:szCs w:val="32"/>
              </w:rPr>
              <w:t>绩 效 和</w:t>
            </w:r>
          </w:p>
          <w:p>
            <w:pPr>
              <w:adjustRightInd w:val="0"/>
              <w:snapToGrid w:val="0"/>
              <w:spacing w:line="360" w:lineRule="auto"/>
              <w:jc w:val="center"/>
              <w:rPr>
                <w:rFonts w:ascii="楷体" w:hAnsi="楷体" w:eastAsia="楷体"/>
                <w:b/>
                <w:bCs/>
                <w:sz w:val="32"/>
                <w:szCs w:val="32"/>
              </w:rPr>
            </w:pPr>
            <w:r>
              <w:rPr>
                <w:rFonts w:hint="eastAsia" w:ascii="楷体" w:hAnsi="楷体" w:eastAsia="楷体"/>
                <w:b/>
                <w:bCs/>
                <w:sz w:val="32"/>
                <w:szCs w:val="32"/>
              </w:rPr>
              <w:t>受奖惩及诉讼投诉</w:t>
            </w:r>
          </w:p>
          <w:p>
            <w:pPr>
              <w:adjustRightInd w:val="0"/>
              <w:snapToGrid w:val="0"/>
              <w:spacing w:line="360" w:lineRule="auto"/>
              <w:jc w:val="center"/>
              <w:rPr>
                <w:rFonts w:ascii="楷体" w:hAnsi="楷体" w:eastAsia="楷体"/>
                <w:b/>
                <w:bCs/>
                <w:sz w:val="32"/>
                <w:szCs w:val="32"/>
              </w:rPr>
            </w:pPr>
            <w:r>
              <w:rPr>
                <w:rFonts w:hint="eastAsia" w:ascii="楷体" w:hAnsi="楷体" w:eastAsia="楷体"/>
                <w:b/>
                <w:bCs/>
                <w:sz w:val="32"/>
                <w:szCs w:val="32"/>
              </w:rPr>
              <w:t>情    况</w:t>
            </w:r>
          </w:p>
        </w:tc>
        <w:tc>
          <w:tcPr>
            <w:tcW w:w="7957" w:type="dxa"/>
            <w:gridSpan w:val="8"/>
            <w:tcBorders>
              <w:top w:val="single" w:color="auto" w:sz="12" w:space="0"/>
              <w:left w:val="single" w:color="auto" w:sz="4" w:space="0"/>
              <w:bottom w:val="single" w:color="auto" w:sz="4" w:space="0"/>
              <w:right w:val="single" w:color="auto" w:sz="12" w:space="0"/>
            </w:tcBorders>
            <w:vAlign w:val="center"/>
          </w:tcPr>
          <w:p>
            <w:pPr>
              <w:spacing w:line="240" w:lineRule="auto"/>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lang w:eastAsia="zh-CN"/>
              </w:rPr>
              <w:t>年</w:t>
            </w:r>
            <w:r>
              <w:rPr>
                <w:rFonts w:hint="eastAsia" w:ascii="仿宋_GB2312" w:eastAsia="仿宋_GB2312"/>
                <w:sz w:val="32"/>
                <w:szCs w:val="32"/>
                <w:lang w:val="en-US" w:eastAsia="zh-CN"/>
              </w:rPr>
              <w:t>9</w:t>
            </w:r>
            <w:r>
              <w:rPr>
                <w:rFonts w:hint="eastAsia" w:ascii="仿宋_GB2312" w:eastAsia="仿宋_GB2312"/>
                <w:sz w:val="32"/>
                <w:szCs w:val="32"/>
                <w:lang w:eastAsia="zh-CN"/>
              </w:rPr>
              <w:t>月</w:t>
            </w:r>
            <w:r>
              <w:rPr>
                <w:rFonts w:hint="eastAsia" w:ascii="仿宋_GB2312" w:eastAsia="仿宋_GB2312"/>
                <w:sz w:val="32"/>
                <w:szCs w:val="32"/>
                <w:lang w:val="en-US" w:eastAsia="zh-CN"/>
              </w:rPr>
              <w:t>10</w:t>
            </w:r>
            <w:r>
              <w:rPr>
                <w:rFonts w:hint="eastAsia" w:ascii="仿宋_GB2312" w:eastAsia="仿宋_GB2312"/>
                <w:sz w:val="32"/>
                <w:szCs w:val="32"/>
                <w:lang w:eastAsia="zh-CN"/>
              </w:rPr>
              <w:t>日，被广东省发展和改革委员评为“广东省价格认定质量评查表扬单位。”</w:t>
            </w:r>
          </w:p>
          <w:p>
            <w:pPr>
              <w:spacing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2018年12月13日，被国家发展和发展和改革委员会</w:t>
            </w:r>
            <w:bookmarkStart w:id="0" w:name="_GoBack"/>
            <w:bookmarkEnd w:id="0"/>
            <w:r>
              <w:rPr>
                <w:rFonts w:hint="eastAsia" w:ascii="仿宋_GB2312" w:eastAsia="仿宋_GB2312"/>
                <w:sz w:val="32"/>
                <w:szCs w:val="32"/>
                <w:lang w:val="en-US" w:eastAsia="zh-CN"/>
              </w:rPr>
              <w:t>价格认证中心评为“2017-2018年度全国价格认定工作先进单位”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584" w:type="dxa"/>
            <w:tcBorders>
              <w:top w:val="single" w:color="auto" w:sz="4" w:space="0"/>
              <w:left w:val="single" w:color="auto" w:sz="12" w:space="0"/>
              <w:bottom w:val="single" w:color="auto" w:sz="8" w:space="0"/>
              <w:right w:val="single" w:color="auto" w:sz="4" w:space="0"/>
            </w:tcBorders>
            <w:vAlign w:val="center"/>
          </w:tcPr>
          <w:p>
            <w:pPr>
              <w:spacing w:line="0" w:lineRule="atLeast"/>
              <w:jc w:val="left"/>
              <w:rPr>
                <w:rFonts w:ascii="楷体" w:hAnsi="楷体" w:eastAsia="楷体"/>
                <w:b/>
                <w:bCs/>
                <w:sz w:val="32"/>
                <w:szCs w:val="32"/>
              </w:rPr>
            </w:pPr>
            <w:r>
              <w:rPr>
                <w:rFonts w:hint="eastAsia" w:ascii="楷体" w:hAnsi="楷体" w:eastAsia="楷体"/>
                <w:b/>
                <w:bCs/>
                <w:sz w:val="32"/>
                <w:szCs w:val="32"/>
              </w:rPr>
              <w:t>接受捐赠资助及使用情况</w:t>
            </w:r>
          </w:p>
        </w:tc>
        <w:tc>
          <w:tcPr>
            <w:tcW w:w="7957" w:type="dxa"/>
            <w:gridSpan w:val="8"/>
            <w:tcBorders>
              <w:top w:val="single" w:color="auto" w:sz="4" w:space="0"/>
              <w:left w:val="single" w:color="auto" w:sz="4" w:space="0"/>
              <w:bottom w:val="single" w:color="auto" w:sz="8" w:space="0"/>
              <w:right w:val="single" w:color="auto" w:sz="12" w:space="0"/>
            </w:tcBorders>
            <w:vAlign w:val="center"/>
          </w:tcPr>
          <w:p>
            <w:pPr>
              <w:widowControl/>
              <w:spacing w:line="440" w:lineRule="exact"/>
              <w:jc w:val="center"/>
              <w:textAlignment w:val="baseline"/>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1584" w:type="dxa"/>
            <w:tcBorders>
              <w:top w:val="single" w:color="auto" w:sz="4" w:space="0"/>
              <w:left w:val="single" w:color="auto" w:sz="12" w:space="0"/>
              <w:bottom w:val="single" w:color="auto" w:sz="4" w:space="0"/>
              <w:right w:val="single" w:color="auto" w:sz="4" w:space="0"/>
            </w:tcBorders>
            <w:vAlign w:val="center"/>
          </w:tcPr>
          <w:p>
            <w:pPr>
              <w:spacing w:line="480" w:lineRule="exact"/>
              <w:jc w:val="center"/>
              <w:rPr>
                <w:rFonts w:ascii="楷体" w:hAnsi="楷体" w:eastAsia="楷体"/>
                <w:b/>
                <w:bCs/>
                <w:sz w:val="32"/>
                <w:szCs w:val="32"/>
              </w:rPr>
            </w:pPr>
            <w:r>
              <w:rPr>
                <w:rFonts w:hint="eastAsia" w:ascii="楷体" w:hAnsi="楷体" w:eastAsia="楷体"/>
                <w:b/>
                <w:bCs/>
                <w:sz w:val="32"/>
                <w:szCs w:val="32"/>
              </w:rPr>
              <w:t>其他需要说明的情况</w:t>
            </w:r>
          </w:p>
        </w:tc>
        <w:tc>
          <w:tcPr>
            <w:tcW w:w="7957" w:type="dxa"/>
            <w:gridSpan w:val="8"/>
            <w:tcBorders>
              <w:top w:val="single" w:color="auto" w:sz="4" w:space="0"/>
              <w:left w:val="single" w:color="auto" w:sz="4" w:space="0"/>
              <w:bottom w:val="single" w:color="auto" w:sz="4" w:space="0"/>
              <w:right w:val="single" w:color="auto" w:sz="12" w:space="0"/>
            </w:tcBorders>
            <w:vAlign w:val="center"/>
          </w:tcPr>
          <w:p>
            <w:pPr>
              <w:tabs>
                <w:tab w:val="left" w:pos="2906"/>
              </w:tabs>
              <w:jc w:val="center"/>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84" w:type="dxa"/>
            <w:vMerge w:val="restart"/>
            <w:tcBorders>
              <w:top w:val="single" w:color="auto" w:sz="4" w:space="0"/>
              <w:left w:val="single" w:color="auto" w:sz="12" w:space="0"/>
              <w:right w:val="single" w:color="auto" w:sz="4" w:space="0"/>
            </w:tcBorders>
            <w:vAlign w:val="center"/>
          </w:tcPr>
          <w:p>
            <w:pPr>
              <w:spacing w:line="480" w:lineRule="exact"/>
              <w:jc w:val="center"/>
              <w:rPr>
                <w:rFonts w:ascii="楷体" w:hAnsi="楷体" w:eastAsia="楷体"/>
                <w:b/>
                <w:bCs/>
                <w:sz w:val="32"/>
                <w:szCs w:val="32"/>
              </w:rPr>
            </w:pPr>
            <w:r>
              <w:rPr>
                <w:rFonts w:hint="eastAsia" w:ascii="楷体" w:hAnsi="楷体" w:eastAsia="楷体"/>
                <w:b/>
                <w:bCs/>
                <w:sz w:val="32"/>
                <w:szCs w:val="32"/>
              </w:rPr>
              <w:t>报告联系人</w:t>
            </w:r>
          </w:p>
        </w:tc>
        <w:tc>
          <w:tcPr>
            <w:tcW w:w="1677" w:type="dxa"/>
            <w:tcBorders>
              <w:top w:val="single" w:color="auto" w:sz="4" w:space="0"/>
              <w:left w:val="single" w:color="auto" w:sz="4"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姓名</w:t>
            </w:r>
          </w:p>
        </w:tc>
        <w:tc>
          <w:tcPr>
            <w:tcW w:w="2577"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办公电话</w:t>
            </w:r>
          </w:p>
        </w:tc>
        <w:tc>
          <w:tcPr>
            <w:tcW w:w="37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楷体" w:hAnsi="楷体" w:eastAsia="楷体"/>
                <w:b/>
                <w:bCs/>
                <w:sz w:val="32"/>
                <w:szCs w:val="32"/>
              </w:rPr>
            </w:pPr>
            <w:r>
              <w:rPr>
                <w:rFonts w:hint="eastAsia" w:ascii="楷体" w:hAnsi="楷体" w:eastAsia="楷体"/>
                <w:b/>
                <w:bCs/>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584" w:type="dxa"/>
            <w:vMerge w:val="continue"/>
            <w:tcBorders>
              <w:left w:val="single" w:color="auto" w:sz="12" w:space="0"/>
              <w:bottom w:val="single" w:color="auto" w:sz="4" w:space="0"/>
              <w:right w:val="single" w:color="auto" w:sz="4" w:space="0"/>
            </w:tcBorders>
            <w:vAlign w:val="center"/>
          </w:tcPr>
          <w:p>
            <w:pPr>
              <w:spacing w:line="480" w:lineRule="exact"/>
              <w:ind w:firstLine="321" w:firstLineChars="100"/>
              <w:jc w:val="center"/>
              <w:rPr>
                <w:rFonts w:ascii="楷体" w:hAnsi="楷体" w:eastAsia="楷体"/>
                <w:b/>
                <w:bCs/>
                <w:sz w:val="32"/>
                <w:szCs w:val="32"/>
              </w:rPr>
            </w:pPr>
          </w:p>
        </w:tc>
        <w:tc>
          <w:tcPr>
            <w:tcW w:w="167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李东伟</w:t>
            </w:r>
          </w:p>
        </w:tc>
        <w:tc>
          <w:tcPr>
            <w:tcW w:w="2577" w:type="dxa"/>
            <w:gridSpan w:val="4"/>
            <w:tcBorders>
              <w:top w:val="single" w:color="auto" w:sz="4" w:space="0"/>
              <w:left w:val="single" w:color="auto" w:sz="4" w:space="0"/>
              <w:bottom w:val="single" w:color="auto" w:sz="4" w:space="0"/>
              <w:right w:val="single" w:color="auto" w:sz="12" w:space="0"/>
            </w:tcBorders>
            <w:vAlign w:val="center"/>
          </w:tcPr>
          <w:p>
            <w:pPr>
              <w:jc w:val="center"/>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0755-82838216</w:t>
            </w:r>
          </w:p>
        </w:tc>
        <w:tc>
          <w:tcPr>
            <w:tcW w:w="3703" w:type="dxa"/>
            <w:gridSpan w:val="3"/>
            <w:tcBorders>
              <w:top w:val="single" w:color="auto" w:sz="4" w:space="0"/>
              <w:left w:val="single" w:color="auto" w:sz="4" w:space="0"/>
              <w:bottom w:val="single" w:color="auto" w:sz="4" w:space="0"/>
              <w:right w:val="single" w:color="auto" w:sz="12" w:space="0"/>
            </w:tcBorders>
            <w:vAlign w:val="center"/>
          </w:tcPr>
          <w:p>
            <w:pPr>
              <w:jc w:val="center"/>
              <w:rPr>
                <w:rFonts w:hint="eastAsia" w:ascii="楷体" w:hAnsi="楷体" w:eastAsia="楷体"/>
                <w:b w:val="0"/>
                <w:bCs w:val="0"/>
                <w:sz w:val="32"/>
                <w:szCs w:val="32"/>
                <w:lang w:val="en-US" w:eastAsia="zh-CN"/>
              </w:rPr>
            </w:pPr>
            <w:r>
              <w:rPr>
                <w:rFonts w:hint="eastAsia" w:ascii="楷体" w:hAnsi="楷体" w:eastAsia="楷体"/>
                <w:b w:val="0"/>
                <w:bCs w:val="0"/>
                <w:color w:val="auto"/>
                <w:sz w:val="32"/>
                <w:szCs w:val="32"/>
                <w:lang w:val="en-US" w:eastAsia="zh-CN"/>
              </w:rPr>
              <w:fldChar w:fldCharType="begin"/>
            </w:r>
            <w:r>
              <w:rPr>
                <w:rFonts w:hint="eastAsia" w:ascii="楷体" w:hAnsi="楷体" w:eastAsia="楷体"/>
                <w:b w:val="0"/>
                <w:bCs w:val="0"/>
                <w:color w:val="auto"/>
                <w:sz w:val="32"/>
                <w:szCs w:val="32"/>
                <w:lang w:val="en-US" w:eastAsia="zh-CN"/>
              </w:rPr>
              <w:instrText xml:space="preserve"> HYPERLINK "mailto:lidw@szpb.gov.cn" </w:instrText>
            </w:r>
            <w:r>
              <w:rPr>
                <w:rFonts w:hint="eastAsia" w:ascii="楷体" w:hAnsi="楷体" w:eastAsia="楷体"/>
                <w:b w:val="0"/>
                <w:bCs w:val="0"/>
                <w:color w:val="auto"/>
                <w:sz w:val="32"/>
                <w:szCs w:val="32"/>
                <w:lang w:val="en-US" w:eastAsia="zh-CN"/>
              </w:rPr>
              <w:fldChar w:fldCharType="separate"/>
            </w:r>
            <w:r>
              <w:rPr>
                <w:rStyle w:val="4"/>
                <w:rFonts w:hint="eastAsia" w:ascii="楷体" w:hAnsi="楷体" w:eastAsia="楷体"/>
                <w:b w:val="0"/>
                <w:bCs w:val="0"/>
                <w:color w:val="auto"/>
                <w:sz w:val="32"/>
                <w:szCs w:val="32"/>
                <w:lang w:val="en-US" w:eastAsia="zh-CN"/>
              </w:rPr>
              <w:t>lidw@szpb.gov.cn</w:t>
            </w:r>
            <w:r>
              <w:rPr>
                <w:rFonts w:hint="eastAsia" w:ascii="楷体" w:hAnsi="楷体" w:eastAsia="楷体"/>
                <w:b w:val="0"/>
                <w:bCs w:val="0"/>
                <w:color w:val="auto"/>
                <w:sz w:val="32"/>
                <w:szCs w:val="32"/>
                <w:lang w:val="en-US" w:eastAsia="zh-CN"/>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315F6697"/>
    <w:rsid w:val="39A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4507</Words>
  <Characters>4659</Characters>
  <Lines>0</Lines>
  <Paragraphs>0</Paragraphs>
  <TotalTime>1</TotalTime>
  <ScaleCrop>false</ScaleCrop>
  <LinksUpToDate>false</LinksUpToDate>
  <CharactersWithSpaces>4684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WPS_1581317969</cp:lastModifiedBy>
  <dcterms:modified xsi:type="dcterms:W3CDTF">2022-07-07T09:59:15Z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1C7210EA70AF40FDB20B7EC01ADB15D4</vt:lpwstr>
  </property>
</Properties>
</file>