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p>
    <w:p>
      <w:pPr>
        <w:adjustRightInd w:val="0"/>
        <w:snapToGrid w:val="0"/>
        <w:rPr>
          <w:rFonts w:ascii="宋体" w:hAnsi="宋体" w:cs="Arial"/>
          <w:b/>
          <w:bCs/>
          <w:sz w:val="44"/>
          <w:szCs w:val="44"/>
        </w:rPr>
      </w:pPr>
    </w:p>
    <w:p>
      <w:pPr>
        <w:adjustRightInd w:val="0"/>
        <w:snapToGrid w:val="0"/>
        <w:jc w:val="center"/>
        <w:rPr>
          <w:rFonts w:ascii="宋体" w:hAnsi="宋体" w:cs="Arial"/>
          <w:b/>
          <w:bCs/>
          <w:sz w:val="32"/>
          <w:szCs w:val="44"/>
        </w:rPr>
      </w:pPr>
      <w:r>
        <w:rPr>
          <w:rFonts w:hint="eastAsia" w:ascii="宋体" w:hAnsi="宋体" w:cs="Arial"/>
          <w:b/>
          <w:bCs/>
          <w:sz w:val="32"/>
          <w:szCs w:val="44"/>
        </w:rPr>
        <w:t>深圳新能源汽车行业高质量发展思路和扶持政策</w:t>
      </w:r>
      <w:r>
        <w:rPr>
          <w:rFonts w:hint="eastAsia" w:ascii="宋体" w:hAnsi="宋体" w:cs="Arial"/>
          <w:b/>
          <w:bCs/>
          <w:sz w:val="32"/>
          <w:szCs w:val="44"/>
          <w:lang w:eastAsia="zh-CN"/>
        </w:rPr>
        <w:t>预研</w:t>
      </w:r>
      <w:r>
        <w:rPr>
          <w:rFonts w:hint="eastAsia" w:ascii="宋体" w:hAnsi="宋体" w:cs="Arial"/>
          <w:b/>
          <w:bCs/>
          <w:sz w:val="32"/>
          <w:szCs w:val="44"/>
        </w:rPr>
        <w:t>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2</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深圳新能源汽车行业高质量发展思路和扶持政策</w:t>
      </w:r>
      <w:r>
        <w:rPr>
          <w:rFonts w:hint="eastAsia" w:ascii="宋体" w:hAnsi="宋体" w:cs="Arial"/>
          <w:b/>
          <w:bCs/>
          <w:sz w:val="44"/>
          <w:szCs w:val="44"/>
          <w:lang w:eastAsia="zh-CN"/>
        </w:rPr>
        <w:t>预研</w:t>
      </w:r>
      <w:r>
        <w:rPr>
          <w:rFonts w:hint="eastAsia" w:ascii="宋体" w:hAnsi="宋体" w:cs="Arial"/>
          <w:b/>
          <w:bCs/>
          <w:sz w:val="44"/>
          <w:szCs w:val="44"/>
        </w:rPr>
        <w:t>项目招标书</w:t>
      </w:r>
    </w:p>
    <w:p>
      <w:pPr>
        <w:spacing w:line="560" w:lineRule="exact"/>
        <w:ind w:firstLine="642" w:firstLineChars="200"/>
        <w:rPr>
          <w:rFonts w:ascii="黑体" w:hAnsi="黑体" w:eastAsia="黑体"/>
          <w:b/>
          <w:bCs/>
          <w:sz w:val="32"/>
          <w:szCs w:val="32"/>
        </w:rPr>
      </w:pP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（一）项目名称：深圳新能源汽车行业高质量发展思路和扶持政策研究。</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val="en-US" w:eastAsia="zh-CN"/>
        </w:rPr>
        <w:t>95</w:t>
      </w:r>
      <w:r>
        <w:rPr>
          <w:rFonts w:hint="eastAsia" w:ascii="仿宋_GB2312" w:hAnsi="仿宋" w:eastAsia="仿宋_GB2312" w:cs="仿宋_GB2312"/>
          <w:sz w:val="32"/>
          <w:szCs w:val="32"/>
        </w:rPr>
        <w:t>万元以下。</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1.开展全球新能源汽车产业发展形势研究。整理归纳各国新能源汽车政策和产业发展趋势，从新能源整车、动力电池、驱动电机、电控系统、充</w:t>
      </w:r>
      <w:r>
        <w:rPr>
          <w:rFonts w:hint="eastAsia" w:ascii="仿宋_GB2312" w:hAnsi="仿宋_GB2312" w:eastAsia="仿宋_GB2312" w:cs="仿宋_GB2312"/>
          <w:bCs/>
          <w:sz w:val="32"/>
          <w:szCs w:val="32"/>
          <w:lang w:eastAsia="zh-CN"/>
        </w:rPr>
        <w:t>（换）</w:t>
      </w:r>
      <w:r>
        <w:rPr>
          <w:rFonts w:hint="eastAsia" w:ascii="仿宋_GB2312" w:hAnsi="仿宋_GB2312" w:eastAsia="仿宋_GB2312" w:cs="仿宋_GB2312"/>
          <w:bCs/>
          <w:sz w:val="32"/>
          <w:szCs w:val="32"/>
        </w:rPr>
        <w:t>电设施等技术入手，综合考虑智能网联汽车</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bCs/>
          <w:sz w:val="32"/>
          <w:szCs w:val="32"/>
        </w:rPr>
        <w:t>氢燃料电池汽车等新兴技术领域，深入分析全球新能源汽车技术发展趋势，挖掘产业重点前沿领域。</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2.梳理</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新能源汽车产业发展现状。从</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新能源整车及核心零部件的整体产能及利用率入手，梳理</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新能源汽车产业布局的主要优势和短板，重点开展产业链供应链发展情况和行业地位梳理。深入分析我国新能源汽车技术的“卡脖子”环节</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梳理形成深圳市新能源汽车产业的技术优势环节和薄弱环节。</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3.研提</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新能源汽车产业发展思路。结合全球新能源汽车产业发展形势和</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发展现状，研提“十四五”期间产业整体发展思路和产业布局规划建议，形成新能源汽车产业链图谱、招商引资库、重点企业（产品）库、重点项目库、重点载体库、重点园区库、重点政策库等。</w:t>
      </w:r>
    </w:p>
    <w:p>
      <w:pPr>
        <w:adjustRightInd w:val="0"/>
        <w:snapToGrid w:val="0"/>
        <w:spacing w:line="560" w:lineRule="exact"/>
        <w:ind w:firstLine="640" w:firstLineChars="200"/>
        <w:outlineLvl w:val="0"/>
        <w:rPr>
          <w:rFonts w:ascii="仿宋_GB2312" w:hAnsi="仿宋_GB2312" w:eastAsia="仿宋_GB2312" w:cs="仿宋_GB2312"/>
          <w:bCs/>
          <w:sz w:val="32"/>
          <w:szCs w:val="32"/>
        </w:rPr>
      </w:pPr>
      <w:r>
        <w:rPr>
          <w:rFonts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研究深圳市</w:t>
      </w:r>
      <w:r>
        <w:rPr>
          <w:rFonts w:hint="eastAsia" w:ascii="仿宋_GB2312" w:hAnsi="仿宋_GB2312" w:eastAsia="仿宋_GB2312" w:cs="仿宋_GB2312"/>
          <w:bCs/>
          <w:sz w:val="32"/>
          <w:szCs w:val="32"/>
        </w:rPr>
        <w:t>新能源汽车产业支持政策。</w:t>
      </w:r>
      <w:r>
        <w:rPr>
          <w:rFonts w:hint="eastAsia" w:ascii="仿宋_GB2312" w:hAnsi="仿宋_GB2312" w:eastAsia="仿宋_GB2312" w:cs="仿宋_GB2312"/>
          <w:bCs/>
          <w:sz w:val="32"/>
          <w:szCs w:val="32"/>
          <w:lang w:eastAsia="zh-CN"/>
        </w:rPr>
        <w:t>结合深圳市</w:t>
      </w:r>
      <w:r>
        <w:rPr>
          <w:rFonts w:hint="eastAsia" w:ascii="仿宋_GB2312" w:hAnsi="仿宋_GB2312" w:eastAsia="仿宋_GB2312" w:cs="仿宋_GB2312"/>
          <w:bCs/>
          <w:sz w:val="32"/>
          <w:szCs w:val="32"/>
        </w:rPr>
        <w:t>新能源汽车产业梳理成果，编制支持</w:t>
      </w:r>
      <w:r>
        <w:rPr>
          <w:rFonts w:hint="eastAsia" w:ascii="仿宋_GB2312" w:hAnsi="仿宋_GB2312" w:eastAsia="仿宋_GB2312" w:cs="仿宋_GB2312"/>
          <w:bCs/>
          <w:sz w:val="32"/>
          <w:szCs w:val="32"/>
          <w:lang w:eastAsia="zh-CN"/>
        </w:rPr>
        <w:t>深圳市</w:t>
      </w:r>
      <w:r>
        <w:rPr>
          <w:rFonts w:hint="eastAsia" w:ascii="仿宋_GB2312" w:hAnsi="仿宋_GB2312" w:eastAsia="仿宋_GB2312" w:cs="仿宋_GB2312"/>
          <w:bCs/>
          <w:sz w:val="32"/>
          <w:szCs w:val="32"/>
        </w:rPr>
        <w:t>新能源汽车产业高质量发展的若干政策措施，在重点企业招引、重大项目推进、重点载体建设等方面给予支持。</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三、项目</w:t>
      </w:r>
      <w:r>
        <w:rPr>
          <w:rFonts w:hint="eastAsia" w:ascii="黑体" w:hAnsi="黑体" w:eastAsia="黑体"/>
          <w:b/>
          <w:bCs/>
          <w:sz w:val="32"/>
          <w:szCs w:val="32"/>
          <w:lang w:eastAsia="zh-CN"/>
        </w:rPr>
        <w:t>实施</w:t>
      </w:r>
      <w:r>
        <w:rPr>
          <w:rFonts w:hint="eastAsia" w:ascii="黑体" w:hAnsi="黑体" w:eastAsia="黑体"/>
          <w:b/>
          <w:bCs/>
          <w:sz w:val="32"/>
          <w:szCs w:val="32"/>
        </w:rPr>
        <w:t>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（二）研究过程中应当进行深入调查研究，充分把握深圳现有基础条件、存在问题等相关信息和基础资料。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（三）研究成果要具有前瞻性，充分把握产业未来发展趋势；具有系统性，研究成果要体系完整、内容全面、材料丰富；具有实用性，研究成果符合深圳实际，针对性和可操作性强。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提交研究成果纸</w:t>
      </w:r>
      <w:r>
        <w:rPr>
          <w:rFonts w:hint="eastAsia" w:ascii="仿宋_GB2312" w:hAnsi="仿宋_GB2312" w:eastAsia="仿宋_GB2312" w:cs="仿宋_GB2312"/>
          <w:sz w:val="32"/>
          <w:szCs w:val="24"/>
        </w:rPr>
        <w:t>质版10份</w:t>
      </w:r>
      <w:r>
        <w:rPr>
          <w:rFonts w:hint="eastAsia" w:ascii="Times New Roman" w:hAnsi="Times New Roman" w:eastAsia="仿宋_GB2312"/>
          <w:sz w:val="32"/>
          <w:szCs w:val="24"/>
        </w:rPr>
        <w:t>和电子版，文件能够简明扼要介绍成果核心内容与主要结论。</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（一）投标</w:t>
      </w:r>
      <w:r>
        <w:rPr>
          <w:rFonts w:ascii="仿宋_GB2312" w:hAnsi="仿宋_GB2312" w:eastAsia="仿宋_GB2312" w:cs="仿宋_GB2312"/>
          <w:sz w:val="32"/>
          <w:szCs w:val="24"/>
        </w:rPr>
        <w:t>时间：</w:t>
      </w:r>
      <w:r>
        <w:rPr>
          <w:rFonts w:ascii="仿宋_GB2312" w:hAnsi="仿宋_GB2312" w:eastAsia="仿宋_GB2312" w:cs="仿宋_GB2312"/>
          <w:sz w:val="32"/>
          <w:szCs w:val="24"/>
          <w:highlight w:val="none"/>
        </w:rPr>
        <w:t>202</w:t>
      </w:r>
      <w:r>
        <w:rPr>
          <w:rFonts w:hint="eastAsia" w:ascii="仿宋_GB2312" w:hAnsi="仿宋_GB2312" w:eastAsia="仿宋_GB2312" w:cs="仿宋_GB2312"/>
          <w:sz w:val="32"/>
          <w:szCs w:val="24"/>
          <w:highlight w:val="none"/>
          <w:lang w:val="en-US" w:eastAsia="zh-CN"/>
        </w:rPr>
        <w:t>2</w:t>
      </w:r>
      <w:r>
        <w:rPr>
          <w:rFonts w:ascii="仿宋_GB2312" w:hAnsi="仿宋_GB2312" w:eastAsia="仿宋_GB2312" w:cs="仿宋_GB2312"/>
          <w:sz w:val="32"/>
          <w:szCs w:val="24"/>
          <w:highlight w:val="none"/>
        </w:rPr>
        <w:t>年</w:t>
      </w:r>
      <w:r>
        <w:rPr>
          <w:rFonts w:hint="eastAsia" w:ascii="仿宋_GB2312" w:hAnsi="仿宋_GB2312" w:eastAsia="仿宋_GB2312" w:cs="仿宋_GB2312"/>
          <w:sz w:val="32"/>
          <w:szCs w:val="24"/>
          <w:highlight w:val="none"/>
          <w:lang w:val="en-US" w:eastAsia="zh-CN"/>
        </w:rPr>
        <w:t>4</w:t>
      </w:r>
      <w:r>
        <w:rPr>
          <w:rFonts w:ascii="仿宋_GB2312" w:hAnsi="仿宋_GB2312" w:eastAsia="仿宋_GB2312" w:cs="仿宋_GB2312"/>
          <w:sz w:val="32"/>
          <w:szCs w:val="24"/>
          <w:highlight w:val="none"/>
        </w:rPr>
        <w:t>月</w:t>
      </w:r>
      <w:r>
        <w:rPr>
          <w:rFonts w:hint="eastAsia" w:ascii="仿宋_GB2312" w:hAnsi="仿宋_GB2312" w:eastAsia="仿宋_GB2312" w:cs="仿宋_GB2312"/>
          <w:sz w:val="32"/>
          <w:szCs w:val="24"/>
          <w:highlight w:val="none"/>
          <w:lang w:val="en-US" w:eastAsia="zh-CN"/>
        </w:rPr>
        <w:t>21</w:t>
      </w:r>
      <w:r>
        <w:rPr>
          <w:rFonts w:ascii="仿宋_GB2312" w:hAnsi="仿宋_GB2312" w:eastAsia="仿宋_GB2312" w:cs="仿宋_GB2312"/>
          <w:sz w:val="32"/>
          <w:szCs w:val="24"/>
          <w:highlight w:val="none"/>
        </w:rPr>
        <w:t>日至202</w:t>
      </w:r>
      <w:r>
        <w:rPr>
          <w:rFonts w:hint="eastAsia" w:ascii="仿宋_GB2312" w:hAnsi="仿宋_GB2312" w:eastAsia="仿宋_GB2312" w:cs="仿宋_GB2312"/>
          <w:sz w:val="32"/>
          <w:szCs w:val="24"/>
          <w:highlight w:val="none"/>
          <w:lang w:val="en-US" w:eastAsia="zh-CN"/>
        </w:rPr>
        <w:t>2</w:t>
      </w:r>
      <w:r>
        <w:rPr>
          <w:rFonts w:ascii="仿宋_GB2312" w:hAnsi="仿宋_GB2312" w:eastAsia="仿宋_GB2312" w:cs="仿宋_GB2312"/>
          <w:sz w:val="32"/>
          <w:szCs w:val="24"/>
          <w:highlight w:val="none"/>
        </w:rPr>
        <w:t>年</w:t>
      </w:r>
      <w:r>
        <w:rPr>
          <w:rFonts w:hint="eastAsia" w:ascii="仿宋_GB2312" w:hAnsi="仿宋_GB2312" w:eastAsia="仿宋_GB2312" w:cs="仿宋_GB2312"/>
          <w:sz w:val="32"/>
          <w:szCs w:val="24"/>
          <w:highlight w:val="none"/>
          <w:lang w:val="en-US" w:eastAsia="zh-CN"/>
        </w:rPr>
        <w:t>5</w:t>
      </w:r>
      <w:r>
        <w:rPr>
          <w:rFonts w:ascii="仿宋_GB2312" w:hAnsi="仿宋_GB2312" w:eastAsia="仿宋_GB2312" w:cs="仿宋_GB2312"/>
          <w:sz w:val="32"/>
          <w:szCs w:val="24"/>
          <w:highlight w:val="none"/>
        </w:rPr>
        <w:t>月</w:t>
      </w:r>
      <w:r>
        <w:rPr>
          <w:rFonts w:hint="eastAsia" w:ascii="仿宋_GB2312" w:hAnsi="仿宋_GB2312" w:eastAsia="仿宋_GB2312" w:cs="仿宋_GB2312"/>
          <w:sz w:val="32"/>
          <w:szCs w:val="24"/>
          <w:highlight w:val="none"/>
          <w:lang w:val="en-US" w:eastAsia="zh-CN"/>
        </w:rPr>
        <w:t>5</w:t>
      </w:r>
      <w:bookmarkStart w:id="0" w:name="_GoBack"/>
      <w:bookmarkEnd w:id="0"/>
      <w:r>
        <w:rPr>
          <w:rFonts w:ascii="仿宋_GB2312" w:hAnsi="仿宋_GB2312" w:eastAsia="仿宋_GB2312" w:cs="仿宋_GB2312"/>
          <w:sz w:val="32"/>
          <w:szCs w:val="24"/>
          <w:highlight w:val="none"/>
        </w:rPr>
        <w:t>日，每日上午9:00-12:00，下午2:00-5:45（节假日除外）。逾期未投标将不再受理</w:t>
      </w:r>
      <w:r>
        <w:rPr>
          <w:rFonts w:hint="eastAsia" w:ascii="Times New Roman" w:hAnsi="Times New Roman" w:eastAsia="仿宋_GB2312"/>
          <w:sz w:val="32"/>
          <w:szCs w:val="24"/>
          <w:highlight w:val="none"/>
        </w:rPr>
        <w:t>。</w:t>
      </w:r>
    </w:p>
    <w:p>
      <w:pPr>
        <w:spacing w:line="560" w:lineRule="exact"/>
        <w:ind w:firstLine="640" w:firstLineChars="200"/>
        <w:rPr>
          <w:rFonts w:ascii="仿宋_GB2312" w:hAnsi="仿宋_GB2312" w:eastAsia="仿宋_GB2312" w:cs="仿宋_GB2312"/>
          <w:sz w:val="32"/>
          <w:szCs w:val="24"/>
        </w:rPr>
      </w:pPr>
      <w:r>
        <w:rPr>
          <w:rFonts w:hint="eastAsia" w:ascii="Times New Roman" w:hAnsi="Times New Roman" w:eastAsia="仿宋_GB2312"/>
          <w:sz w:val="32"/>
          <w:szCs w:val="24"/>
        </w:rPr>
        <w:t>（二）投</w:t>
      </w:r>
      <w:r>
        <w:rPr>
          <w:rFonts w:ascii="仿宋_GB2312" w:hAnsi="仿宋_GB2312" w:eastAsia="仿宋_GB2312" w:cs="仿宋_GB2312"/>
          <w:sz w:val="32"/>
          <w:szCs w:val="24"/>
        </w:rPr>
        <w:t>标地点：深圳市福田区福中三路市民中心B区行政服务大厅2号市发展和改革委卡座（可邮寄，以送达日期为投标日期）。</w:t>
      </w:r>
    </w:p>
    <w:p>
      <w:pPr>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（三）联系人：</w:t>
      </w:r>
      <w:r>
        <w:rPr>
          <w:rFonts w:hint="eastAsia" w:ascii="Times New Roman" w:hAnsi="Times New Roman" w:eastAsia="仿宋_GB2312"/>
          <w:sz w:val="32"/>
          <w:szCs w:val="24"/>
          <w:lang w:val="en-US" w:eastAsia="zh-CN"/>
        </w:rPr>
        <w:t>郑静宇</w:t>
      </w:r>
      <w:r>
        <w:rPr>
          <w:rFonts w:ascii="仿宋_GB2312" w:hAnsi="仿宋_GB2312" w:eastAsia="仿宋_GB2312" w:cs="仿宋_GB2312"/>
          <w:sz w:val="32"/>
          <w:szCs w:val="24"/>
        </w:rPr>
        <w:t>，0755-8812</w:t>
      </w:r>
      <w:r>
        <w:rPr>
          <w:rFonts w:hint="eastAsia" w:ascii="仿宋_GB2312" w:hAnsi="仿宋_GB2312" w:eastAsia="仿宋_GB2312" w:cs="仿宋_GB2312"/>
          <w:sz w:val="32"/>
          <w:szCs w:val="24"/>
          <w:lang w:val="en-US" w:eastAsia="zh-CN"/>
        </w:rPr>
        <w:t>5311</w:t>
      </w:r>
      <w:r>
        <w:rPr>
          <w:rFonts w:ascii="仿宋_GB2312" w:hAnsi="仿宋_GB2312" w:eastAsia="仿宋_GB2312" w:cs="仿宋_GB2312"/>
          <w:sz w:val="32"/>
          <w:szCs w:val="24"/>
        </w:rPr>
        <w:t>。</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（一）投标单位简介、投标人营业执照及相关证照（提供加盖公章的复印件，原件备查）。</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（二）法定代表人证明书及授权委托书（原件加盖公章）。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（三）法定代表人及受委托人身份证复印件（复印件加盖公章）。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（四）项目方案及报价单（原件加盖公章）。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（五）投标人相关领域/项目经验证明材料（复印件加盖公章）。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（六）投标人无重大违法记录声明函（原件加盖公章，格式自拟）。</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（七）投标及履约承诺函原件（格式见附件）。</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（八）住所地不在深圳的投标人应提供营业场所证明原件。</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（九）投标人认为有必要提供的其它材料。</w:t>
      </w:r>
    </w:p>
    <w:p>
      <w:pPr>
        <w:adjustRightInd w:val="0"/>
        <w:snapToGrid w:val="0"/>
        <w:spacing w:line="560" w:lineRule="exact"/>
        <w:ind w:firstLine="640" w:firstLineChars="200"/>
        <w:rPr>
          <w:rFonts w:hint="eastAsia" w:ascii="仿宋_GB2312" w:hAnsi="Times New Roman" w:eastAsia="仿宋_GB2312" w:cs="Times New Roman"/>
          <w:bCs/>
          <w:sz w:val="32"/>
          <w:szCs w:val="32"/>
          <w:lang w:eastAsia="zh-CN"/>
        </w:rPr>
      </w:pPr>
      <w:r>
        <w:rPr>
          <w:rFonts w:hint="eastAsia" w:ascii="仿宋_GB2312" w:hAnsi="Times New Roman" w:eastAsia="仿宋_GB2312" w:cs="Times New Roman"/>
          <w:bCs/>
          <w:sz w:val="32"/>
          <w:szCs w:val="32"/>
        </w:rPr>
        <w:t>投标文件</w:t>
      </w:r>
      <w:r>
        <w:rPr>
          <w:rFonts w:hint="eastAsia" w:ascii="仿宋_GB2312" w:hAnsi="Times New Roman" w:eastAsia="仿宋_GB2312" w:cs="Times New Roman"/>
          <w:bCs/>
          <w:sz w:val="32"/>
          <w:szCs w:val="32"/>
          <w:lang w:eastAsia="zh-CN"/>
        </w:rPr>
        <w:t>纸质版</w:t>
      </w:r>
      <w:r>
        <w:rPr>
          <w:rFonts w:hint="eastAsia" w:ascii="仿宋_GB2312" w:hAnsi="Times New Roman" w:eastAsia="仿宋_GB2312" w:cs="Times New Roman"/>
          <w:bCs/>
          <w:sz w:val="32"/>
          <w:szCs w:val="32"/>
        </w:rPr>
        <w:t>一式三份</w:t>
      </w:r>
      <w:r>
        <w:rPr>
          <w:rFonts w:hint="eastAsia" w:ascii="仿宋_GB2312" w:hAnsi="Times New Roman" w:eastAsia="仿宋_GB2312" w:cs="Times New Roman"/>
          <w:bCs/>
          <w:sz w:val="32"/>
          <w:szCs w:val="32"/>
          <w:lang w:eastAsia="zh-CN"/>
        </w:rPr>
        <w:t>和电子版</w:t>
      </w:r>
      <w:r>
        <w:rPr>
          <w:rFonts w:hint="eastAsia" w:ascii="仿宋_GB2312" w:hAnsi="Times New Roman" w:eastAsia="仿宋_GB2312" w:cs="Times New Roman"/>
          <w:bCs/>
          <w:sz w:val="32"/>
          <w:szCs w:val="32"/>
          <w:lang w:val="en-US" w:eastAsia="zh-CN"/>
        </w:rPr>
        <w:t>PDF扫描件</w:t>
      </w:r>
      <w:r>
        <w:rPr>
          <w:rFonts w:hint="eastAsia" w:ascii="仿宋_GB2312" w:hAnsi="Times New Roman" w:eastAsia="仿宋_GB2312" w:cs="Times New Roman"/>
          <w:bCs/>
          <w:sz w:val="32"/>
          <w:szCs w:val="32"/>
          <w:lang w:eastAsia="zh-CN"/>
        </w:rPr>
        <w:t>一份（光盘）</w:t>
      </w:r>
      <w:r>
        <w:rPr>
          <w:rFonts w:hint="eastAsia" w:ascii="仿宋_GB2312" w:hAnsi="Times New Roman" w:eastAsia="仿宋_GB2312" w:cs="Times New Roman"/>
          <w:bCs/>
          <w:sz w:val="32"/>
          <w:szCs w:val="32"/>
        </w:rPr>
        <w:t>，整套材料密封并加盖骑缝章，封面注明投标人的名称、地址、联系人及手机号码。</w:t>
      </w:r>
    </w:p>
    <w:p>
      <w:pPr>
        <w:adjustRightInd w:val="0"/>
        <w:snapToGrid w:val="0"/>
        <w:spacing w:line="560" w:lineRule="exact"/>
        <w:ind w:firstLine="642"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投标单位有下列情况之一的，其投标将被拒绝或作无效投标处理：</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（一）未在规定时间内将投标文件送达规定地点的。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（二）投标人不具备投标资格要求，或未提交相应资格证明材料。</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（三）投标文件未按规定密封、签字、盖章。</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（四）投标文件无法定代表人签字或无法定代表人有效授权委托的。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（五）分项报价或投标总价高于预算金额（最高投标限价）的。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（六）同一项目出现两个及以上报价，且按规定无法确定哪个是有效报价。</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（八）所投服务在质量、技术、方案等方面没有实质性满足招标文件要求。</w:t>
      </w:r>
    </w:p>
    <w:p>
      <w:pPr>
        <w:adjustRightInd w:val="0"/>
        <w:snapToGrid w:val="0"/>
        <w:spacing w:line="560" w:lineRule="exact"/>
        <w:ind w:firstLine="640" w:firstLineChars="200"/>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（九）法律、法规规定的其他情形。</w:t>
      </w:r>
    </w:p>
    <w:p>
      <w:pPr>
        <w:adjustRightInd w:val="0"/>
        <w:snapToGrid w:val="0"/>
        <w:spacing w:line="560" w:lineRule="exact"/>
        <w:ind w:firstLine="642"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9"/>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9"/>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实施方案</w:t>
            </w:r>
          </w:p>
        </w:tc>
        <w:tc>
          <w:tcPr>
            <w:tcW w:w="4678" w:type="dxa"/>
          </w:tcPr>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质量保障措施及方案</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spacing w:line="300" w:lineRule="exact"/>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违约承诺</w:t>
            </w:r>
          </w:p>
        </w:tc>
        <w:tc>
          <w:tcPr>
            <w:tcW w:w="4678" w:type="dxa"/>
          </w:tcPr>
          <w:p>
            <w:pPr>
              <w:spacing w:line="300" w:lineRule="exact"/>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spacing w:line="300" w:lineRule="exact"/>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45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牵头承担过国家、省或市级政策研究、规划编制、制度评估，按国家级每项20%、省级每项15%、市级每项10%进行计分，最高得分不超过100%。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投标人获奖情况</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spacing w:line="300" w:lineRule="exact"/>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spacing w:line="300" w:lineRule="exact"/>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spacing w:line="300" w:lineRule="exact"/>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spacing w:line="300" w:lineRule="exact"/>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spacing w:line="300" w:lineRule="exact"/>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spacing w:line="300" w:lineRule="exact"/>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20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spacing w:line="300" w:lineRule="exact"/>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spacing w:line="300" w:lineRule="exact"/>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spacing w:line="300" w:lineRule="exact"/>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spacing w:line="300" w:lineRule="exact"/>
              <w:jc w:val="left"/>
              <w:rPr>
                <w:rFonts w:ascii="宋体" w:hAnsi="宋体"/>
                <w:bCs/>
                <w:sz w:val="22"/>
                <w:szCs w:val="24"/>
              </w:rPr>
            </w:pPr>
            <w:r>
              <w:rPr>
                <w:rFonts w:hint="eastAsia" w:ascii="宋体" w:hAnsi="宋体"/>
                <w:bCs/>
                <w:sz w:val="22"/>
                <w:szCs w:val="24"/>
              </w:rPr>
              <w:t>备注：</w:t>
            </w:r>
          </w:p>
          <w:p>
            <w:pPr>
              <w:spacing w:line="300" w:lineRule="exact"/>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spacing w:line="300" w:lineRule="exact"/>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20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spacing w:line="300" w:lineRule="exact"/>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spacing w:line="300" w:lineRule="exact"/>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_GB2312" w:hAnsi="宋体" w:eastAsia="仿宋_GB2312" w:cs="仿宋_GB2312"/>
          <w:sz w:val="32"/>
          <w:szCs w:val="22"/>
        </w:rPr>
      </w:pPr>
      <w:r>
        <w:rPr>
          <w:rFonts w:ascii="仿宋" w:hAnsi="仿宋" w:eastAsia="仿宋" w:cs="仿宋_GB2312"/>
          <w:sz w:val="32"/>
          <w:szCs w:val="32"/>
        </w:rPr>
        <w:br w:type="page"/>
      </w:r>
      <w:r>
        <w:rPr>
          <w:rFonts w:hint="eastAsia" w:ascii="黑体" w:hAnsi="黑体" w:eastAsia="黑体" w:cs="黑体"/>
          <w:sz w:val="32"/>
          <w:szCs w:val="22"/>
        </w:rPr>
        <w:t>附件</w:t>
      </w:r>
    </w:p>
    <w:p>
      <w:pPr>
        <w:adjustRightInd w:val="0"/>
        <w:snapToGrid w:val="0"/>
        <w:spacing w:line="600" w:lineRule="exact"/>
        <w:jc w:val="center"/>
        <w:rPr>
          <w:rFonts w:ascii="宋体" w:hAnsi="宋体" w:cs="宋体"/>
          <w:b/>
          <w:bCs/>
          <w:sz w:val="44"/>
          <w:szCs w:val="44"/>
        </w:rPr>
      </w:pPr>
    </w:p>
    <w:p>
      <w:pPr>
        <w:adjustRightInd w:val="0"/>
        <w:snapToGrid w:val="0"/>
        <w:spacing w:line="600" w:lineRule="exact"/>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600" w:lineRule="exact"/>
        <w:jc w:val="center"/>
        <w:rPr>
          <w:rFonts w:ascii="宋体" w:hAnsi="宋体" w:cs="宋体"/>
          <w:b/>
          <w:bCs/>
          <w:sz w:val="32"/>
          <w:szCs w:val="32"/>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Arial Unicode MS">
    <w:altName w:val="DejaVu Sans"/>
    <w:panose1 w:val="020B0604020202020204"/>
    <w:charset w:val="86"/>
    <w:family w:val="swiss"/>
    <w:pitch w:val="default"/>
    <w:sig w:usb0="00000000" w:usb1="00000000" w:usb2="0000003F" w:usb3="00000000" w:csb0="003F01FF" w:csb1="00000000"/>
  </w:font>
  <w:font w:name="隶书">
    <w:altName w:val="方正隶书_GBK"/>
    <w:panose1 w:val="02010509060101010101"/>
    <w:charset w:val="86"/>
    <w:family w:val="modern"/>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auto"/>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46148"/>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14A96"/>
    <w:rsid w:val="00121A5C"/>
    <w:rsid w:val="001275A8"/>
    <w:rsid w:val="00142DE7"/>
    <w:rsid w:val="0014446E"/>
    <w:rsid w:val="0015294D"/>
    <w:rsid w:val="001544E0"/>
    <w:rsid w:val="00155FBC"/>
    <w:rsid w:val="001569AE"/>
    <w:rsid w:val="00161E92"/>
    <w:rsid w:val="0017605A"/>
    <w:rsid w:val="0017760C"/>
    <w:rsid w:val="00180298"/>
    <w:rsid w:val="0018063F"/>
    <w:rsid w:val="001816F2"/>
    <w:rsid w:val="0018290A"/>
    <w:rsid w:val="00194D6A"/>
    <w:rsid w:val="00197FDE"/>
    <w:rsid w:val="001B1506"/>
    <w:rsid w:val="001B20D4"/>
    <w:rsid w:val="001B35A8"/>
    <w:rsid w:val="001C71B0"/>
    <w:rsid w:val="001D3DDB"/>
    <w:rsid w:val="001D642A"/>
    <w:rsid w:val="001E3A97"/>
    <w:rsid w:val="001E510D"/>
    <w:rsid w:val="001E607C"/>
    <w:rsid w:val="001F2F3C"/>
    <w:rsid w:val="001F5348"/>
    <w:rsid w:val="001F6A98"/>
    <w:rsid w:val="001F7840"/>
    <w:rsid w:val="002038CD"/>
    <w:rsid w:val="00210D6E"/>
    <w:rsid w:val="0021135C"/>
    <w:rsid w:val="002121C1"/>
    <w:rsid w:val="00212BC7"/>
    <w:rsid w:val="00214514"/>
    <w:rsid w:val="00221CF1"/>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1DA8"/>
    <w:rsid w:val="00312DB9"/>
    <w:rsid w:val="003179F2"/>
    <w:rsid w:val="0032247C"/>
    <w:rsid w:val="00327683"/>
    <w:rsid w:val="00336A84"/>
    <w:rsid w:val="00342105"/>
    <w:rsid w:val="003443C6"/>
    <w:rsid w:val="00344896"/>
    <w:rsid w:val="00346AEE"/>
    <w:rsid w:val="00351547"/>
    <w:rsid w:val="00351C24"/>
    <w:rsid w:val="003614DA"/>
    <w:rsid w:val="00362DD6"/>
    <w:rsid w:val="00363DB3"/>
    <w:rsid w:val="00386203"/>
    <w:rsid w:val="00387586"/>
    <w:rsid w:val="00390720"/>
    <w:rsid w:val="00397D57"/>
    <w:rsid w:val="003A13A2"/>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4F64F1"/>
    <w:rsid w:val="00502316"/>
    <w:rsid w:val="00512272"/>
    <w:rsid w:val="0052066F"/>
    <w:rsid w:val="005210B7"/>
    <w:rsid w:val="00522B7F"/>
    <w:rsid w:val="005236DE"/>
    <w:rsid w:val="005250D0"/>
    <w:rsid w:val="0052765E"/>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442"/>
    <w:rsid w:val="005D2DBD"/>
    <w:rsid w:val="005D5595"/>
    <w:rsid w:val="005D5955"/>
    <w:rsid w:val="005D7389"/>
    <w:rsid w:val="005F42B7"/>
    <w:rsid w:val="00602908"/>
    <w:rsid w:val="00603F35"/>
    <w:rsid w:val="00606C77"/>
    <w:rsid w:val="00614414"/>
    <w:rsid w:val="0061590B"/>
    <w:rsid w:val="00625492"/>
    <w:rsid w:val="00626F53"/>
    <w:rsid w:val="00633239"/>
    <w:rsid w:val="00633C39"/>
    <w:rsid w:val="0064083A"/>
    <w:rsid w:val="00642642"/>
    <w:rsid w:val="006466F1"/>
    <w:rsid w:val="00667D11"/>
    <w:rsid w:val="006719B6"/>
    <w:rsid w:val="006724C7"/>
    <w:rsid w:val="0067396E"/>
    <w:rsid w:val="00675528"/>
    <w:rsid w:val="00693E4E"/>
    <w:rsid w:val="006A2133"/>
    <w:rsid w:val="006C170C"/>
    <w:rsid w:val="006C2A59"/>
    <w:rsid w:val="006C4AD8"/>
    <w:rsid w:val="006C5AAD"/>
    <w:rsid w:val="006D34ED"/>
    <w:rsid w:val="006D43DB"/>
    <w:rsid w:val="006D7442"/>
    <w:rsid w:val="006E0123"/>
    <w:rsid w:val="006E3E75"/>
    <w:rsid w:val="006E5EC1"/>
    <w:rsid w:val="006E64BB"/>
    <w:rsid w:val="006F22B1"/>
    <w:rsid w:val="0071108F"/>
    <w:rsid w:val="00713126"/>
    <w:rsid w:val="00713D58"/>
    <w:rsid w:val="007261F8"/>
    <w:rsid w:val="007271F7"/>
    <w:rsid w:val="007366B8"/>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03B7"/>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719CF"/>
    <w:rsid w:val="00973462"/>
    <w:rsid w:val="00976494"/>
    <w:rsid w:val="00977802"/>
    <w:rsid w:val="009873C9"/>
    <w:rsid w:val="009910FD"/>
    <w:rsid w:val="0099769F"/>
    <w:rsid w:val="009A0980"/>
    <w:rsid w:val="009A27D6"/>
    <w:rsid w:val="009B1BCF"/>
    <w:rsid w:val="009B37E4"/>
    <w:rsid w:val="009B4668"/>
    <w:rsid w:val="009B75E6"/>
    <w:rsid w:val="009C378C"/>
    <w:rsid w:val="009C556B"/>
    <w:rsid w:val="009C5D57"/>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716A3"/>
    <w:rsid w:val="00A717A7"/>
    <w:rsid w:val="00A73054"/>
    <w:rsid w:val="00A75EAC"/>
    <w:rsid w:val="00A84341"/>
    <w:rsid w:val="00A9093A"/>
    <w:rsid w:val="00A94D28"/>
    <w:rsid w:val="00A97A0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38D1"/>
    <w:rsid w:val="00B67D61"/>
    <w:rsid w:val="00B74AC0"/>
    <w:rsid w:val="00B7696A"/>
    <w:rsid w:val="00B82F55"/>
    <w:rsid w:val="00B86F7E"/>
    <w:rsid w:val="00B9388B"/>
    <w:rsid w:val="00B93929"/>
    <w:rsid w:val="00B9539E"/>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D5351"/>
    <w:rsid w:val="00CE0F8E"/>
    <w:rsid w:val="00CE1F1E"/>
    <w:rsid w:val="00CF6F23"/>
    <w:rsid w:val="00D00592"/>
    <w:rsid w:val="00D06210"/>
    <w:rsid w:val="00D07043"/>
    <w:rsid w:val="00D12A2B"/>
    <w:rsid w:val="00D1589D"/>
    <w:rsid w:val="00D21C1D"/>
    <w:rsid w:val="00D24698"/>
    <w:rsid w:val="00D25868"/>
    <w:rsid w:val="00D25C47"/>
    <w:rsid w:val="00D2660C"/>
    <w:rsid w:val="00D30E9B"/>
    <w:rsid w:val="00D316F6"/>
    <w:rsid w:val="00D43F53"/>
    <w:rsid w:val="00D45768"/>
    <w:rsid w:val="00D45F2D"/>
    <w:rsid w:val="00D47344"/>
    <w:rsid w:val="00D52A2E"/>
    <w:rsid w:val="00D55F1E"/>
    <w:rsid w:val="00D6072F"/>
    <w:rsid w:val="00D64D20"/>
    <w:rsid w:val="00D75ED0"/>
    <w:rsid w:val="00D76346"/>
    <w:rsid w:val="00D7776E"/>
    <w:rsid w:val="00D9607B"/>
    <w:rsid w:val="00DA776A"/>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0EFC"/>
    <w:rsid w:val="00EC337A"/>
    <w:rsid w:val="00EE0506"/>
    <w:rsid w:val="00EE2341"/>
    <w:rsid w:val="00EE23B4"/>
    <w:rsid w:val="00EE244A"/>
    <w:rsid w:val="00EE2D8F"/>
    <w:rsid w:val="00EF20EC"/>
    <w:rsid w:val="00F01972"/>
    <w:rsid w:val="00F01E8C"/>
    <w:rsid w:val="00F02BFB"/>
    <w:rsid w:val="00F03D5C"/>
    <w:rsid w:val="00F07DB6"/>
    <w:rsid w:val="00F17CBD"/>
    <w:rsid w:val="00F20658"/>
    <w:rsid w:val="00F222DE"/>
    <w:rsid w:val="00F34F92"/>
    <w:rsid w:val="00F35096"/>
    <w:rsid w:val="00F51166"/>
    <w:rsid w:val="00F55583"/>
    <w:rsid w:val="00F55B09"/>
    <w:rsid w:val="00F64707"/>
    <w:rsid w:val="00F749D4"/>
    <w:rsid w:val="00F82281"/>
    <w:rsid w:val="00F831E8"/>
    <w:rsid w:val="00F95FF3"/>
    <w:rsid w:val="00F96916"/>
    <w:rsid w:val="00FA0FF2"/>
    <w:rsid w:val="00FA2F56"/>
    <w:rsid w:val="00FA6B2D"/>
    <w:rsid w:val="00FB2C4D"/>
    <w:rsid w:val="00FB2E08"/>
    <w:rsid w:val="00FC012F"/>
    <w:rsid w:val="00FC043D"/>
    <w:rsid w:val="00FD0E06"/>
    <w:rsid w:val="00FD3295"/>
    <w:rsid w:val="00FE7290"/>
    <w:rsid w:val="00FF7D16"/>
    <w:rsid w:val="01FB42C6"/>
    <w:rsid w:val="02E52B28"/>
    <w:rsid w:val="03633F51"/>
    <w:rsid w:val="03D32EAA"/>
    <w:rsid w:val="03E74C94"/>
    <w:rsid w:val="0458359F"/>
    <w:rsid w:val="04AC7867"/>
    <w:rsid w:val="05BF313C"/>
    <w:rsid w:val="0638566B"/>
    <w:rsid w:val="06905EF8"/>
    <w:rsid w:val="07547D1A"/>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9F92E03"/>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B03C19"/>
    <w:rsid w:val="38DE104D"/>
    <w:rsid w:val="3A5A302E"/>
    <w:rsid w:val="3B3D8CF6"/>
    <w:rsid w:val="3B530682"/>
    <w:rsid w:val="3C6F180D"/>
    <w:rsid w:val="3CAA0266"/>
    <w:rsid w:val="3D5B7F96"/>
    <w:rsid w:val="3D7B6833"/>
    <w:rsid w:val="3DE4598C"/>
    <w:rsid w:val="3F3D4B30"/>
    <w:rsid w:val="3F6FE96D"/>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DF91EBF"/>
    <w:rsid w:val="4E65512B"/>
    <w:rsid w:val="50BB74C3"/>
    <w:rsid w:val="510E7D43"/>
    <w:rsid w:val="51332769"/>
    <w:rsid w:val="52257453"/>
    <w:rsid w:val="5432033C"/>
    <w:rsid w:val="548E769A"/>
    <w:rsid w:val="562F58B6"/>
    <w:rsid w:val="571E4E32"/>
    <w:rsid w:val="57B928BB"/>
    <w:rsid w:val="57F944FA"/>
    <w:rsid w:val="57FF38FB"/>
    <w:rsid w:val="59FE016B"/>
    <w:rsid w:val="5BB73298"/>
    <w:rsid w:val="5C930E64"/>
    <w:rsid w:val="5D7E01AD"/>
    <w:rsid w:val="5FFB46EB"/>
    <w:rsid w:val="60CE2E6E"/>
    <w:rsid w:val="614C4BBA"/>
    <w:rsid w:val="61F324D5"/>
    <w:rsid w:val="652C0981"/>
    <w:rsid w:val="6556127B"/>
    <w:rsid w:val="66204CBB"/>
    <w:rsid w:val="68AC4A92"/>
    <w:rsid w:val="69624ED6"/>
    <w:rsid w:val="6999618C"/>
    <w:rsid w:val="6B1A47FA"/>
    <w:rsid w:val="6BF02543"/>
    <w:rsid w:val="6BFE5443"/>
    <w:rsid w:val="6C313863"/>
    <w:rsid w:val="6CB64147"/>
    <w:rsid w:val="6E8F7740"/>
    <w:rsid w:val="6FD67F32"/>
    <w:rsid w:val="702466A0"/>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EB3072"/>
    <w:rsid w:val="7D4B7D80"/>
    <w:rsid w:val="7EF75CAC"/>
    <w:rsid w:val="7EFC1FDC"/>
    <w:rsid w:val="7F403025"/>
    <w:rsid w:val="8DFE61F1"/>
    <w:rsid w:val="8FF84194"/>
    <w:rsid w:val="AEEF167E"/>
    <w:rsid w:val="B7BE6CEE"/>
    <w:rsid w:val="BE6F11A6"/>
    <w:rsid w:val="DFFF2A1E"/>
    <w:rsid w:val="F3B01642"/>
    <w:rsid w:val="F9E78425"/>
    <w:rsid w:val="FFFFEF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 w:type="paragraph" w:customStyle="1" w:styleId="204">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641</Words>
  <Characters>3654</Characters>
  <Lines>30</Lines>
  <Paragraphs>8</Paragraphs>
  <TotalTime>64</TotalTime>
  <ScaleCrop>false</ScaleCrop>
  <LinksUpToDate>false</LinksUpToDate>
  <CharactersWithSpaces>4287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2021-12-09T03:41:00Z</dcterms:created>
  <dc:creator>李刚</dc:creator>
  <cp:lastModifiedBy>张晋玮</cp:lastModifiedBy>
  <cp:lastPrinted>2021-10-11T11:31:00Z</cp:lastPrinted>
  <dcterms:modified xsi:type="dcterms:W3CDTF">2022-04-21T12:29:32Z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82153CBEAA6E4767BF615C0FFE655F9E</vt:lpwstr>
  </property>
</Properties>
</file>