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bookmarkStart w:id="0" w:name="_GoBack"/>
      <w:bookmarkEnd w:id="0"/>
    </w:p>
    <w:p>
      <w:pPr>
        <w:adjustRightInd w:val="0"/>
        <w:snapToGrid w:val="0"/>
        <w:rPr>
          <w:rFonts w:ascii="宋体" w:hAnsi="宋体" w:cs="Arial"/>
          <w:b/>
          <w:bCs/>
          <w:sz w:val="44"/>
          <w:szCs w:val="44"/>
        </w:rPr>
      </w:pPr>
    </w:p>
    <w:p>
      <w:pPr>
        <w:spacing w:line="360" w:lineRule="auto"/>
        <w:jc w:val="center"/>
        <w:rPr>
          <w:rFonts w:ascii="宋体" w:hAnsi="宋体" w:cs="Arial"/>
          <w:b/>
          <w:bCs/>
          <w:sz w:val="44"/>
          <w:szCs w:val="44"/>
        </w:rPr>
      </w:pPr>
      <w:r>
        <w:rPr>
          <w:rFonts w:hint="eastAsia" w:ascii="宋体" w:hAnsi="宋体" w:cs="Arial"/>
          <w:b/>
          <w:bCs/>
          <w:sz w:val="36"/>
          <w:szCs w:val="44"/>
        </w:rPr>
        <w:t>深圳市“十四五”期间高等学校建设研究课题项目</w:t>
      </w: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rPr>
          <w:rFonts w:ascii="宋体" w:hAnsi="宋体"/>
          <w:b/>
          <w:bCs/>
          <w:sz w:val="32"/>
          <w:szCs w:val="32"/>
        </w:rPr>
      </w:pPr>
      <w:r>
        <w:rPr>
          <w:rFonts w:hint="eastAsia" w:ascii="宋体" w:hAnsi="宋体"/>
          <w:b/>
          <w:bCs/>
          <w:sz w:val="32"/>
          <w:szCs w:val="32"/>
        </w:rPr>
        <w:t>二〇二二年</w:t>
      </w:r>
      <w:r>
        <w:rPr>
          <w:rFonts w:hint="eastAsia" w:ascii="宋体" w:hAnsi="宋体"/>
          <w:b/>
          <w:bCs/>
          <w:sz w:val="32"/>
          <w:szCs w:val="32"/>
          <w:lang w:eastAsia="zh-CN"/>
        </w:rPr>
        <w:t>四</w:t>
      </w:r>
      <w:r>
        <w:rPr>
          <w:rFonts w:hint="eastAsia" w:ascii="宋体" w:hAnsi="宋体"/>
          <w:b/>
          <w:bCs/>
          <w:sz w:val="32"/>
          <w:szCs w:val="32"/>
        </w:rPr>
        <w:t>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深圳市“十四五”期间高等学校建设研究</w:t>
      </w:r>
    </w:p>
    <w:p>
      <w:pPr>
        <w:adjustRightInd w:val="0"/>
        <w:snapToGrid w:val="0"/>
        <w:jc w:val="center"/>
        <w:rPr>
          <w:rFonts w:ascii="宋体" w:hAnsi="宋体" w:cs="Arial"/>
          <w:b/>
          <w:bCs/>
          <w:sz w:val="44"/>
          <w:szCs w:val="44"/>
        </w:rPr>
      </w:pPr>
      <w:r>
        <w:rPr>
          <w:rFonts w:hint="eastAsia" w:ascii="宋体" w:hAnsi="宋体" w:cs="Arial"/>
          <w:b/>
          <w:bCs/>
          <w:sz w:val="44"/>
          <w:szCs w:val="44"/>
        </w:rPr>
        <w:t>课题项目招标书</w:t>
      </w: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（一）项目名称：深圳市“十四五”期间高等学校建设研究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（三）项目预算：预算金额不超过10</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楷体_GB2312" w:hAnsi="仿宋_GB2312" w:eastAsia="楷体_GB2312" w:cs="仿宋_GB2312"/>
          <w:bCs/>
          <w:sz w:val="32"/>
          <w:szCs w:val="32"/>
        </w:rPr>
        <w:t>（一）深圳市高等学校建设</w:t>
      </w:r>
      <w:r>
        <w:rPr>
          <w:rFonts w:hint="eastAsia" w:ascii="楷体_GB2312" w:hAnsi="Times New Roman" w:eastAsia="楷体_GB2312"/>
          <w:sz w:val="32"/>
          <w:szCs w:val="22"/>
          <w:lang w:eastAsia="zh-CN" w:bidi="ar"/>
        </w:rPr>
        <w:t>定位和发展方向</w:t>
      </w:r>
      <w:r>
        <w:rPr>
          <w:rFonts w:hint="eastAsia" w:ascii="楷体_GB2312" w:hAnsi="Times New Roman" w:eastAsia="楷体_GB2312"/>
          <w:sz w:val="32"/>
          <w:szCs w:val="22"/>
          <w:lang w:bidi="ar"/>
        </w:rPr>
        <w:t>研究</w:t>
      </w:r>
      <w:r>
        <w:rPr>
          <w:rFonts w:hint="eastAsia" w:ascii="楷体_GB2312" w:hAnsi="仿宋_GB2312" w:eastAsia="楷体_GB2312" w:cs="仿宋_GB2312"/>
          <w:bCs/>
          <w:sz w:val="32"/>
          <w:szCs w:val="32"/>
        </w:rPr>
        <w:t>。</w:t>
      </w:r>
      <w:r>
        <w:rPr>
          <w:rFonts w:hint="eastAsia" w:ascii="仿宋_GB2312" w:hAnsi="仿宋_GB2312" w:eastAsia="仿宋_GB2312" w:cs="仿宋_GB2312"/>
          <w:bCs/>
          <w:sz w:val="32"/>
          <w:szCs w:val="32"/>
        </w:rPr>
        <w:t>以国家、广东省及深圳市关于高等教育的理念与政策体系为指导，以服务“双区”建设和深圳市经济社会发展为导向，着重从产业链、创新链、人才链、教育链“四链”协同发展的视角，提出深圳</w:t>
      </w:r>
      <w:r>
        <w:rPr>
          <w:rFonts w:hint="eastAsia" w:ascii="仿宋_GB2312" w:hAnsi="仿宋_GB2312" w:eastAsia="仿宋_GB2312" w:cs="仿宋_GB2312"/>
          <w:bCs/>
          <w:sz w:val="32"/>
          <w:szCs w:val="32"/>
          <w:lang w:eastAsia="zh-CN"/>
        </w:rPr>
        <w:t>各类</w:t>
      </w:r>
      <w:r>
        <w:rPr>
          <w:rFonts w:hint="eastAsia" w:ascii="仿宋_GB2312" w:hAnsi="仿宋_GB2312" w:eastAsia="仿宋_GB2312" w:cs="仿宋_GB2312"/>
          <w:bCs/>
          <w:sz w:val="32"/>
          <w:szCs w:val="32"/>
        </w:rPr>
        <w:t>高校建设在人才培养、科技创新、社会服务、文化传承与创新、国际交流合作等方面的</w:t>
      </w:r>
      <w:r>
        <w:rPr>
          <w:rFonts w:hint="eastAsia" w:ascii="仿宋_GB2312" w:hAnsi="仿宋_GB2312" w:eastAsia="仿宋_GB2312" w:cs="仿宋_GB2312"/>
          <w:bCs/>
          <w:sz w:val="32"/>
          <w:szCs w:val="32"/>
          <w:lang w:eastAsia="zh-CN"/>
        </w:rPr>
        <w:t>定位和发展方向</w:t>
      </w:r>
      <w:r>
        <w:rPr>
          <w:rFonts w:hint="eastAsia" w:ascii="仿宋_GB2312" w:hAnsi="仿宋_GB2312" w:eastAsia="仿宋_GB2312" w:cs="仿宋_GB2312"/>
          <w:bCs/>
          <w:sz w:val="32"/>
          <w:szCs w:val="32"/>
        </w:rPr>
        <w:t>。</w:t>
      </w:r>
    </w:p>
    <w:p>
      <w:pPr>
        <w:spacing w:line="560" w:lineRule="exact"/>
        <w:ind w:firstLine="640" w:firstLineChars="200"/>
        <w:rPr>
          <w:rFonts w:ascii="仿宋_GB2312" w:hAnsi="仿宋_GB2312" w:eastAsia="仿宋_GB2312" w:cs="仿宋_GB2312"/>
          <w:bCs/>
          <w:sz w:val="32"/>
          <w:szCs w:val="32"/>
        </w:rPr>
      </w:pPr>
      <w:r>
        <w:rPr>
          <w:rFonts w:hint="eastAsia" w:ascii="楷体_GB2312" w:hAnsi="仿宋_GB2312" w:eastAsia="楷体_GB2312" w:cs="仿宋_GB2312"/>
          <w:bCs/>
          <w:sz w:val="32"/>
          <w:szCs w:val="32"/>
        </w:rPr>
        <w:t>（二）</w:t>
      </w:r>
      <w:r>
        <w:rPr>
          <w:rFonts w:hint="eastAsia" w:ascii="楷体_GB2312" w:hAnsi="Times New Roman" w:eastAsia="楷体_GB2312"/>
          <w:sz w:val="32"/>
          <w:szCs w:val="22"/>
          <w:lang w:bidi="ar"/>
        </w:rPr>
        <w:t>深圳高等学校服务城市发展现状及主要问题研究。</w:t>
      </w:r>
      <w:r>
        <w:rPr>
          <w:rFonts w:hint="eastAsia" w:ascii="仿宋_GB2312" w:hAnsi="仿宋_GB2312" w:eastAsia="仿宋_GB2312" w:cs="仿宋_GB2312"/>
          <w:bCs/>
          <w:sz w:val="32"/>
          <w:szCs w:val="32"/>
        </w:rPr>
        <w:t>对深圳市高等学校在建设投资、运营经费、学科建设等方面进行全面梳理，开展高校建设项目案例研究，结合深圳国民经济和社会发展需求，系统总结评价深圳高校在人才培养、人才储备、科学研究、产业服务等方面支持深圳经济社会发展的效益，</w:t>
      </w:r>
      <w:r>
        <w:rPr>
          <w:rFonts w:hint="eastAsia" w:ascii="Times New Roman" w:hAnsi="Times New Roman" w:eastAsia="仿宋_GB2312"/>
          <w:sz w:val="32"/>
          <w:szCs w:val="22"/>
          <w:lang w:bidi="ar"/>
        </w:rPr>
        <w:t>深度挖掘深圳高校在保障人才供给、服务产业链创新链等方面存在</w:t>
      </w:r>
      <w:r>
        <w:rPr>
          <w:rFonts w:hint="eastAsia" w:ascii="仿宋_GB2312" w:hAnsi="仿宋_GB2312" w:eastAsia="仿宋_GB2312" w:cs="仿宋_GB2312"/>
          <w:bCs/>
          <w:sz w:val="32"/>
          <w:szCs w:val="32"/>
        </w:rPr>
        <w:t>的主要问题。</w:t>
      </w:r>
    </w:p>
    <w:p>
      <w:pPr>
        <w:spacing w:line="560" w:lineRule="exact"/>
        <w:ind w:firstLine="640" w:firstLineChars="200"/>
        <w:rPr>
          <w:rFonts w:ascii="仿宋_GB2312" w:hAnsi="仿宋_GB2312" w:eastAsia="仿宋_GB2312" w:cs="仿宋_GB2312"/>
          <w:bCs/>
          <w:sz w:val="32"/>
          <w:szCs w:val="32"/>
        </w:rPr>
      </w:pPr>
      <w:r>
        <w:rPr>
          <w:rFonts w:hint="eastAsia" w:ascii="楷体_GB2312" w:hAnsi="仿宋_GB2312" w:eastAsia="楷体_GB2312" w:cs="仿宋_GB2312"/>
          <w:bCs/>
          <w:sz w:val="32"/>
          <w:szCs w:val="32"/>
        </w:rPr>
        <w:t>（三）国内外高等教育服务城市发展经验研究。</w:t>
      </w:r>
      <w:r>
        <w:rPr>
          <w:rFonts w:hint="eastAsia" w:ascii="仿宋_GB2312" w:hAnsi="仿宋_GB2312" w:eastAsia="仿宋_GB2312" w:cs="仿宋_GB2312"/>
          <w:bCs/>
          <w:sz w:val="32"/>
          <w:szCs w:val="32"/>
        </w:rPr>
        <w:t>围绕深圳高校服务城市建设主要问题与瓶颈，开展北京、上海等国内城市及美国、欧洲、日本等发达国家代表性地区或城市案例研究，重点分析政府部门引导和支持地方高等教育服务城市发展的工作思路和主要做法，为“十四五”时期深圳高校建设提供有益借鉴。</w:t>
      </w:r>
    </w:p>
    <w:p>
      <w:pPr>
        <w:spacing w:line="560" w:lineRule="exact"/>
        <w:ind w:firstLine="640" w:firstLineChars="200"/>
        <w:rPr>
          <w:rFonts w:ascii="仿宋_GB2312" w:hAnsi="仿宋_GB2312" w:eastAsia="仿宋_GB2312" w:cs="仿宋_GB2312"/>
          <w:bCs/>
          <w:sz w:val="32"/>
          <w:szCs w:val="32"/>
        </w:rPr>
      </w:pPr>
      <w:r>
        <w:rPr>
          <w:rFonts w:hint="eastAsia" w:ascii="楷体_GB2312" w:hAnsi="仿宋_GB2312" w:eastAsia="楷体_GB2312" w:cs="仿宋_GB2312"/>
          <w:bCs/>
          <w:sz w:val="32"/>
          <w:szCs w:val="32"/>
        </w:rPr>
        <w:t>（四）深圳高等学校建设和服务城市发展思路建议研究。</w:t>
      </w:r>
      <w:r>
        <w:rPr>
          <w:rFonts w:hint="eastAsia" w:ascii="仿宋_GB2312" w:hAnsi="仿宋_GB2312" w:eastAsia="仿宋_GB2312" w:cs="仿宋_GB2312"/>
          <w:bCs/>
          <w:sz w:val="32"/>
          <w:szCs w:val="32"/>
        </w:rPr>
        <w:t>按照问题导向和需求导向，从推动深圳高校与城市良性互动发展出发，紧扣“四链”协同工作要求，提出深圳“十四五”期间高等学校建设及支持深圳市经济社会发展的思路和工作建议，包括研究提出我市高等学校建设的合理规模和重点学科选择、探索“十四五”期间高等学校建设项目预研究模式、合理确定大学学科布局及招生规模、形成鼓励社会资本参与的投融资安排等。</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三、项目技术要求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高等教育发展情况、“四链”协同发展需求等相关信息和基础资料。面向深圳高等院校开展问卷调查，对深圳高校、深圳企业或行业协会、相关政府主管部门等开展调研或座谈，系统整理汇编形成支撑材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（三）研究成果要具有前瞻性，面向未来、视野开阔，科学研判未来发展趋势；具有系统性，要体系完整、内容全面、材料丰富；具有实用性，符合深圳实际，针对性和可操作性强。</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pStyle w:val="2"/>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提交项目成果纸质版10份和电子版，包括：</w:t>
      </w:r>
    </w:p>
    <w:p>
      <w:pPr>
        <w:pStyle w:val="2"/>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（1）《深圳市“十四五”期间高等学校建设研究报告》及相关附件，内容翔实全面，涵盖课题研究全部成果；</w:t>
      </w:r>
    </w:p>
    <w:p>
      <w:pPr>
        <w:pStyle w:val="2"/>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（2）深圳市高等学校建设及服务城市发展的思路和工作建议研究专题报告（暂名），简明扼要介绍成果核心内容与主要结论，供决策参考。</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pStyle w:val="2"/>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（一）投标时间：2022年</w:t>
      </w:r>
      <w:r>
        <w:rPr>
          <w:rFonts w:hint="eastAsia" w:ascii="仿宋_GB2312" w:hAnsi="Times New Roman" w:eastAsia="仿宋_GB2312"/>
          <w:b w:val="0"/>
          <w:lang w:val="en-US" w:eastAsia="zh-CN"/>
        </w:rPr>
        <w:t>4</w:t>
      </w:r>
      <w:r>
        <w:rPr>
          <w:rFonts w:hint="eastAsia" w:ascii="仿宋_GB2312" w:hAnsi="Times New Roman" w:eastAsia="仿宋_GB2312"/>
          <w:b w:val="0"/>
        </w:rPr>
        <w:t>月</w:t>
      </w:r>
      <w:r>
        <w:rPr>
          <w:rFonts w:hint="eastAsia" w:ascii="仿宋_GB2312" w:hAnsi="Times New Roman" w:eastAsia="仿宋_GB2312"/>
          <w:b w:val="0"/>
          <w:lang w:val="en-US" w:eastAsia="zh-CN"/>
        </w:rPr>
        <w:t>1</w:t>
      </w:r>
      <w:r>
        <w:rPr>
          <w:rFonts w:hint="eastAsia" w:ascii="仿宋_GB2312" w:hAnsi="Times New Roman" w:eastAsia="仿宋_GB2312"/>
          <w:b w:val="0"/>
        </w:rPr>
        <w:t>日至2022年4月</w:t>
      </w:r>
      <w:r>
        <w:rPr>
          <w:rFonts w:hint="eastAsia" w:ascii="仿宋_GB2312" w:hAnsi="Times New Roman" w:eastAsia="仿宋_GB2312"/>
          <w:b w:val="0"/>
          <w:lang w:val="en-US" w:eastAsia="zh-CN"/>
        </w:rPr>
        <w:t>15</w:t>
      </w:r>
      <w:r>
        <w:rPr>
          <w:rFonts w:hint="eastAsia" w:ascii="仿宋_GB2312" w:hAnsi="Times New Roman" w:eastAsia="仿宋_GB2312"/>
          <w:b w:val="0"/>
        </w:rPr>
        <w:t>日，每日上午9:00-12:00，下午2:00-5:45（节假日除外）。逾期未投标将不再受理。</w:t>
      </w:r>
    </w:p>
    <w:p>
      <w:pPr>
        <w:pStyle w:val="2"/>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（二）投标地点：深圳市福田区福中三路市民中心B区行政服务大厅2号市发展和改革委卡座（可邮寄，以送达日期为投标日期）。</w:t>
      </w:r>
    </w:p>
    <w:p>
      <w:pPr>
        <w:pStyle w:val="2"/>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（三）联系人：汪陈垚，0755-</w:t>
      </w:r>
      <w:r>
        <w:rPr>
          <w:rFonts w:hint="eastAsia" w:ascii="仿宋_GB2312" w:hAnsi="Times New Roman" w:eastAsia="仿宋_GB2312"/>
          <w:b w:val="0"/>
          <w:lang w:val="en"/>
        </w:rPr>
        <w:t>8812</w:t>
      </w:r>
      <w:r>
        <w:rPr>
          <w:rFonts w:hint="eastAsia" w:ascii="仿宋_GB2312" w:hAnsi="Times New Roman" w:eastAsia="仿宋_GB2312"/>
          <w:b w:val="0"/>
          <w:lang w:val="en-US" w:eastAsia="zh-CN"/>
        </w:rPr>
        <w:t>7063</w:t>
      </w:r>
      <w:r>
        <w:rPr>
          <w:rFonts w:hint="eastAsia" w:ascii="仿宋_GB2312" w:hAnsi="Times New Roman" w:eastAsia="仿宋_GB2312"/>
          <w:b w:val="0"/>
        </w:rPr>
        <w:t>。</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（五）质量保证措施及方案。</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（六）投标人相关领域/项目经验证明材料（复印件加盖公章）。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（七）投标人无重大违法记录声明函（原件加盖公章，格式自拟）。</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（八）投标及履约承诺函原件（格式见附件）。</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（九）住所地不在深圳的投标人应提供营业场所证明原件。</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（十）投标人认为有必要提供的其它材料。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2"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（一）评标方法为综合评分法，具体评分标准和规则为：投标文件从技术、商务和价格等三个评审因素进行评分，出现总分相同的，则总分相等投标人中投标报价得分最高者中标。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7"/>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blHeader/>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678" w:type="dxa"/>
          </w:tcPr>
          <w:p>
            <w:pPr>
              <w:ind w:left="-78" w:leftChars="-37" w:right="-73" w:rightChars="-35"/>
              <w:jc w:val="left"/>
              <w:rPr>
                <w:rFonts w:ascii="宋体" w:hAnsi="宋体" w:cs="宋体"/>
                <w:kern w:val="0"/>
                <w:sz w:val="22"/>
                <w:szCs w:val="24"/>
              </w:rPr>
            </w:pPr>
            <w:r>
              <w:rPr>
                <w:rFonts w:hint="eastAsia" w:ascii="宋体" w:hAnsi="宋体" w:cs="宋体"/>
                <w:kern w:val="0"/>
                <w:sz w:val="22"/>
                <w:szCs w:val="24"/>
              </w:rPr>
              <w:t>对照项目内容、项目技术要求和项目成果交付要求，根据投标人提供的项目实施方案的全面性、针对性、可操作性等进行分档评审：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678" w:type="dxa"/>
          </w:tcPr>
          <w:p>
            <w:pPr>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678" w:type="dxa"/>
          </w:tcPr>
          <w:p>
            <w:pPr>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55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（1）自2019年1月1日起，牵头承担过国家级政策研究、规划编制、制度评估等政府课题的（含国家部委委托课题），按每项10%进行计分，最高得分不超过30%。</w:t>
            </w:r>
          </w:p>
          <w:p>
            <w:pPr>
              <w:jc w:val="left"/>
              <w:rPr>
                <w:rFonts w:ascii="宋体" w:hAnsi="宋体" w:cs="宋体"/>
                <w:kern w:val="0"/>
                <w:sz w:val="22"/>
                <w:szCs w:val="24"/>
              </w:rPr>
            </w:pPr>
            <w:r>
              <w:rPr>
                <w:rFonts w:hint="eastAsia" w:ascii="宋体" w:hAnsi="宋体" w:cs="宋体"/>
                <w:kern w:val="0"/>
                <w:sz w:val="22"/>
                <w:szCs w:val="24"/>
              </w:rPr>
              <w:t>（2）自2019年1月1日起，牵头承担过省级或市级政策研究、规划编制、制度评估等政府课题的，按每项5%进行计分，最高得分不超过2</w:t>
            </w:r>
            <w:r>
              <w:rPr>
                <w:rFonts w:ascii="宋体" w:hAnsi="宋体" w:cs="宋体"/>
                <w:kern w:val="0"/>
                <w:sz w:val="22"/>
                <w:szCs w:val="24"/>
              </w:rPr>
              <w:t>5</w:t>
            </w:r>
            <w:r>
              <w:rPr>
                <w:rFonts w:hint="eastAsia" w:ascii="宋体" w:hAnsi="宋体" w:cs="宋体"/>
                <w:kern w:val="0"/>
                <w:sz w:val="22"/>
                <w:szCs w:val="24"/>
              </w:rPr>
              <w:t>%。</w:t>
            </w:r>
          </w:p>
          <w:p>
            <w:pPr>
              <w:jc w:val="left"/>
              <w:rPr>
                <w:rFonts w:ascii="宋体" w:hAnsi="宋体" w:cs="宋体"/>
                <w:kern w:val="0"/>
                <w:sz w:val="22"/>
                <w:szCs w:val="24"/>
              </w:rPr>
            </w:pPr>
            <w:r>
              <w:rPr>
                <w:rFonts w:hint="eastAsia" w:ascii="宋体" w:hAnsi="宋体" w:cs="宋体"/>
                <w:kern w:val="0"/>
                <w:sz w:val="22"/>
                <w:szCs w:val="24"/>
              </w:rPr>
              <w:t>（3）除（1）、（2）项中提及的相关课题外，自2019年1月1日起，牵头承担过政府或高等学校委托的深圳市教育及人才相关课题的，按每项</w:t>
            </w:r>
            <w:r>
              <w:rPr>
                <w:rFonts w:ascii="宋体" w:hAnsi="宋体" w:cs="宋体"/>
                <w:kern w:val="0"/>
                <w:sz w:val="22"/>
                <w:szCs w:val="24"/>
              </w:rPr>
              <w:t>5</w:t>
            </w:r>
            <w:r>
              <w:rPr>
                <w:rFonts w:hint="eastAsia" w:ascii="宋体" w:hAnsi="宋体" w:cs="宋体"/>
                <w:kern w:val="0"/>
                <w:sz w:val="22"/>
                <w:szCs w:val="24"/>
              </w:rPr>
              <w:t>%进行计分，最高得分不超过</w:t>
            </w:r>
            <w:r>
              <w:rPr>
                <w:rFonts w:ascii="宋体" w:hAnsi="宋体" w:cs="宋体"/>
                <w:kern w:val="0"/>
                <w:sz w:val="22"/>
                <w:szCs w:val="24"/>
              </w:rPr>
              <w:t>15</w:t>
            </w:r>
            <w:r>
              <w:rPr>
                <w:rFonts w:hint="eastAsia" w:ascii="宋体" w:hAnsi="宋体" w:cs="宋体"/>
                <w:kern w:val="0"/>
                <w:sz w:val="22"/>
                <w:szCs w:val="24"/>
              </w:rPr>
              <w:t>%。</w:t>
            </w:r>
          </w:p>
          <w:p>
            <w:pPr>
              <w:jc w:val="left"/>
              <w:rPr>
                <w:rFonts w:ascii="宋体" w:hAnsi="宋体" w:cs="宋体"/>
                <w:kern w:val="0"/>
                <w:sz w:val="22"/>
                <w:szCs w:val="24"/>
              </w:rPr>
            </w:pPr>
            <w:r>
              <w:rPr>
                <w:rFonts w:hint="eastAsia" w:ascii="宋体" w:hAnsi="宋体" w:cs="宋体"/>
                <w:kern w:val="0"/>
                <w:sz w:val="22"/>
                <w:szCs w:val="24"/>
              </w:rPr>
              <w:t>（</w:t>
            </w:r>
            <w:r>
              <w:rPr>
                <w:rFonts w:ascii="宋体" w:hAnsi="宋体" w:cs="宋体"/>
                <w:kern w:val="0"/>
                <w:sz w:val="22"/>
                <w:szCs w:val="24"/>
              </w:rPr>
              <w:t>4</w:t>
            </w:r>
            <w:r>
              <w:rPr>
                <w:rFonts w:hint="eastAsia" w:ascii="宋体" w:hAnsi="宋体" w:cs="宋体"/>
                <w:kern w:val="0"/>
                <w:sz w:val="22"/>
                <w:szCs w:val="24"/>
              </w:rPr>
              <w:t>）除（1）至（</w:t>
            </w:r>
            <w:r>
              <w:rPr>
                <w:rFonts w:ascii="宋体" w:hAnsi="宋体" w:cs="宋体"/>
                <w:kern w:val="0"/>
                <w:sz w:val="22"/>
                <w:szCs w:val="24"/>
              </w:rPr>
              <w:t>3</w:t>
            </w:r>
            <w:r>
              <w:rPr>
                <w:rFonts w:hint="eastAsia" w:ascii="宋体" w:hAnsi="宋体" w:cs="宋体"/>
                <w:kern w:val="0"/>
                <w:sz w:val="22"/>
                <w:szCs w:val="24"/>
              </w:rPr>
              <w:t>）项中提及的相关课题外，自2019年1月1日起，牵头承担过深圳市科技创新相关政府课题的，按每项5%进行计分，最高得分不超过</w:t>
            </w:r>
            <w:r>
              <w:rPr>
                <w:rFonts w:ascii="宋体" w:hAnsi="宋体" w:cs="宋体"/>
                <w:kern w:val="0"/>
                <w:sz w:val="22"/>
                <w:szCs w:val="24"/>
              </w:rPr>
              <w:t>15</w:t>
            </w:r>
            <w:r>
              <w:rPr>
                <w:rFonts w:hint="eastAsia" w:ascii="宋体" w:hAnsi="宋体" w:cs="宋体"/>
                <w:kern w:val="0"/>
                <w:sz w:val="22"/>
                <w:szCs w:val="24"/>
              </w:rPr>
              <w:t>%。</w:t>
            </w:r>
          </w:p>
          <w:p>
            <w:pPr>
              <w:jc w:val="left"/>
              <w:rPr>
                <w:rFonts w:ascii="宋体" w:hAnsi="宋体" w:cs="宋体"/>
                <w:kern w:val="0"/>
                <w:sz w:val="22"/>
                <w:szCs w:val="24"/>
              </w:rPr>
            </w:pPr>
            <w:r>
              <w:rPr>
                <w:rFonts w:hint="eastAsia" w:ascii="宋体" w:hAnsi="宋体" w:cs="宋体"/>
                <w:kern w:val="0"/>
                <w:sz w:val="22"/>
                <w:szCs w:val="24"/>
              </w:rPr>
              <w:t>（</w:t>
            </w:r>
            <w:r>
              <w:rPr>
                <w:rFonts w:ascii="宋体" w:hAnsi="宋体" w:cs="宋体"/>
                <w:kern w:val="0"/>
                <w:sz w:val="22"/>
                <w:szCs w:val="24"/>
              </w:rPr>
              <w:t>5</w:t>
            </w:r>
            <w:r>
              <w:rPr>
                <w:rFonts w:hint="eastAsia" w:ascii="宋体" w:hAnsi="宋体" w:cs="宋体"/>
                <w:kern w:val="0"/>
                <w:sz w:val="22"/>
                <w:szCs w:val="24"/>
              </w:rPr>
              <w:t>）除（1）至（</w:t>
            </w:r>
            <w:r>
              <w:rPr>
                <w:rFonts w:ascii="宋体" w:hAnsi="宋体" w:cs="宋体"/>
                <w:kern w:val="0"/>
                <w:sz w:val="22"/>
                <w:szCs w:val="24"/>
              </w:rPr>
              <w:t>4</w:t>
            </w:r>
            <w:r>
              <w:rPr>
                <w:rFonts w:hint="eastAsia" w:ascii="宋体" w:hAnsi="宋体" w:cs="宋体"/>
                <w:kern w:val="0"/>
                <w:sz w:val="22"/>
                <w:szCs w:val="24"/>
              </w:rPr>
              <w:t>）项中提及的相关课题外，自2019年1月1日起，牵头承担过深圳市战略性新兴产业和未来产业发展相关政府课题的，按每项</w:t>
            </w:r>
            <w:r>
              <w:rPr>
                <w:rFonts w:ascii="宋体" w:hAnsi="宋体" w:cs="宋体"/>
                <w:kern w:val="0"/>
                <w:sz w:val="22"/>
                <w:szCs w:val="24"/>
              </w:rPr>
              <w:t>5</w:t>
            </w:r>
            <w:r>
              <w:rPr>
                <w:rFonts w:hint="eastAsia" w:ascii="宋体" w:hAnsi="宋体" w:cs="宋体"/>
                <w:kern w:val="0"/>
                <w:sz w:val="22"/>
                <w:szCs w:val="24"/>
              </w:rPr>
              <w:t>%进行计分，最高得分不超过</w:t>
            </w:r>
            <w:r>
              <w:rPr>
                <w:rFonts w:ascii="宋体" w:hAnsi="宋体" w:cs="宋体"/>
                <w:kern w:val="0"/>
                <w:sz w:val="22"/>
                <w:szCs w:val="24"/>
              </w:rPr>
              <w:t>15</w:t>
            </w:r>
            <w:r>
              <w:rPr>
                <w:rFonts w:hint="eastAsia" w:ascii="宋体" w:hAnsi="宋体" w:cs="宋体"/>
                <w:kern w:val="0"/>
                <w:sz w:val="22"/>
                <w:szCs w:val="24"/>
              </w:rPr>
              <w:t>%。</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（1）对于政府或高校委托课题，要求提供中标通知书、合同关键页或其他证明文件。</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4</w:t>
            </w:r>
            <w:r>
              <w:rPr>
                <w:rFonts w:hint="eastAsia" w:ascii="宋体" w:hAnsi="宋体"/>
                <w:sz w:val="22"/>
                <w:szCs w:val="24"/>
              </w:rPr>
              <w:t>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4</w:t>
            </w:r>
            <w:r>
              <w:rPr>
                <w:rFonts w:hint="eastAsia"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2"/>
              </w:rPr>
            </w:pPr>
            <w:r>
              <w:rPr>
                <w:rFonts w:hint="eastAsia" w:ascii="宋体" w:hAnsi="宋体"/>
                <w:sz w:val="22"/>
                <w:szCs w:val="22"/>
              </w:rPr>
              <w:t>投标人获奖情况</w:t>
            </w:r>
          </w:p>
        </w:tc>
        <w:tc>
          <w:tcPr>
            <w:tcW w:w="4678" w:type="dxa"/>
          </w:tcPr>
          <w:p>
            <w:pPr>
              <w:jc w:val="left"/>
              <w:rPr>
                <w:rFonts w:ascii="宋体" w:hAnsi="宋体"/>
                <w:b/>
                <w:kern w:val="0"/>
                <w:sz w:val="22"/>
                <w:szCs w:val="22"/>
              </w:rPr>
            </w:pPr>
            <w:r>
              <w:rPr>
                <w:rFonts w:hint="eastAsia" w:ascii="宋体" w:hAnsi="宋体"/>
                <w:b/>
                <w:kern w:val="0"/>
                <w:sz w:val="22"/>
                <w:szCs w:val="22"/>
              </w:rPr>
              <w:t>1.评分内容：</w:t>
            </w:r>
          </w:p>
          <w:p>
            <w:pPr>
              <w:jc w:val="left"/>
              <w:rPr>
                <w:rFonts w:ascii="宋体" w:hAnsi="宋体"/>
                <w:kern w:val="0"/>
                <w:sz w:val="22"/>
                <w:szCs w:val="22"/>
              </w:rPr>
            </w:pPr>
            <w:r>
              <w:rPr>
                <w:rFonts w:hint="eastAsia" w:ascii="宋体" w:hAnsi="宋体"/>
                <w:kern w:val="0"/>
                <w:sz w:val="22"/>
                <w:szCs w:val="22"/>
              </w:rPr>
              <w:t>2</w:t>
            </w:r>
            <w:r>
              <w:rPr>
                <w:rFonts w:ascii="宋体" w:hAnsi="宋体"/>
                <w:kern w:val="0"/>
                <w:sz w:val="22"/>
                <w:szCs w:val="22"/>
              </w:rPr>
              <w:t>019</w:t>
            </w:r>
            <w:r>
              <w:rPr>
                <w:rFonts w:hint="eastAsia" w:ascii="宋体" w:hAnsi="宋体"/>
                <w:kern w:val="0"/>
                <w:sz w:val="22"/>
                <w:szCs w:val="22"/>
              </w:rPr>
              <w:t>年</w:t>
            </w:r>
            <w:r>
              <w:rPr>
                <w:rFonts w:ascii="宋体" w:hAnsi="宋体"/>
                <w:kern w:val="0"/>
                <w:sz w:val="22"/>
                <w:szCs w:val="22"/>
              </w:rPr>
              <w:t>1</w:t>
            </w:r>
            <w:r>
              <w:rPr>
                <w:rFonts w:hint="eastAsia" w:ascii="宋体" w:hAnsi="宋体"/>
                <w:kern w:val="0"/>
                <w:sz w:val="22"/>
                <w:szCs w:val="22"/>
              </w:rPr>
              <w:t>月1日以来，投标人承担的研究课题，获得市级及以上级别的奖励，或作为市级及以上级别政策文件进行公开发布的，每提供1个得50%，最高得分不超过100%。</w:t>
            </w:r>
          </w:p>
          <w:p>
            <w:pPr>
              <w:jc w:val="left"/>
              <w:rPr>
                <w:rFonts w:ascii="宋体" w:hAnsi="宋体"/>
                <w:b/>
                <w:kern w:val="0"/>
                <w:sz w:val="22"/>
                <w:szCs w:val="22"/>
              </w:rPr>
            </w:pPr>
            <w:r>
              <w:rPr>
                <w:rFonts w:hint="eastAsia" w:ascii="宋体" w:hAnsi="宋体"/>
                <w:b/>
                <w:kern w:val="0"/>
                <w:sz w:val="22"/>
                <w:szCs w:val="22"/>
              </w:rPr>
              <w:t>2.评分依据：</w:t>
            </w:r>
          </w:p>
          <w:p>
            <w:pPr>
              <w:ind w:left="-63" w:leftChars="-30" w:right="-88" w:rightChars="-42"/>
              <w:jc w:val="left"/>
              <w:rPr>
                <w:rFonts w:ascii="宋体" w:hAnsi="宋体"/>
                <w:kern w:val="0"/>
                <w:sz w:val="22"/>
                <w:szCs w:val="22"/>
              </w:rPr>
            </w:pPr>
            <w:r>
              <w:rPr>
                <w:rFonts w:hint="eastAsia" w:ascii="宋体" w:hAnsi="宋体"/>
                <w:kern w:val="0"/>
                <w:sz w:val="22"/>
                <w:szCs w:val="22"/>
              </w:rPr>
              <w:t>（1）要求提供相关证明文件。</w:t>
            </w:r>
          </w:p>
          <w:p>
            <w:pPr>
              <w:ind w:left="-63" w:leftChars="-30" w:right="-88" w:rightChars="-42"/>
              <w:jc w:val="left"/>
              <w:rPr>
                <w:rFonts w:ascii="宋体" w:hAnsi="宋体"/>
                <w:kern w:val="0"/>
                <w:sz w:val="22"/>
                <w:szCs w:val="22"/>
              </w:rPr>
            </w:pPr>
            <w:r>
              <w:rPr>
                <w:rFonts w:hint="eastAsia" w:ascii="宋体" w:hAnsi="宋体"/>
                <w:kern w:val="0"/>
                <w:sz w:val="22"/>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2"/>
              </w:rPr>
            </w:pPr>
            <w:r>
              <w:rPr>
                <w:rFonts w:ascii="宋体" w:hAnsi="宋体"/>
                <w:sz w:val="22"/>
                <w:szCs w:val="22"/>
              </w:rPr>
              <w:t>5</w:t>
            </w:r>
          </w:p>
        </w:tc>
        <w:tc>
          <w:tcPr>
            <w:tcW w:w="851" w:type="dxa"/>
            <w:tcBorders>
              <w:left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拟安排的项目负责人情况（仅限一人）</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w:t>
            </w:r>
            <w:r>
              <w:rPr>
                <w:rFonts w:hint="eastAsia" w:ascii="宋体" w:hAnsi="宋体" w:cs="宋体"/>
                <w:kern w:val="0"/>
                <w:sz w:val="22"/>
                <w:szCs w:val="24"/>
              </w:rPr>
              <w:t>0%，否则不得分。</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（2）项目负责人自2019年1月1日起，主持或参与过国家级政策研究、规划编制、制度评估等政府课题的（含国家部委委托课题），每提供1个得20%，最高得分不超过</w:t>
            </w:r>
            <w:r>
              <w:rPr>
                <w:rFonts w:ascii="宋体" w:hAnsi="宋体" w:cs="宋体"/>
                <w:kern w:val="0"/>
                <w:sz w:val="22"/>
                <w:szCs w:val="24"/>
              </w:rPr>
              <w:t>6</w:t>
            </w:r>
            <w:r>
              <w:rPr>
                <w:rFonts w:hint="eastAsia" w:ascii="宋体" w:hAnsi="宋体" w:cs="宋体"/>
                <w:kern w:val="0"/>
                <w:sz w:val="22"/>
                <w:szCs w:val="24"/>
              </w:rPr>
              <w:t>0%。</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（3）项目负责人自2019年1月1日起，主持或参与过省级或市级政策研究、规划编制、制度评估等政府课题的，每提供1个得10%，最高得分不超过</w:t>
            </w:r>
            <w:r>
              <w:rPr>
                <w:rFonts w:ascii="宋体" w:hAnsi="宋体" w:cs="宋体"/>
                <w:kern w:val="0"/>
                <w:sz w:val="22"/>
                <w:szCs w:val="24"/>
              </w:rPr>
              <w:t>2</w:t>
            </w:r>
            <w:r>
              <w:rPr>
                <w:rFonts w:hint="eastAsia" w:ascii="宋体" w:hAnsi="宋体" w:cs="宋体"/>
                <w:kern w:val="0"/>
                <w:sz w:val="22"/>
                <w:szCs w:val="24"/>
              </w:rPr>
              <w:t>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拟安排的项目主要团队成员（主要技术人员）情况（项目负责人除外）</w:t>
            </w:r>
          </w:p>
        </w:tc>
        <w:tc>
          <w:tcPr>
            <w:tcW w:w="4678" w:type="dxa"/>
          </w:tcPr>
          <w:p>
            <w:pPr>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jc w:val="left"/>
              <w:rPr>
                <w:rFonts w:ascii="宋体" w:hAnsi="宋体" w:cs="宋体"/>
                <w:kern w:val="0"/>
                <w:sz w:val="22"/>
                <w:szCs w:val="24"/>
              </w:rPr>
            </w:pPr>
            <w:r>
              <w:rPr>
                <w:rFonts w:hint="eastAsia" w:ascii="宋体" w:hAnsi="宋体" w:cs="宋体"/>
                <w:kern w:val="0"/>
                <w:sz w:val="22"/>
                <w:szCs w:val="24"/>
              </w:rPr>
              <w:t>（1）项目团队中每提供1位有高级职称或博士学位人员得40%，最高得分不超过40%。</w:t>
            </w:r>
          </w:p>
          <w:p>
            <w:pPr>
              <w:jc w:val="left"/>
              <w:rPr>
                <w:rFonts w:ascii="宋体" w:hAnsi="宋体" w:cs="宋体"/>
                <w:kern w:val="0"/>
                <w:sz w:val="22"/>
                <w:szCs w:val="24"/>
              </w:rPr>
            </w:pPr>
            <w:r>
              <w:rPr>
                <w:rFonts w:hint="eastAsia" w:ascii="宋体" w:hAnsi="宋体" w:cs="宋体"/>
                <w:kern w:val="0"/>
                <w:sz w:val="22"/>
                <w:szCs w:val="24"/>
              </w:rPr>
              <w:t>（1）项目团队中每提供1位有中级职称或硕士学位人员得20%，最高得分不超过60%。</w:t>
            </w:r>
          </w:p>
          <w:p>
            <w:pPr>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trPr>
        <w:tc>
          <w:tcPr>
            <w:tcW w:w="680" w:type="dxa"/>
            <w:tcBorders>
              <w:top w:val="single" w:color="auto" w:sz="4" w:space="0"/>
            </w:tcBorders>
            <w:vAlign w:val="center"/>
          </w:tcPr>
          <w:p>
            <w:pPr>
              <w:jc w:val="center"/>
              <w:rPr>
                <w:rFonts w:ascii="宋体" w:hAnsi="宋体"/>
                <w:sz w:val="22"/>
                <w:szCs w:val="24"/>
              </w:rPr>
            </w:pPr>
            <w:r>
              <w:rPr>
                <w:rFonts w:hint="eastAsia" w:ascii="宋体" w:hAnsi="宋体"/>
                <w:b/>
                <w:sz w:val="22"/>
                <w:szCs w:val="24"/>
              </w:rPr>
              <w:t>三</w:t>
            </w:r>
          </w:p>
        </w:tc>
        <w:tc>
          <w:tcPr>
            <w:tcW w:w="7581" w:type="dxa"/>
            <w:gridSpan w:val="4"/>
            <w:vAlign w:val="center"/>
          </w:tcPr>
          <w:p>
            <w:pPr>
              <w:jc w:val="center"/>
              <w:rPr>
                <w:rFonts w:ascii="宋体" w:hAnsi="宋体"/>
                <w:sz w:val="22"/>
                <w:szCs w:val="24"/>
              </w:rPr>
            </w:pPr>
            <w:r>
              <w:rPr>
                <w:rFonts w:hint="eastAsia" w:ascii="宋体" w:hAnsi="宋体"/>
                <w:b/>
                <w:sz w:val="22"/>
                <w:szCs w:val="24"/>
              </w:rPr>
              <w:t>价格部分（合计</w:t>
            </w:r>
            <w:r>
              <w:rPr>
                <w:rFonts w:ascii="宋体" w:hAnsi="宋体"/>
                <w:b/>
                <w:sz w:val="22"/>
                <w:szCs w:val="24"/>
              </w:rPr>
              <w:t>10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3"/>
              </w:numPr>
              <w:jc w:val="center"/>
              <w:rPr>
                <w:rFonts w:ascii="宋体" w:hAnsi="宋体"/>
                <w:bCs/>
                <w:sz w:val="22"/>
                <w:szCs w:val="24"/>
              </w:rPr>
            </w:pPr>
          </w:p>
        </w:tc>
        <w:tc>
          <w:tcPr>
            <w:tcW w:w="1202" w:type="dxa"/>
            <w:vAlign w:val="center"/>
          </w:tcPr>
          <w:p>
            <w:pPr>
              <w:jc w:val="center"/>
              <w:rPr>
                <w:rFonts w:ascii="宋体" w:hAnsi="宋体"/>
                <w:bCs/>
                <w:sz w:val="22"/>
                <w:szCs w:val="24"/>
              </w:rPr>
            </w:pPr>
            <w:r>
              <w:rPr>
                <w:rFonts w:hint="eastAsia" w:ascii="宋体" w:hAnsi="宋体"/>
                <w:bCs/>
                <w:sz w:val="22"/>
                <w:szCs w:val="24"/>
              </w:rPr>
              <w:t>投标报价</w:t>
            </w:r>
          </w:p>
        </w:tc>
        <w:tc>
          <w:tcPr>
            <w:tcW w:w="4678" w:type="dxa"/>
            <w:vAlign w:val="center"/>
          </w:tcPr>
          <w:p>
            <w:pPr>
              <w:rPr>
                <w:rFonts w:ascii="宋体" w:hAnsi="宋体"/>
                <w:sz w:val="22"/>
                <w:szCs w:val="24"/>
              </w:rPr>
            </w:pPr>
            <w:r>
              <w:rPr>
                <w:rFonts w:hint="eastAsia" w:ascii="宋体" w:hAnsi="宋体"/>
                <w:sz w:val="22"/>
                <w:szCs w:val="24"/>
              </w:rPr>
              <w:t>价格分应当采用低价优先法计算，即满足招标文件要求且投标价格最低的投标报价为评标基准价，其价格分为满分。其他投标人的价格分统一按照下列公式计算：</w:t>
            </w:r>
          </w:p>
          <w:p>
            <w:pPr>
              <w:rPr>
                <w:rFonts w:ascii="宋体" w:hAnsi="宋体"/>
                <w:sz w:val="22"/>
                <w:szCs w:val="24"/>
              </w:rPr>
            </w:pPr>
            <w:r>
              <w:rPr>
                <w:rFonts w:hint="eastAsia" w:ascii="宋体" w:hAnsi="宋体"/>
                <w:sz w:val="22"/>
                <w:szCs w:val="24"/>
              </w:rPr>
              <w:t>投标报价得分=(评标基准价／投标报价)×100×权重</w:t>
            </w:r>
          </w:p>
          <w:p>
            <w:pPr>
              <w:rPr>
                <w:rFonts w:ascii="宋体" w:hAnsi="宋体"/>
                <w:sz w:val="22"/>
                <w:szCs w:val="24"/>
              </w:rPr>
            </w:pPr>
            <w:r>
              <w:rPr>
                <w:rFonts w:hint="eastAsia" w:ascii="宋体" w:hAnsi="宋体"/>
                <w:sz w:val="22"/>
                <w:szCs w:val="24"/>
              </w:rPr>
              <w:t>备注：</w:t>
            </w:r>
          </w:p>
          <w:p>
            <w:pPr>
              <w:rPr>
                <w:rFonts w:ascii="宋体" w:hAnsi="宋体"/>
                <w:sz w:val="22"/>
                <w:szCs w:val="24"/>
              </w:rPr>
            </w:pPr>
            <w:r>
              <w:rPr>
                <w:rFonts w:hint="eastAsia" w:ascii="宋体" w:hAnsi="宋体"/>
                <w:sz w:val="22"/>
                <w:szCs w:val="24"/>
              </w:rPr>
              <w:t>1、因落实政府采购政策进行价格调整的，以调整后的价格计算评标基准价和投标报价,详见“价格扣除”。</w:t>
            </w:r>
          </w:p>
          <w:p>
            <w:pPr>
              <w:rPr>
                <w:rFonts w:ascii="宋体" w:hAnsi="宋体" w:cs="宋体"/>
                <w:kern w:val="0"/>
                <w:sz w:val="22"/>
                <w:szCs w:val="24"/>
                <w:highlight w:val="yellow"/>
              </w:rPr>
            </w:pPr>
            <w:r>
              <w:rPr>
                <w:rFonts w:hint="eastAsia" w:ascii="宋体" w:hAnsi="宋体"/>
                <w:sz w:val="22"/>
                <w:szCs w:val="24"/>
              </w:rPr>
              <w:t>2、投标报价得分四舍五入后，小数点后保留两位有效数。</w:t>
            </w:r>
          </w:p>
        </w:tc>
        <w:tc>
          <w:tcPr>
            <w:tcW w:w="850" w:type="dxa"/>
            <w:tcBorders>
              <w:right w:val="single" w:color="auto" w:sz="4" w:space="0"/>
            </w:tcBorders>
            <w:vAlign w:val="center"/>
          </w:tcPr>
          <w:p>
            <w:pPr>
              <w:ind w:left="-78" w:leftChars="-37" w:right="-73" w:rightChars="-35"/>
              <w:jc w:val="center"/>
              <w:rPr>
                <w:rFonts w:ascii="宋体" w:hAnsi="宋体"/>
                <w:sz w:val="22"/>
                <w:szCs w:val="24"/>
              </w:rPr>
            </w:pPr>
            <w:r>
              <w:rPr>
                <w:rFonts w:ascii="宋体" w:hAnsi="宋体" w:cs="宋体"/>
                <w:sz w:val="22"/>
                <w:szCs w:val="24"/>
              </w:rPr>
              <w:t>10</w:t>
            </w:r>
          </w:p>
        </w:tc>
        <w:tc>
          <w:tcPr>
            <w:tcW w:w="851" w:type="dxa"/>
            <w:tcBorders>
              <w:left w:val="single" w:color="auto" w:sz="4" w:space="0"/>
            </w:tcBorders>
            <w:vAlign w:val="center"/>
          </w:tcPr>
          <w:p>
            <w:pPr>
              <w:ind w:left="-78" w:leftChars="-37" w:right="-73" w:rightChars="-35"/>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ind w:left="-78" w:leftChars="-37" w:right="-73" w:rightChars="-35"/>
              <w:jc w:val="center"/>
              <w:rPr>
                <w:rFonts w:ascii="宋体" w:hAnsi="宋体"/>
                <w:sz w:val="22"/>
                <w:szCs w:val="24"/>
              </w:rPr>
            </w:pPr>
            <w:r>
              <w:rPr>
                <w:rFonts w:hint="eastAsia" w:ascii="宋体" w:hAnsi="宋体"/>
                <w:sz w:val="22"/>
                <w:szCs w:val="24"/>
              </w:rPr>
              <w:t>合计</w:t>
            </w:r>
          </w:p>
        </w:tc>
        <w:tc>
          <w:tcPr>
            <w:tcW w:w="1202" w:type="dxa"/>
            <w:tcBorders>
              <w:right w:val="single" w:color="auto" w:sz="4" w:space="0"/>
            </w:tcBorders>
            <w:vAlign w:val="center"/>
          </w:tcPr>
          <w:p>
            <w:pPr>
              <w:ind w:left="-78" w:leftChars="-37" w:right="-73" w:rightChars="-35"/>
              <w:jc w:val="center"/>
              <w:rPr>
                <w:rFonts w:ascii="宋体" w:hAnsi="宋体"/>
                <w:sz w:val="22"/>
                <w:szCs w:val="24"/>
              </w:rPr>
            </w:pPr>
            <w:r>
              <w:rPr>
                <w:rFonts w:hint="eastAsia" w:ascii="宋体" w:hAnsi="宋体" w:cs="宋体"/>
                <w:sz w:val="22"/>
                <w:szCs w:val="24"/>
              </w:rPr>
              <w:t>100</w:t>
            </w:r>
          </w:p>
        </w:tc>
        <w:tc>
          <w:tcPr>
            <w:tcW w:w="4678" w:type="dxa"/>
            <w:tcBorders>
              <w:left w:val="single" w:color="auto" w:sz="4" w:space="0"/>
            </w:tcBorders>
            <w:vAlign w:val="center"/>
          </w:tcPr>
          <w:p>
            <w:pPr>
              <w:ind w:left="-78" w:leftChars="-37" w:right="-73" w:rightChars="-35"/>
              <w:jc w:val="center"/>
              <w:rPr>
                <w:rFonts w:ascii="宋体" w:hAnsi="宋体"/>
                <w:bCs/>
                <w:sz w:val="22"/>
                <w:szCs w:val="24"/>
              </w:rPr>
            </w:pPr>
            <w:r>
              <w:rPr>
                <w:rFonts w:hint="eastAsia" w:ascii="宋体" w:hAnsi="宋体" w:cs="宋体"/>
                <w:sz w:val="22"/>
                <w:szCs w:val="24"/>
              </w:rPr>
              <w:t>100</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p>
        </w:tc>
      </w:tr>
    </w:tbl>
    <w:p>
      <w:pPr>
        <w:ind w:firstLine="481" w:firstLineChars="200"/>
        <w:rPr>
          <w:rFonts w:hint="eastAsia" w:ascii="仿宋_GB2312" w:hAnsi="宋体" w:eastAsia="仿宋_GB2312" w:cs="宋体"/>
          <w:kern w:val="0"/>
          <w:sz w:val="24"/>
          <w:szCs w:val="24"/>
        </w:rPr>
      </w:pPr>
      <w:r>
        <w:rPr>
          <w:rFonts w:hint="eastAsia" w:ascii="宋体" w:hAnsi="宋体"/>
          <w:b/>
          <w:sz w:val="24"/>
          <w:szCs w:val="24"/>
        </w:rPr>
        <w:t>备注</w:t>
      </w:r>
      <w:r>
        <w:rPr>
          <w:rFonts w:hint="eastAsia" w:ascii="仿宋_GB2312" w:hAnsi="宋体" w:eastAsia="仿宋_GB2312" w:cs="宋体"/>
          <w:kern w:val="0"/>
          <w:sz w:val="24"/>
          <w:szCs w:val="24"/>
        </w:rPr>
        <w:t>：</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1.评标信息内评分方法的说明：</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（1）权重：按百分比进行设置。</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（2）评分准则：按照评标系统设置要求，每项“评分准则”皆按百分制打分。</w:t>
      </w:r>
    </w:p>
    <w:p>
      <w:pPr>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（3）每项“评分因素”的得分=对应“评分准则”的分值×对应权重%。</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2.价格扣除</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（2）组成联合体（如允许）或者接受分包的小微企业与联合体内其他企业、分包企业之间存在直接控股、管理关系的，不享受价格扣除优惠政策。</w:t>
      </w:r>
    </w:p>
    <w:p>
      <w:pPr>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（3）监狱企业产品价格扣除：监狱企业视同小微企业，按上述第（1）、（2）条款享受评审中价格扣除。</w:t>
      </w:r>
    </w:p>
    <w:p>
      <w:pPr>
        <w:ind w:firstLine="480" w:firstLineChars="200"/>
        <w:rPr>
          <w:rFonts w:ascii="仿宋_GB2312" w:hAnsi="宋体" w:cs="宋体"/>
          <w:kern w:val="0"/>
          <w:sz w:val="24"/>
          <w:szCs w:val="24"/>
        </w:rPr>
      </w:pPr>
      <w:r>
        <w:rPr>
          <w:rFonts w:hint="eastAsia" w:ascii="仿宋_GB2312" w:hAnsi="宋体" w:eastAsia="仿宋_GB2312"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仿宋_GB2312" w:hAnsi="宋体" w:eastAsia="仿宋_GB2312" w:cs="仿宋_GB2312"/>
          <w:sz w:val="32"/>
          <w:szCs w:val="22"/>
        </w:rPr>
        <w:t>附件</w:t>
      </w:r>
    </w:p>
    <w:p>
      <w:pPr>
        <w:adjustRightInd w:val="0"/>
        <w:snapToGrid w:val="0"/>
        <w:jc w:val="center"/>
        <w:rPr>
          <w:rFonts w:ascii="仿宋_GB2312" w:hAnsi="宋体" w:cs="宋体"/>
          <w:b/>
          <w:bCs/>
          <w:sz w:val="44"/>
          <w:szCs w:val="44"/>
        </w:rPr>
      </w:pPr>
    </w:p>
    <w:p>
      <w:pPr>
        <w:adjustRightInd w:val="0"/>
        <w:snapToGrid w:val="0"/>
        <w:jc w:val="center"/>
        <w:rPr>
          <w:rFonts w:ascii="仿宋_GB2312" w:hAnsi="宋体" w:cs="宋体"/>
          <w:b/>
          <w:bCs/>
          <w:sz w:val="44"/>
          <w:szCs w:val="44"/>
        </w:rPr>
      </w:pPr>
      <w:r>
        <w:rPr>
          <w:rFonts w:hint="eastAsia" w:ascii="仿宋_GB2312" w:hAnsi="宋体" w:cs="宋体"/>
          <w:b/>
          <w:bCs/>
          <w:sz w:val="44"/>
          <w:szCs w:val="44"/>
        </w:rPr>
        <w:t>投标及履约承诺函</w:t>
      </w:r>
    </w:p>
    <w:p>
      <w:pPr>
        <w:adjustRightInd w:val="0"/>
        <w:snapToGrid w:val="0"/>
        <w:jc w:val="center"/>
        <w:rPr>
          <w:rFonts w:ascii="仿宋_GB2312"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pPr>
      <w:r>
        <w:rPr>
          <w:rFonts w:hint="eastAsia" w:ascii="仿宋_GB2312" w:hAnsi="Times New Roman" w:eastAsia="仿宋_GB2312" w:cs="仿宋_GB2312"/>
          <w:sz w:val="32"/>
          <w:szCs w:val="22"/>
        </w:rPr>
        <w:t xml:space="preserve">日期：   年   月   日  </w:t>
      </w:r>
      <w:r>
        <w:rPr>
          <w:rFonts w:ascii="仿宋_GB2312" w:hAnsi="Times New Roman" w:eastAsia="仿宋_GB2312"/>
          <w:sz w:val="32"/>
          <w:szCs w:val="22"/>
        </w:rPr>
        <w:t xml:space="preserve"> </w:t>
      </w:r>
      <w:r>
        <w:rPr>
          <w:rFonts w:hint="eastAsia" w:ascii="仿宋_GB2312" w:hAnsi="Times New Roman" w:eastAsia="仿宋_GB2312" w:cs="仿宋_GB2312"/>
          <w:sz w:val="32"/>
          <w:szCs w:val="22"/>
        </w:rPr>
        <w:t xml:space="preserve">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ql5uc8AAAAFAQAADwAA&#10;AAAAAAABACAAAAA4AAAAZHJzL2Rvd25yZXYueG1sUEsBAhQAFAAAAAgAh07iQI8iX7XQAQAAggMA&#10;AA4AAAAAAAAAAQAgAAAANAEAAGRycy9lMm9Eb2MueG1sUEsFBgAAAAAGAAYAWQEAAHYFAAAAAA==&#10;">
              <v:fill on="f" focussize="0,0"/>
              <v:stroke on="f"/>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B775AB"/>
    <w:rsid w:val="000309EC"/>
    <w:rsid w:val="000440F9"/>
    <w:rsid w:val="000B7579"/>
    <w:rsid w:val="00137FAE"/>
    <w:rsid w:val="00207647"/>
    <w:rsid w:val="003D63A4"/>
    <w:rsid w:val="003E5CD4"/>
    <w:rsid w:val="003F3070"/>
    <w:rsid w:val="004002D2"/>
    <w:rsid w:val="00410EFF"/>
    <w:rsid w:val="00411E2C"/>
    <w:rsid w:val="005E64F5"/>
    <w:rsid w:val="00600554"/>
    <w:rsid w:val="00611D38"/>
    <w:rsid w:val="0063061F"/>
    <w:rsid w:val="006A46F2"/>
    <w:rsid w:val="00712B77"/>
    <w:rsid w:val="007960FA"/>
    <w:rsid w:val="007D09D8"/>
    <w:rsid w:val="00900554"/>
    <w:rsid w:val="0096686C"/>
    <w:rsid w:val="00A120A8"/>
    <w:rsid w:val="00AB1C36"/>
    <w:rsid w:val="00AF23E5"/>
    <w:rsid w:val="00B469CD"/>
    <w:rsid w:val="00B57599"/>
    <w:rsid w:val="00BA5470"/>
    <w:rsid w:val="00BB0C67"/>
    <w:rsid w:val="00C049E5"/>
    <w:rsid w:val="00CD75E1"/>
    <w:rsid w:val="00D23EE0"/>
    <w:rsid w:val="00ED49AE"/>
    <w:rsid w:val="00ED63BB"/>
    <w:rsid w:val="00ED73DD"/>
    <w:rsid w:val="00EE4CF0"/>
    <w:rsid w:val="00F02A81"/>
    <w:rsid w:val="00F7569B"/>
    <w:rsid w:val="00F9082B"/>
    <w:rsid w:val="00F9395F"/>
    <w:rsid w:val="00FC3254"/>
    <w:rsid w:val="01822229"/>
    <w:rsid w:val="43031B24"/>
    <w:rsid w:val="4BC27EF4"/>
    <w:rsid w:val="5F6E2836"/>
    <w:rsid w:val="73983C35"/>
    <w:rsid w:val="7EF6F491"/>
    <w:rsid w:val="7F2763B4"/>
    <w:rsid w:val="7F7DA980"/>
    <w:rsid w:val="97CFDD94"/>
    <w:rsid w:val="B3DF2BF6"/>
    <w:rsid w:val="BF3DF565"/>
    <w:rsid w:val="DFEFDE35"/>
    <w:rsid w:val="DFFC76DF"/>
    <w:rsid w:val="F7B775AB"/>
    <w:rsid w:val="FA7FE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customStyle="1" w:styleId="10">
    <w:name w:val="二级标题 字符"/>
    <w:basedOn w:val="8"/>
    <w:link w:val="11"/>
    <w:qFormat/>
    <w:uiPriority w:val="0"/>
    <w:rPr>
      <w:rFonts w:hint="default" w:ascii="Times New Roman" w:hAnsi="Times New Roman" w:eastAsia="楷体_GB2312" w:cs="Times New Roman"/>
      <w:b/>
      <w:bCs/>
      <w:sz w:val="32"/>
      <w:szCs w:val="32"/>
    </w:rPr>
  </w:style>
  <w:style w:type="paragraph" w:customStyle="1" w:styleId="11">
    <w:name w:val="二级标题"/>
    <w:basedOn w:val="1"/>
    <w:link w:val="10"/>
    <w:qFormat/>
    <w:uiPriority w:val="0"/>
    <w:pPr>
      <w:ind w:firstLine="643" w:firstLineChars="200"/>
      <w:outlineLvl w:val="1"/>
    </w:pPr>
    <w:rPr>
      <w:rFonts w:ascii="Times New Roman" w:hAnsi="Times New Roman" w:eastAsia="楷体_GB2312"/>
      <w:b/>
      <w:bCs/>
      <w:sz w:val="32"/>
      <w:szCs w:val="32"/>
    </w:rPr>
  </w:style>
  <w:style w:type="character" w:customStyle="1" w:styleId="12">
    <w:name w:val="正文缩进2格 Char Char"/>
    <w:basedOn w:val="8"/>
    <w:link w:val="13"/>
    <w:qFormat/>
    <w:uiPriority w:val="0"/>
    <w:rPr>
      <w:rFonts w:hint="eastAsia" w:ascii="仿宋_GB2312" w:hAnsi="宋体" w:eastAsia="仿宋_GB2312" w:cs="仿宋_GB2312"/>
      <w:kern w:val="2"/>
      <w:sz w:val="31"/>
      <w:szCs w:val="28"/>
    </w:rPr>
  </w:style>
  <w:style w:type="paragraph" w:customStyle="1" w:styleId="13">
    <w:name w:val="正文缩进2格"/>
    <w:basedOn w:val="1"/>
    <w:link w:val="12"/>
    <w:qFormat/>
    <w:uiPriority w:val="0"/>
    <w:pPr>
      <w:spacing w:line="600" w:lineRule="exact"/>
      <w:ind w:firstLine="639" w:firstLineChars="206"/>
    </w:pPr>
    <w:rPr>
      <w:rFonts w:hint="eastAsia" w:ascii="仿宋_GB2312" w:hAnsi="宋体" w:eastAsia="仿宋_GB2312"/>
      <w:sz w:val="31"/>
      <w:szCs w:val="28"/>
    </w:rPr>
  </w:style>
  <w:style w:type="character" w:customStyle="1" w:styleId="14">
    <w:name w:val="页眉 字符"/>
    <w:basedOn w:val="8"/>
    <w:link w:val="5"/>
    <w:qFormat/>
    <w:uiPriority w:val="0"/>
    <w:rPr>
      <w:rFonts w:ascii="Calibri" w:hAnsi="Calibri"/>
      <w:kern w:val="2"/>
      <w:sz w:val="18"/>
      <w:szCs w:val="18"/>
    </w:rPr>
  </w:style>
  <w:style w:type="character" w:customStyle="1" w:styleId="15">
    <w:name w:val="批注框文本 字符"/>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744</Words>
  <Characters>4243</Characters>
  <Lines>35</Lines>
  <Paragraphs>9</Paragraphs>
  <TotalTime>20</TotalTime>
  <ScaleCrop>false</ScaleCrop>
  <LinksUpToDate>false</LinksUpToDate>
  <CharactersWithSpaces>4978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2022-03-24T04:54:00Z</dcterms:created>
  <dc:creator>汪文超</dc:creator>
  <cp:lastModifiedBy>张晋玮</cp:lastModifiedBy>
  <cp:lastPrinted>2022-03-24T03:49:00Z</cp:lastPrinted>
  <dcterms:modified xsi:type="dcterms:W3CDTF">2022-04-01T18:06:37Z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00F1FD2C67EB48DEB88E63453F2D9A6B</vt:lpwstr>
  </property>
</Properties>
</file>