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仿宋_GB2312" w:hAnsi="宋体" w:cs="Arial"/>
          <w:b/>
          <w:bCs/>
          <w:sz w:val="44"/>
          <w:szCs w:val="44"/>
        </w:rPr>
      </w:pPr>
      <w:bookmarkStart w:id="0" w:name="_GoBack"/>
      <w:bookmarkEnd w:id="0"/>
    </w:p>
    <w:p>
      <w:pPr>
        <w:adjustRightInd w:val="0"/>
        <w:snapToGrid w:val="0"/>
        <w:rPr>
          <w:rFonts w:ascii="仿宋_GB2312" w:hAnsi="宋体" w:cs="Arial"/>
          <w:b/>
          <w:bCs/>
          <w:sz w:val="44"/>
          <w:szCs w:val="44"/>
        </w:rPr>
      </w:pPr>
    </w:p>
    <w:p>
      <w:pPr>
        <w:adjustRightInd w:val="0"/>
        <w:snapToGrid w:val="0"/>
        <w:jc w:val="center"/>
        <w:rPr>
          <w:rFonts w:ascii="仿宋_GB2312" w:hAnsi="宋体" w:cs="Arial"/>
          <w:b/>
          <w:bCs/>
          <w:sz w:val="32"/>
          <w:szCs w:val="44"/>
        </w:rPr>
      </w:pPr>
      <w:r>
        <w:rPr>
          <w:rFonts w:hint="eastAsia" w:ascii="仿宋_GB2312" w:hAnsi="宋体" w:cs="Arial"/>
          <w:b/>
          <w:bCs/>
          <w:sz w:val="32"/>
          <w:szCs w:val="44"/>
        </w:rPr>
        <w:t>深圳市体育设施建设研究课题项目</w:t>
      </w:r>
    </w:p>
    <w:p>
      <w:pPr>
        <w:spacing w:line="360" w:lineRule="auto"/>
        <w:ind w:left="420" w:leftChars="200"/>
        <w:jc w:val="center"/>
        <w:rPr>
          <w:rFonts w:ascii="仿宋_GB2312" w:hAnsi="宋体" w:cs="Arial"/>
          <w:b/>
          <w:bCs/>
          <w:sz w:val="44"/>
          <w:szCs w:val="44"/>
        </w:rPr>
      </w:pPr>
    </w:p>
    <w:p>
      <w:pPr>
        <w:spacing w:line="360" w:lineRule="auto"/>
        <w:ind w:left="420" w:leftChars="200"/>
        <w:jc w:val="center"/>
        <w:rPr>
          <w:rFonts w:ascii="仿宋_GB2312" w:hAnsi="宋体" w:eastAsia="黑体"/>
          <w:b/>
          <w:bCs/>
          <w:sz w:val="32"/>
          <w:szCs w:val="32"/>
        </w:rPr>
      </w:pPr>
    </w:p>
    <w:p>
      <w:pPr>
        <w:spacing w:line="360" w:lineRule="auto"/>
        <w:ind w:left="420" w:leftChars="200"/>
        <w:jc w:val="center"/>
        <w:rPr>
          <w:rFonts w:ascii="仿宋_GB2312" w:hAnsi="宋体" w:eastAsia="黑体"/>
          <w:b/>
          <w:bCs/>
          <w:sz w:val="32"/>
          <w:szCs w:val="32"/>
        </w:rPr>
      </w:pPr>
    </w:p>
    <w:p>
      <w:pPr>
        <w:spacing w:line="360" w:lineRule="auto"/>
        <w:jc w:val="center"/>
        <w:rPr>
          <w:rFonts w:ascii="仿宋_GB2312" w:hAnsi="宋体" w:eastAsia="黑体"/>
          <w:b/>
          <w:bCs/>
          <w:sz w:val="72"/>
          <w:szCs w:val="72"/>
        </w:rPr>
      </w:pPr>
      <w:r>
        <w:rPr>
          <w:rFonts w:hint="eastAsia" w:ascii="仿宋_GB2312" w:hAnsi="黑体" w:eastAsia="黑体"/>
          <w:b/>
          <w:bCs/>
          <w:sz w:val="72"/>
          <w:szCs w:val="72"/>
        </w:rPr>
        <w:t>招</w:t>
      </w:r>
    </w:p>
    <w:p>
      <w:pPr>
        <w:spacing w:line="360" w:lineRule="auto"/>
        <w:jc w:val="center"/>
        <w:rPr>
          <w:rFonts w:ascii="仿宋_GB2312" w:hAnsi="宋体" w:eastAsia="黑体"/>
          <w:b/>
          <w:bCs/>
          <w:sz w:val="72"/>
          <w:szCs w:val="72"/>
        </w:rPr>
      </w:pPr>
    </w:p>
    <w:p>
      <w:pPr>
        <w:spacing w:line="360" w:lineRule="auto"/>
        <w:jc w:val="center"/>
        <w:rPr>
          <w:rFonts w:ascii="仿宋_GB2312" w:hAnsi="宋体" w:eastAsia="黑体"/>
          <w:b/>
          <w:bCs/>
          <w:sz w:val="72"/>
          <w:szCs w:val="72"/>
        </w:rPr>
      </w:pPr>
      <w:r>
        <w:rPr>
          <w:rFonts w:hint="eastAsia" w:ascii="仿宋_GB2312" w:hAnsi="黑体" w:eastAsia="黑体"/>
          <w:b/>
          <w:bCs/>
          <w:sz w:val="72"/>
          <w:szCs w:val="72"/>
        </w:rPr>
        <w:t>标</w:t>
      </w:r>
    </w:p>
    <w:p>
      <w:pPr>
        <w:spacing w:line="360" w:lineRule="auto"/>
        <w:jc w:val="center"/>
        <w:rPr>
          <w:rFonts w:ascii="仿宋_GB2312" w:hAnsi="宋体" w:eastAsia="黑体"/>
          <w:b/>
          <w:bCs/>
          <w:sz w:val="48"/>
          <w:szCs w:val="48"/>
        </w:rPr>
      </w:pPr>
    </w:p>
    <w:p>
      <w:pPr>
        <w:spacing w:line="360" w:lineRule="auto"/>
        <w:jc w:val="center"/>
        <w:rPr>
          <w:rFonts w:ascii="仿宋_GB2312" w:hAnsi="宋体" w:eastAsia="黑体"/>
          <w:b/>
          <w:bCs/>
          <w:sz w:val="72"/>
          <w:szCs w:val="72"/>
        </w:rPr>
      </w:pPr>
      <w:r>
        <w:rPr>
          <w:rFonts w:hint="eastAsia" w:ascii="仿宋_GB2312" w:hAnsi="黑体" w:eastAsia="黑体"/>
          <w:b/>
          <w:bCs/>
          <w:sz w:val="72"/>
          <w:szCs w:val="72"/>
        </w:rPr>
        <w:t>书</w:t>
      </w:r>
    </w:p>
    <w:p>
      <w:pPr>
        <w:spacing w:line="360" w:lineRule="auto"/>
        <w:ind w:left="420" w:leftChars="200"/>
        <w:jc w:val="center"/>
        <w:rPr>
          <w:rFonts w:ascii="仿宋_GB2312" w:hAnsi="宋体"/>
          <w:sz w:val="44"/>
          <w:szCs w:val="44"/>
        </w:rPr>
      </w:pPr>
    </w:p>
    <w:p>
      <w:pPr>
        <w:spacing w:line="360" w:lineRule="auto"/>
        <w:ind w:left="420" w:leftChars="200"/>
        <w:jc w:val="center"/>
        <w:rPr>
          <w:rFonts w:ascii="仿宋_GB2312" w:hAnsi="宋体" w:cs="Arial"/>
          <w:sz w:val="48"/>
          <w:szCs w:val="48"/>
        </w:rPr>
      </w:pPr>
    </w:p>
    <w:p>
      <w:pPr>
        <w:spacing w:line="360" w:lineRule="auto"/>
        <w:rPr>
          <w:rFonts w:ascii="仿宋_GB2312" w:hAnsi="宋体" w:cs="Arial"/>
          <w:sz w:val="48"/>
          <w:szCs w:val="48"/>
        </w:rPr>
      </w:pPr>
    </w:p>
    <w:p>
      <w:pPr>
        <w:spacing w:line="600" w:lineRule="exact"/>
        <w:jc w:val="center"/>
        <w:rPr>
          <w:rFonts w:ascii="仿宋_GB2312" w:hAnsi="宋体"/>
          <w:b/>
          <w:bCs/>
          <w:sz w:val="32"/>
          <w:szCs w:val="32"/>
        </w:rPr>
      </w:pPr>
      <w:r>
        <w:rPr>
          <w:rFonts w:hint="eastAsia" w:ascii="仿宋_GB2312" w:hAnsi="宋体"/>
          <w:b/>
          <w:bCs/>
          <w:sz w:val="32"/>
          <w:szCs w:val="32"/>
        </w:rPr>
        <w:t>深圳市发展和改革委员会</w:t>
      </w:r>
    </w:p>
    <w:p>
      <w:pPr>
        <w:spacing w:line="600" w:lineRule="exact"/>
        <w:jc w:val="center"/>
        <w:rPr>
          <w:rFonts w:ascii="仿宋_GB2312"/>
        </w:rPr>
      </w:pPr>
      <w:r>
        <w:rPr>
          <w:rFonts w:hint="eastAsia" w:ascii="仿宋_GB2312" w:hAnsi="宋体"/>
          <w:b/>
          <w:bCs/>
          <w:sz w:val="32"/>
          <w:szCs w:val="32"/>
        </w:rPr>
        <w:t>20</w:t>
      </w:r>
      <w:r>
        <w:rPr>
          <w:rFonts w:ascii="仿宋_GB2312" w:hAnsi="宋体"/>
          <w:b/>
          <w:bCs/>
          <w:sz w:val="32"/>
          <w:szCs w:val="32"/>
        </w:rPr>
        <w:t>22</w:t>
      </w:r>
      <w:r>
        <w:rPr>
          <w:rFonts w:hint="eastAsia" w:ascii="仿宋_GB2312" w:hAnsi="宋体"/>
          <w:b/>
          <w:bCs/>
          <w:sz w:val="32"/>
          <w:szCs w:val="32"/>
        </w:rPr>
        <w:t>年</w:t>
      </w:r>
      <w:r>
        <w:rPr>
          <w:rFonts w:ascii="仿宋_GB2312" w:hAnsi="宋体"/>
          <w:b/>
          <w:bCs/>
          <w:sz w:val="32"/>
          <w:szCs w:val="32"/>
        </w:rPr>
        <w:t>3</w:t>
      </w:r>
      <w:r>
        <w:rPr>
          <w:rFonts w:hint="eastAsia" w:ascii="仿宋_GB2312" w:hAnsi="宋体"/>
          <w:b/>
          <w:bCs/>
          <w:sz w:val="32"/>
          <w:szCs w:val="32"/>
        </w:rPr>
        <w:t>月</w:t>
      </w:r>
    </w:p>
    <w:p>
      <w:pPr>
        <w:jc w:val="left"/>
        <w:rPr>
          <w:rFonts w:ascii="仿宋_GB2312"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仿宋_GB2312" w:hAnsi="宋体" w:cs="Arial"/>
          <w:b/>
          <w:bCs/>
          <w:sz w:val="44"/>
          <w:szCs w:val="44"/>
        </w:rPr>
      </w:pPr>
    </w:p>
    <w:p>
      <w:pPr>
        <w:adjustRightInd w:val="0"/>
        <w:snapToGrid w:val="0"/>
        <w:jc w:val="center"/>
        <w:rPr>
          <w:rFonts w:ascii="仿宋_GB2312" w:hAnsi="宋体" w:cs="Arial"/>
          <w:b/>
          <w:bCs/>
          <w:sz w:val="44"/>
          <w:szCs w:val="44"/>
        </w:rPr>
      </w:pPr>
      <w:r>
        <w:rPr>
          <w:rFonts w:hint="eastAsia" w:ascii="仿宋_GB2312" w:hAnsi="宋体" w:cs="Arial"/>
          <w:b/>
          <w:bCs/>
          <w:sz w:val="44"/>
          <w:szCs w:val="44"/>
        </w:rPr>
        <w:t>深圳市体育设施建设研究课题</w:t>
      </w:r>
    </w:p>
    <w:p>
      <w:pPr>
        <w:adjustRightInd w:val="0"/>
        <w:snapToGrid w:val="0"/>
        <w:jc w:val="center"/>
        <w:rPr>
          <w:rFonts w:ascii="仿宋_GB2312" w:hAnsi="宋体" w:cs="Arial"/>
          <w:b/>
          <w:bCs/>
          <w:sz w:val="44"/>
          <w:szCs w:val="44"/>
        </w:rPr>
      </w:pPr>
      <w:r>
        <w:rPr>
          <w:rFonts w:hint="eastAsia" w:ascii="仿宋_GB2312" w:hAnsi="宋体" w:cs="Arial"/>
          <w:b/>
          <w:bCs/>
          <w:sz w:val="44"/>
          <w:szCs w:val="44"/>
        </w:rPr>
        <w:t>项目招标书</w:t>
      </w:r>
    </w:p>
    <w:p>
      <w:pPr>
        <w:spacing w:line="560" w:lineRule="exact"/>
        <w:ind w:firstLine="643" w:firstLineChars="200"/>
        <w:rPr>
          <w:rFonts w:ascii="仿宋_GB2312" w:hAnsi="黑体" w:eastAsia="黑体"/>
          <w:b/>
          <w:bCs/>
          <w:sz w:val="32"/>
          <w:szCs w:val="32"/>
        </w:rPr>
      </w:pP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（一）项目名称：深圳市体育设施建设研究。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万元以下。</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二、项目内容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（一）前瞻研判国内外体育设施建设总体形势。全面把握体育设施建设趋势，系统梳理国家对体育设施尤其是全民健身设施建设的政策导向，在全球坐标系和国家发展大局中厘清深圳推进体育设施建设的方向。</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（二）系统梳理深圳体育设施现状及问题。基于广泛</w:t>
      </w:r>
      <w:r>
        <w:rPr>
          <w:rFonts w:ascii="仿宋_GB2312" w:hAnsi="仿宋_GB2312" w:eastAsia="仿宋_GB2312" w:cs="仿宋_GB2312"/>
          <w:bCs/>
          <w:sz w:val="32"/>
          <w:szCs w:val="32"/>
        </w:rPr>
        <w:t>调查</w:t>
      </w:r>
      <w:r>
        <w:rPr>
          <w:rFonts w:hint="eastAsia" w:ascii="仿宋_GB2312" w:hAnsi="仿宋_GB2312" w:eastAsia="仿宋_GB2312" w:cs="仿宋_GB2312"/>
          <w:bCs/>
          <w:sz w:val="32"/>
          <w:szCs w:val="32"/>
        </w:rPr>
        <w:t>研究，摸清体育设施特别是全民健身设施建设需求，重点围绕设施类型、数量规模、空间分布、投融资模式、运营管理等方面，总结分析深圳体育设施现状底数和短板问题。</w:t>
      </w:r>
    </w:p>
    <w:p>
      <w:pPr>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bCs/>
          <w:sz w:val="32"/>
          <w:szCs w:val="32"/>
        </w:rPr>
        <w:t>（三）研究提出深圳体育设施未来建设运营总体思路。充分借鉴国内外体育标杆城市先进经验做法，</w:t>
      </w:r>
      <w:r>
        <w:rPr>
          <w:rFonts w:hint="eastAsia" w:ascii="仿宋_GB2312" w:eastAsia="仿宋_GB2312"/>
          <w:kern w:val="0"/>
          <w:sz w:val="32"/>
          <w:szCs w:val="32"/>
        </w:rPr>
        <w:t>结合当前深圳体育设施建设运营总体现状和存在问题，研究提出未来一段时期深圳体育设施建设运营的总体思路。</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四</w:t>
      </w:r>
      <w:r>
        <w:rPr>
          <w:rFonts w:ascii="仿宋_GB2312" w:hAnsi="仿宋_GB2312" w:eastAsia="仿宋_GB2312" w:cs="仿宋_GB2312"/>
          <w:bCs/>
          <w:sz w:val="32"/>
          <w:szCs w:val="32"/>
        </w:rPr>
        <w:t>）充分论证重点体育设施项目建设必要性。结合深圳</w:t>
      </w:r>
      <w:r>
        <w:rPr>
          <w:rFonts w:hint="eastAsia" w:ascii="仿宋_GB2312" w:hAnsi="仿宋_GB2312" w:eastAsia="仿宋_GB2312" w:cs="仿宋_GB2312"/>
          <w:bCs/>
          <w:sz w:val="32"/>
          <w:szCs w:val="32"/>
        </w:rPr>
        <w:t>体育设施建设运营总体思路，</w:t>
      </w:r>
      <w:r>
        <w:rPr>
          <w:rFonts w:ascii="仿宋_GB2312" w:hAnsi="仿宋_GB2312" w:eastAsia="仿宋_GB2312" w:cs="仿宋_GB2312"/>
          <w:bCs/>
          <w:sz w:val="32"/>
          <w:szCs w:val="32"/>
        </w:rPr>
        <w:t>重点聚焦</w:t>
      </w:r>
      <w:r>
        <w:rPr>
          <w:rFonts w:hint="eastAsia" w:ascii="仿宋_GB2312" w:hAnsi="仿宋_GB2312" w:eastAsia="仿宋_GB2312" w:cs="仿宋_GB2312"/>
          <w:bCs/>
          <w:sz w:val="32"/>
          <w:szCs w:val="32"/>
        </w:rPr>
        <w:t>未来谋划储备体育设施项目，充分论证项目建设必要性、可行性及建设规模和内容。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（五）</w:t>
      </w:r>
      <w:r>
        <w:rPr>
          <w:rFonts w:hint="eastAsia" w:ascii="仿宋_GB2312" w:hAnsi="仿宋_GB2312" w:eastAsia="仿宋_GB2312" w:cs="仿宋_GB2312"/>
          <w:sz w:val="32"/>
          <w:szCs w:val="32"/>
        </w:rPr>
        <w:t>研究提出</w:t>
      </w:r>
      <w:r>
        <w:rPr>
          <w:rFonts w:hint="eastAsia" w:ascii="仿宋_GB2312" w:hAnsi="仿宋_GB2312" w:eastAsia="仿宋_GB2312" w:cs="仿宋_GB2312"/>
          <w:bCs/>
          <w:sz w:val="32"/>
          <w:szCs w:val="32"/>
        </w:rPr>
        <w:t>深圳体育设施建设项目实施建议</w:t>
      </w:r>
      <w:r>
        <w:rPr>
          <w:rFonts w:hint="eastAsia" w:ascii="仿宋_GB2312" w:hAnsi="仿宋_GB2312" w:eastAsia="仿宋_GB2312" w:cs="仿宋_GB2312"/>
          <w:sz w:val="32"/>
          <w:szCs w:val="32"/>
        </w:rPr>
        <w:t>。针对</w:t>
      </w:r>
      <w:r>
        <w:rPr>
          <w:rFonts w:hint="eastAsia" w:ascii="仿宋_GB2312" w:hAnsi="仿宋_GB2312" w:eastAsia="仿宋_GB2312" w:cs="仿宋_GB2312"/>
          <w:bCs/>
          <w:sz w:val="32"/>
          <w:szCs w:val="32"/>
        </w:rPr>
        <w:t>重点项目，</w:t>
      </w:r>
      <w:r>
        <w:rPr>
          <w:rFonts w:hint="eastAsia" w:ascii="仿宋_GB2312" w:hAnsi="仿宋_GB2312" w:eastAsia="仿宋_GB2312" w:cs="仿宋_GB2312"/>
          <w:sz w:val="32"/>
          <w:szCs w:val="32"/>
        </w:rPr>
        <w:t>研究提出体育设施项目建设时序、投融资模式、运营管理模式等方面具体建议</w:t>
      </w:r>
      <w:r>
        <w:rPr>
          <w:rFonts w:hint="eastAsia" w:ascii="仿宋_GB2312" w:hAnsi="Times New Roman" w:eastAsia="仿宋_GB2312"/>
          <w:sz w:val="32"/>
          <w:szCs w:val="24"/>
        </w:rPr>
        <w:t>。</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三、项目技术要求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（三）研究成果要具有前瞻性，面向未来、视野开阔，把握未来发展趋势；具有系统性，研究成果要体系完整、内容全面、材料丰富；具有实用性，研究成果符合深圳实际，针对性和可操作性强。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四、项目成果交付要求</w:t>
      </w:r>
    </w:p>
    <w:p>
      <w:pPr>
        <w:spacing w:line="560" w:lineRule="exact"/>
        <w:ind w:firstLine="640" w:firstLineChars="200"/>
        <w:rPr>
          <w:rFonts w:ascii="仿宋_GB2312" w:hAnsi="Times New Roman" w:eastAsia="仿宋_GB2312"/>
          <w:sz w:val="32"/>
          <w:szCs w:val="24"/>
        </w:rPr>
      </w:pPr>
      <w:r>
        <w:rPr>
          <w:rFonts w:hint="eastAsia" w:ascii="仿宋_GB2312" w:hAnsi="Times New Roman" w:eastAsia="仿宋_GB2312"/>
          <w:sz w:val="32"/>
          <w:szCs w:val="24"/>
        </w:rPr>
        <w:t>提交研究成果纸质版</w:t>
      </w:r>
      <w:r>
        <w:rPr>
          <w:rFonts w:ascii="仿宋_GB2312" w:hAnsi="Times New Roman" w:eastAsia="仿宋_GB2312"/>
          <w:sz w:val="32"/>
          <w:szCs w:val="24"/>
        </w:rPr>
        <w:t>5</w:t>
      </w:r>
      <w:r>
        <w:rPr>
          <w:rFonts w:hint="eastAsia" w:ascii="仿宋_GB2312" w:hAnsi="Times New Roman" w:eastAsia="仿宋_GB2312"/>
          <w:sz w:val="32"/>
          <w:szCs w:val="24"/>
        </w:rPr>
        <w:t>份和电子版，文件能够简明扼要介绍成果核心内容与主要结论。</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六、投标时间、方式及联系人</w:t>
      </w:r>
    </w:p>
    <w:p>
      <w:pPr>
        <w:spacing w:line="560" w:lineRule="exact"/>
        <w:ind w:firstLine="640" w:firstLineChars="200"/>
        <w:rPr>
          <w:rFonts w:ascii="仿宋_GB2312" w:hAnsi="Times New Roman" w:eastAsia="仿宋_GB2312"/>
          <w:sz w:val="32"/>
          <w:szCs w:val="24"/>
        </w:rPr>
      </w:pPr>
      <w:r>
        <w:rPr>
          <w:rFonts w:hint="eastAsia" w:ascii="仿宋_GB2312" w:hAnsi="Times New Roman" w:eastAsia="仿宋_GB2312"/>
          <w:sz w:val="32"/>
          <w:szCs w:val="24"/>
        </w:rPr>
        <w:t>（一）投标时间：</w:t>
      </w:r>
      <w:r>
        <w:rPr>
          <w:rFonts w:ascii="仿宋_GB2312" w:hAnsi="Times New Roman" w:eastAsia="仿宋_GB2312"/>
          <w:sz w:val="32"/>
          <w:szCs w:val="24"/>
        </w:rPr>
        <w:t>2022</w:t>
      </w:r>
      <w:r>
        <w:rPr>
          <w:rFonts w:hint="eastAsia" w:ascii="仿宋_GB2312" w:hAnsi="Times New Roman" w:eastAsia="仿宋_GB2312"/>
          <w:sz w:val="32"/>
          <w:szCs w:val="24"/>
        </w:rPr>
        <w:t>年</w:t>
      </w:r>
      <w:r>
        <w:rPr>
          <w:rFonts w:ascii="仿宋_GB2312" w:hAnsi="Times New Roman" w:eastAsia="仿宋_GB2312"/>
          <w:sz w:val="32"/>
          <w:szCs w:val="24"/>
        </w:rPr>
        <w:t>3</w:t>
      </w:r>
      <w:r>
        <w:rPr>
          <w:rFonts w:hint="eastAsia" w:ascii="仿宋_GB2312" w:hAnsi="Times New Roman" w:eastAsia="仿宋_GB2312"/>
          <w:sz w:val="32"/>
          <w:szCs w:val="24"/>
        </w:rPr>
        <w:t>月</w:t>
      </w:r>
      <w:r>
        <w:rPr>
          <w:rFonts w:ascii="仿宋_GB2312" w:hAnsi="Times New Roman" w:eastAsia="仿宋_GB2312"/>
          <w:sz w:val="32"/>
          <w:szCs w:val="24"/>
        </w:rPr>
        <w:t>2</w:t>
      </w:r>
      <w:r>
        <w:rPr>
          <w:rFonts w:hint="eastAsia" w:ascii="仿宋_GB2312" w:hAnsi="Times New Roman" w:eastAsia="仿宋_GB2312"/>
          <w:sz w:val="32"/>
          <w:szCs w:val="24"/>
        </w:rPr>
        <w:t>8日至</w:t>
      </w:r>
      <w:r>
        <w:rPr>
          <w:rFonts w:ascii="仿宋_GB2312" w:hAnsi="Times New Roman" w:eastAsia="仿宋_GB2312"/>
          <w:sz w:val="32"/>
          <w:szCs w:val="24"/>
        </w:rPr>
        <w:t>2022</w:t>
      </w:r>
      <w:r>
        <w:rPr>
          <w:rFonts w:hint="eastAsia" w:ascii="仿宋_GB2312" w:hAnsi="Times New Roman" w:eastAsia="仿宋_GB2312"/>
          <w:sz w:val="32"/>
          <w:szCs w:val="24"/>
        </w:rPr>
        <w:t>年</w:t>
      </w:r>
      <w:r>
        <w:rPr>
          <w:rFonts w:ascii="仿宋_GB2312" w:hAnsi="Times New Roman" w:eastAsia="仿宋_GB2312"/>
          <w:sz w:val="32"/>
          <w:szCs w:val="24"/>
        </w:rPr>
        <w:t>4</w:t>
      </w:r>
      <w:r>
        <w:rPr>
          <w:rFonts w:hint="eastAsia" w:ascii="仿宋_GB2312" w:hAnsi="Times New Roman" w:eastAsia="仿宋_GB2312"/>
          <w:sz w:val="32"/>
          <w:szCs w:val="24"/>
        </w:rPr>
        <w:t>月8日，每日上午</w:t>
      </w:r>
      <w:r>
        <w:rPr>
          <w:rFonts w:ascii="仿宋_GB2312" w:hAnsi="Times New Roman" w:eastAsia="仿宋_GB2312"/>
          <w:sz w:val="32"/>
          <w:szCs w:val="24"/>
        </w:rPr>
        <w:t>9:00-12:00，下午2:00-5:45（节假日除外）。逾期未投标将不再受理。</w:t>
      </w:r>
    </w:p>
    <w:p>
      <w:pPr>
        <w:spacing w:line="560" w:lineRule="exact"/>
        <w:ind w:firstLine="640" w:firstLineChars="200"/>
        <w:rPr>
          <w:rFonts w:ascii="仿宋_GB2312" w:hAnsi="Times New Roman" w:eastAsia="仿宋_GB2312"/>
          <w:sz w:val="32"/>
          <w:szCs w:val="24"/>
        </w:rPr>
      </w:pPr>
      <w:r>
        <w:rPr>
          <w:rFonts w:hint="eastAsia" w:ascii="仿宋_GB2312" w:hAnsi="Times New Roman" w:eastAsia="仿宋_GB2312"/>
          <w:sz w:val="32"/>
          <w:szCs w:val="24"/>
        </w:rPr>
        <w:t>（二）投标地点：深圳市福田区福中三路市民中心</w:t>
      </w:r>
      <w:r>
        <w:rPr>
          <w:rFonts w:ascii="仿宋_GB2312" w:hAnsi="Times New Roman" w:eastAsia="仿宋_GB2312"/>
          <w:sz w:val="32"/>
          <w:szCs w:val="24"/>
        </w:rPr>
        <w:t>B区行政服务大厅2号市发展和改革委卡座（可邮寄，以送达日期为投标日期）。</w:t>
      </w:r>
    </w:p>
    <w:p>
      <w:pPr>
        <w:spacing w:line="560" w:lineRule="exact"/>
        <w:ind w:firstLine="640" w:firstLineChars="200"/>
        <w:rPr>
          <w:rFonts w:ascii="仿宋_GB2312" w:hAnsi="Times New Roman" w:eastAsia="仿宋_GB2312"/>
          <w:sz w:val="32"/>
          <w:szCs w:val="24"/>
        </w:rPr>
      </w:pPr>
      <w:r>
        <w:rPr>
          <w:rFonts w:hint="eastAsia" w:ascii="仿宋_GB2312" w:hAnsi="Times New Roman" w:eastAsia="仿宋_GB2312"/>
          <w:sz w:val="32"/>
          <w:szCs w:val="24"/>
        </w:rPr>
        <w:t>（三）联系人：</w:t>
      </w:r>
      <w:r>
        <w:rPr>
          <w:rFonts w:hint="eastAsia" w:ascii="仿宋_GB2312" w:hAnsi="Times New Roman" w:eastAsia="仿宋_GB2312"/>
          <w:color w:val="000000" w:themeColor="text1"/>
          <w:sz w:val="32"/>
          <w:szCs w:val="32"/>
          <w14:textFill>
            <w14:solidFill>
              <w14:schemeClr w14:val="tx1"/>
            </w14:solidFill>
          </w14:textFill>
        </w:rPr>
        <w:t>杨淑姝</w:t>
      </w:r>
      <w:r>
        <w:rPr>
          <w:rFonts w:hint="eastAsia" w:ascii="仿宋_GB2312" w:hAnsi="Times New Roman" w:eastAsia="仿宋_GB2312"/>
          <w:sz w:val="32"/>
          <w:szCs w:val="24"/>
        </w:rPr>
        <w:t>，</w:t>
      </w:r>
      <w:r>
        <w:rPr>
          <w:rFonts w:hint="eastAsia" w:ascii="仿宋_GB2312" w:hAnsi="Times New Roman" w:eastAsia="仿宋_GB2312"/>
          <w:bCs/>
          <w:sz w:val="32"/>
          <w:szCs w:val="32"/>
        </w:rPr>
        <w:t>0755-</w:t>
      </w:r>
      <w:r>
        <w:rPr>
          <w:rFonts w:hint="eastAsia" w:ascii="仿宋_GB2312" w:hAnsi="Times New Roman" w:eastAsia="仿宋_GB2312"/>
          <w:color w:val="000000" w:themeColor="text1"/>
          <w:sz w:val="32"/>
          <w:szCs w:val="32"/>
          <w14:textFill>
            <w14:solidFill>
              <w14:schemeClr w14:val="tx1"/>
            </w14:solidFill>
          </w14:textFill>
        </w:rPr>
        <w:t>88121935</w:t>
      </w:r>
      <w:r>
        <w:rPr>
          <w:rFonts w:ascii="仿宋_GB2312" w:hAnsi="Times New Roman" w:eastAsia="仿宋_GB2312"/>
          <w:sz w:val="32"/>
          <w:szCs w:val="24"/>
        </w:rPr>
        <w:t>。</w:t>
      </w:r>
    </w:p>
    <w:p>
      <w:pPr>
        <w:spacing w:line="560" w:lineRule="exact"/>
        <w:ind w:firstLine="643" w:firstLineChars="200"/>
        <w:rPr>
          <w:rFonts w:ascii="仿宋_GB2312" w:hAnsi="黑体" w:eastAsia="黑体"/>
          <w:b/>
          <w:bCs/>
          <w:sz w:val="32"/>
          <w:szCs w:val="32"/>
        </w:rPr>
      </w:pPr>
      <w:r>
        <w:rPr>
          <w:rFonts w:ascii="仿宋_GB2312" w:hAnsi="黑体" w:eastAsia="黑体"/>
          <w:b/>
          <w:bCs/>
          <w:sz w:val="32"/>
          <w:szCs w:val="32"/>
        </w:rPr>
        <w:t>七</w:t>
      </w:r>
      <w:r>
        <w:rPr>
          <w:rFonts w:hint="eastAsia" w:ascii="仿宋_GB2312" w:hAnsi="黑体" w:eastAsia="黑体"/>
          <w:b/>
          <w:bCs/>
          <w:sz w:val="32"/>
          <w:szCs w:val="32"/>
        </w:rPr>
        <w:t>、投标文件递交内容</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（四）项目方案及报价单（原件加盖公章）。</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（七）投标及履约承诺函原件（格式见附件）。</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（九）投标人认为有必要提供的其它材料。</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投标文件一式六份（另附光盘拷贝电子版），整套材料密封并加盖骑缝章，封面注明投标人的名称、地址、联系人及手机号码。</w:t>
      </w:r>
    </w:p>
    <w:p>
      <w:pPr>
        <w:adjustRightInd w:val="0"/>
        <w:snapToGrid w:val="0"/>
        <w:spacing w:line="560" w:lineRule="exact"/>
        <w:ind w:firstLine="643" w:firstLineChars="200"/>
        <w:outlineLvl w:val="0"/>
        <w:rPr>
          <w:rFonts w:ascii="仿宋_GB2312" w:hAnsi="黑体" w:eastAsia="黑体"/>
          <w:b/>
          <w:bCs/>
          <w:sz w:val="32"/>
          <w:szCs w:val="32"/>
        </w:rPr>
      </w:pPr>
      <w:r>
        <w:rPr>
          <w:rFonts w:ascii="仿宋_GB2312" w:hAnsi="黑体" w:eastAsia="黑体"/>
          <w:b/>
          <w:bCs/>
          <w:sz w:val="32"/>
          <w:szCs w:val="32"/>
        </w:rPr>
        <w:t>八</w:t>
      </w:r>
      <w:r>
        <w:rPr>
          <w:rFonts w:hint="eastAsia" w:ascii="仿宋_GB2312" w:hAnsi="黑体" w:eastAsia="黑体"/>
          <w:b/>
          <w:bCs/>
          <w:sz w:val="32"/>
          <w:szCs w:val="32"/>
        </w:rPr>
        <w:t>、重要提示</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（三）投标文件未按规定密封、签字、盖章。</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仿宋" w:eastAsia="仿宋" w:cs="仿宋_GB2312"/>
          <w:sz w:val="32"/>
          <w:szCs w:val="32"/>
        </w:rPr>
      </w:pPr>
      <w:r>
        <w:rPr>
          <w:rFonts w:hint="eastAsia" w:ascii="仿宋_GB2312" w:hAnsi="仿宋" w:eastAsia="仿宋" w:cs="仿宋_GB2312"/>
          <w:sz w:val="32"/>
          <w:szCs w:val="32"/>
        </w:rPr>
        <w:t>（九）法律、法规规定的其他情形。</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九、评标方法</w:t>
      </w:r>
    </w:p>
    <w:p>
      <w:pPr>
        <w:adjustRightInd w:val="0"/>
        <w:snapToGrid w:val="0"/>
        <w:spacing w:line="560" w:lineRule="exact"/>
        <w:ind w:firstLine="640" w:firstLineChars="200"/>
        <w:outlineLvl w:val="0"/>
        <w:rPr>
          <w:rFonts w:ascii="仿宋_GB2312" w:hAnsi="仿宋" w:eastAsia="仿宋" w:cs="仿宋_GB2312"/>
          <w:sz w:val="32"/>
          <w:szCs w:val="32"/>
        </w:rPr>
      </w:pPr>
      <w:r>
        <w:rPr>
          <w:rFonts w:hint="eastAsia" w:ascii="仿宋_GB2312"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_GB2312" w:hAnsi="仿宋" w:eastAsia="仿宋" w:cs="仿宋_GB2312"/>
          <w:sz w:val="32"/>
          <w:szCs w:val="32"/>
        </w:rPr>
      </w:pPr>
      <w:r>
        <w:rPr>
          <w:rFonts w:hint="eastAsia" w:ascii="仿宋_GB2312"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141"/>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88" w:hRule="atLeast"/>
        </w:trPr>
        <w:tc>
          <w:tcPr>
            <w:tcW w:w="680" w:type="dxa"/>
            <w:tcBorders>
              <w:top w:val="single" w:color="auto" w:sz="8" w:space="0"/>
              <w:left w:val="single" w:color="auto" w:sz="8" w:space="0"/>
              <w:bottom w:val="single" w:color="auto" w:sz="8" w:space="0"/>
              <w:right w:val="single" w:color="auto" w:sz="8" w:space="0"/>
            </w:tcBorders>
            <w:vAlign w:val="center"/>
          </w:tcPr>
          <w:p>
            <w:pPr>
              <w:rPr>
                <w:rFonts w:ascii="仿宋_GB2312" w:hAnsi="宋体" w:cs="宋体"/>
                <w:b/>
                <w:sz w:val="22"/>
                <w:szCs w:val="24"/>
              </w:rPr>
            </w:pPr>
            <w:r>
              <w:rPr>
                <w:rFonts w:hint="eastAsia" w:ascii="仿宋_GB2312" w:hAnsi="宋体" w:cs="宋体"/>
                <w:b/>
                <w:sz w:val="22"/>
                <w:szCs w:val="24"/>
              </w:rPr>
              <w:t>评审部分</w:t>
            </w:r>
          </w:p>
        </w:tc>
        <w:tc>
          <w:tcPr>
            <w:tcW w:w="1202" w:type="dxa"/>
            <w:tcBorders>
              <w:top w:val="single" w:color="auto" w:sz="8" w:space="0"/>
              <w:left w:val="single" w:color="auto" w:sz="8" w:space="0"/>
              <w:bottom w:val="single" w:color="auto" w:sz="8" w:space="0"/>
              <w:right w:val="single" w:color="auto" w:sz="8" w:space="0"/>
            </w:tcBorders>
            <w:vAlign w:val="center"/>
          </w:tcPr>
          <w:p>
            <w:pPr>
              <w:rPr>
                <w:rFonts w:ascii="仿宋_GB2312" w:hAnsi="宋体" w:cs="宋体"/>
                <w:b/>
                <w:sz w:val="22"/>
                <w:szCs w:val="24"/>
              </w:rPr>
            </w:pPr>
            <w:r>
              <w:rPr>
                <w:rFonts w:hint="eastAsia" w:ascii="仿宋_GB2312" w:hAnsi="宋体" w:cs="宋体"/>
                <w:b/>
                <w:sz w:val="22"/>
                <w:szCs w:val="24"/>
              </w:rPr>
              <w:t>评审因素</w:t>
            </w:r>
          </w:p>
        </w:tc>
        <w:tc>
          <w:tcPr>
            <w:tcW w:w="4678" w:type="dxa"/>
            <w:tcBorders>
              <w:top w:val="single" w:color="auto" w:sz="8" w:space="0"/>
              <w:left w:val="single" w:color="auto" w:sz="8" w:space="0"/>
              <w:bottom w:val="single" w:color="auto" w:sz="8" w:space="0"/>
              <w:right w:val="single" w:color="auto" w:sz="8" w:space="0"/>
            </w:tcBorders>
            <w:vAlign w:val="center"/>
          </w:tcPr>
          <w:p>
            <w:pPr>
              <w:rPr>
                <w:rFonts w:ascii="仿宋_GB2312" w:hAnsi="宋体" w:cs="宋体"/>
                <w:b/>
                <w:sz w:val="22"/>
                <w:szCs w:val="24"/>
              </w:rPr>
            </w:pPr>
            <w:r>
              <w:rPr>
                <w:rFonts w:hint="eastAsia" w:ascii="仿宋_GB2312" w:hAnsi="宋体" w:cs="宋体"/>
                <w:b/>
                <w:sz w:val="22"/>
                <w:szCs w:val="24"/>
              </w:rPr>
              <w:t>评分细则</w:t>
            </w:r>
          </w:p>
        </w:tc>
        <w:tc>
          <w:tcPr>
            <w:tcW w:w="850" w:type="dxa"/>
            <w:gridSpan w:val="2"/>
            <w:tcBorders>
              <w:top w:val="single" w:color="auto" w:sz="8" w:space="0"/>
              <w:left w:val="single" w:color="auto" w:sz="8" w:space="0"/>
              <w:bottom w:val="single" w:color="auto" w:sz="8" w:space="0"/>
              <w:right w:val="single" w:color="auto" w:sz="4" w:space="0"/>
            </w:tcBorders>
            <w:vAlign w:val="center"/>
          </w:tcPr>
          <w:p>
            <w:pPr>
              <w:rPr>
                <w:rFonts w:ascii="仿宋_GB2312" w:hAnsi="宋体" w:cs="宋体"/>
                <w:b/>
                <w:sz w:val="22"/>
                <w:szCs w:val="24"/>
              </w:rPr>
            </w:pPr>
            <w:r>
              <w:rPr>
                <w:rFonts w:hint="eastAsia" w:ascii="仿宋_GB2312" w:hAnsi="宋体" w:cs="宋体"/>
                <w:b/>
                <w:sz w:val="22"/>
                <w:szCs w:val="24"/>
              </w:rPr>
              <w:t>权重（%）</w:t>
            </w:r>
          </w:p>
        </w:tc>
        <w:tc>
          <w:tcPr>
            <w:tcW w:w="851" w:type="dxa"/>
            <w:tcBorders>
              <w:top w:val="single" w:color="auto" w:sz="8" w:space="0"/>
              <w:left w:val="single" w:color="auto" w:sz="4" w:space="0"/>
              <w:bottom w:val="single" w:color="auto" w:sz="8" w:space="0"/>
              <w:right w:val="single" w:color="auto" w:sz="8" w:space="0"/>
            </w:tcBorders>
            <w:vAlign w:val="center"/>
          </w:tcPr>
          <w:p>
            <w:pPr>
              <w:rPr>
                <w:rFonts w:ascii="仿宋_GB2312" w:hAnsi="宋体" w:cs="宋体"/>
                <w:b/>
                <w:sz w:val="22"/>
                <w:szCs w:val="24"/>
              </w:rPr>
            </w:pPr>
            <w:r>
              <w:rPr>
                <w:rFonts w:hint="eastAsia" w:ascii="仿宋_GB2312"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680"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一</w:t>
            </w:r>
          </w:p>
        </w:tc>
        <w:tc>
          <w:tcPr>
            <w:tcW w:w="7581" w:type="dxa"/>
            <w:gridSpan w:val="5"/>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技术部分（合计</w:t>
            </w:r>
            <w:r>
              <w:rPr>
                <w:rFonts w:ascii="仿宋_GB2312" w:hAnsi="宋体" w:eastAsia="仿宋_GB2312"/>
                <w:b/>
                <w:sz w:val="22"/>
                <w:szCs w:val="24"/>
              </w:rPr>
              <w:t>40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8" w:hRule="atLeast"/>
        </w:trPr>
        <w:tc>
          <w:tcPr>
            <w:tcW w:w="680" w:type="dxa"/>
            <w:tcBorders>
              <w:bottom w:val="single" w:color="auto" w:sz="4" w:space="0"/>
            </w:tcBorders>
            <w:vAlign w:val="center"/>
          </w:tcPr>
          <w:p>
            <w:pPr>
              <w:numPr>
                <w:ilvl w:val="0"/>
                <w:numId w:val="5"/>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实施方案</w:t>
            </w:r>
          </w:p>
        </w:tc>
        <w:tc>
          <w:tcPr>
            <w:tcW w:w="4819" w:type="dxa"/>
            <w:gridSpan w:val="2"/>
            <w:vAlign w:val="center"/>
          </w:tcPr>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根据投标人提供的项目实施方案的全面性、针对性、可操作性等进行分档评审：</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1.评价为优，得100%；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2.评价为良，得70%；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3.评价为中，得40%；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4.评价为差，得10%；</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2</w:t>
            </w:r>
            <w:r>
              <w:rPr>
                <w:rFonts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2</w:t>
            </w:r>
            <w:r>
              <w:rPr>
                <w:rFonts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质量保障措施及方案</w:t>
            </w:r>
          </w:p>
        </w:tc>
        <w:tc>
          <w:tcPr>
            <w:tcW w:w="4819" w:type="dxa"/>
            <w:gridSpan w:val="2"/>
          </w:tcPr>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根据投标人对项目进度计划和人员安排、质量和进度保障措施是否合理、可行等进行分档评审：</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1.评价为优，得100%；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2.评价为良，得70%；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3.评价为中，得40%；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4.评价为差，得10%；</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违约承诺</w:t>
            </w:r>
          </w:p>
        </w:tc>
        <w:tc>
          <w:tcPr>
            <w:tcW w:w="4819" w:type="dxa"/>
            <w:gridSpan w:val="2"/>
          </w:tcPr>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提供违约承诺，承诺满足招标文件要求，保证措施合理且有针对性，有具体的违约责任承诺。</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投标人提供违约承诺得100%。要求提供承诺（格式自定）作为得分依据，未提供承诺或承诺内容不满足要求不得分。</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二</w:t>
            </w:r>
          </w:p>
        </w:tc>
        <w:tc>
          <w:tcPr>
            <w:tcW w:w="7581" w:type="dxa"/>
            <w:gridSpan w:val="5"/>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综合实力部分</w:t>
            </w:r>
            <w:r>
              <w:rPr>
                <w:rFonts w:hint="eastAsia" w:ascii="仿宋_GB2312" w:hAnsi="宋体" w:eastAsia="仿宋_GB2312"/>
                <w:b/>
                <w:sz w:val="22"/>
                <w:szCs w:val="24"/>
              </w:rPr>
              <w:t>（合计50分）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w:t>
            </w:r>
          </w:p>
          <w:p>
            <w:pPr>
              <w:jc w:val="center"/>
              <w:rPr>
                <w:rFonts w:ascii="仿宋_GB2312" w:hAnsi="Arial" w:eastAsia="仿宋_GB2312"/>
                <w:b/>
                <w:bCs/>
                <w:sz w:val="22"/>
                <w:szCs w:val="32"/>
              </w:rPr>
            </w:pPr>
            <w:r>
              <w:rPr>
                <w:rFonts w:hint="eastAsia" w:ascii="仿宋_GB2312" w:hAnsi="宋体" w:eastAsia="仿宋_GB2312"/>
                <w:sz w:val="22"/>
                <w:szCs w:val="24"/>
              </w:rPr>
              <w:t>经验</w:t>
            </w:r>
          </w:p>
        </w:tc>
        <w:tc>
          <w:tcPr>
            <w:tcW w:w="4819" w:type="dxa"/>
            <w:gridSpan w:val="2"/>
            <w:vAlign w:val="center"/>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牵头承担过国家、省或市级综合规划、公共服务、政策创新等相关领域政府课题的，按国家级每项20%、省级每项15%、市级每项10%进行计分，最高得分不超过100%。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b/>
                <w:kern w:val="0"/>
                <w:sz w:val="22"/>
                <w:szCs w:val="24"/>
              </w:rPr>
            </w:pPr>
            <w:r>
              <w:rPr>
                <w:rFonts w:hint="eastAsia" w:ascii="仿宋_GB2312" w:hAnsi="宋体" w:eastAsia="仿宋_GB2312" w:cs="宋体"/>
                <w:kern w:val="0"/>
                <w:sz w:val="22"/>
                <w:szCs w:val="24"/>
              </w:rPr>
              <w:t>（1）要求提供中标通知书、合同关键页或其他证明文件。</w:t>
            </w:r>
          </w:p>
          <w:p>
            <w:pPr>
              <w:widowControl/>
              <w:ind w:left="-63" w:leftChars="-30" w:right="-88" w:rightChars="-42"/>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15</w:t>
            </w:r>
          </w:p>
        </w:tc>
        <w:tc>
          <w:tcPr>
            <w:tcW w:w="851" w:type="dxa"/>
            <w:tcBorders>
              <w:left w:val="single" w:color="auto" w:sz="4" w:space="0"/>
            </w:tcBorders>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w:t>
            </w:r>
          </w:p>
          <w:p>
            <w:pPr>
              <w:jc w:val="center"/>
              <w:rPr>
                <w:rFonts w:ascii="仿宋_GB2312" w:hAnsi="宋体" w:eastAsia="仿宋_GB2312"/>
                <w:sz w:val="22"/>
                <w:szCs w:val="24"/>
              </w:rPr>
            </w:pPr>
            <w:r>
              <w:rPr>
                <w:rFonts w:hint="eastAsia" w:ascii="仿宋_GB2312" w:hAnsi="宋体" w:eastAsia="仿宋_GB2312"/>
                <w:sz w:val="22"/>
                <w:szCs w:val="24"/>
              </w:rPr>
              <w:t>获奖情况</w:t>
            </w:r>
          </w:p>
        </w:tc>
        <w:tc>
          <w:tcPr>
            <w:tcW w:w="4819" w:type="dxa"/>
            <w:gridSpan w:val="2"/>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投标人承担的相关领域研究课题，获得市级及以上级别的荣誉奖励，每提供1个得</w:t>
            </w:r>
            <w:r>
              <w:rPr>
                <w:rFonts w:ascii="仿宋_GB2312" w:hAnsi="宋体" w:eastAsia="仿宋_GB2312" w:cs="宋体"/>
                <w:kern w:val="0"/>
                <w:sz w:val="22"/>
                <w:szCs w:val="24"/>
              </w:rPr>
              <w:t>25</w:t>
            </w:r>
            <w:r>
              <w:rPr>
                <w:rFonts w:hint="eastAsia" w:ascii="仿宋_GB2312" w:hAnsi="宋体" w:eastAsia="仿宋_GB2312" w:cs="宋体"/>
                <w:kern w:val="0"/>
                <w:sz w:val="22"/>
                <w:szCs w:val="24"/>
              </w:rPr>
              <w:t>%，最高得分不超过100%。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（1）要求提供相关证明文件。</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w:t>
            </w: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w:t>
            </w: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拟安排的项目负责人情况（仅限一人）</w:t>
            </w:r>
          </w:p>
        </w:tc>
        <w:tc>
          <w:tcPr>
            <w:tcW w:w="4819" w:type="dxa"/>
            <w:gridSpan w:val="2"/>
          </w:tcPr>
          <w:p>
            <w:pPr>
              <w:widowControl/>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（1）项目负责人具有中高级职称或博士学位，得25%，否则不得分；</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（2）项目负责人主持或参与过相关领域市级以上政府课题的，每提供1个得25%，最高得分不超过75%。</w:t>
            </w:r>
          </w:p>
          <w:p>
            <w:pPr>
              <w:widowControl/>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widowControl/>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拟安排的项目主要团队成员（主要技术人员）情况（项目负责人除外）</w:t>
            </w:r>
          </w:p>
        </w:tc>
        <w:tc>
          <w:tcPr>
            <w:tcW w:w="4819" w:type="dxa"/>
            <w:gridSpan w:val="2"/>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项目团队中每提供1位中高级职称或博士学位人员得50%，每提供1位有硕士学位人员得25%，最高得分不超过100%。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（1）要求提供通过投标人购买的团队成员近三个月社保，学位或职称文件等。</w:t>
            </w:r>
          </w:p>
          <w:p>
            <w:pPr>
              <w:widowControl/>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仿宋_GB2312" w:hAnsi="宋体" w:eastAsia="仿宋_GB2312"/>
                <w:b/>
                <w:sz w:val="22"/>
                <w:szCs w:val="24"/>
              </w:rPr>
            </w:pPr>
            <w:r>
              <w:rPr>
                <w:rFonts w:hint="eastAsia" w:ascii="仿宋_GB2312" w:hAnsi="宋体" w:eastAsia="仿宋_GB2312"/>
                <w:b/>
                <w:sz w:val="22"/>
                <w:szCs w:val="24"/>
              </w:rPr>
              <w:t>三</w:t>
            </w:r>
          </w:p>
        </w:tc>
        <w:tc>
          <w:tcPr>
            <w:tcW w:w="7581" w:type="dxa"/>
            <w:gridSpan w:val="5"/>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价格部分（合计1</w:t>
            </w:r>
            <w:r>
              <w:rPr>
                <w:rFonts w:ascii="仿宋_GB2312" w:hAnsi="宋体" w:eastAsia="仿宋_GB2312"/>
                <w:b/>
                <w:sz w:val="22"/>
                <w:szCs w:val="24"/>
              </w:rPr>
              <w:t>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投标报价</w:t>
            </w:r>
          </w:p>
        </w:tc>
        <w:tc>
          <w:tcPr>
            <w:tcW w:w="4819" w:type="dxa"/>
            <w:gridSpan w:val="2"/>
            <w:vAlign w:val="center"/>
          </w:tcPr>
          <w:p>
            <w:pPr>
              <w:autoSpaceDE w:val="0"/>
              <w:autoSpaceDN w:val="0"/>
              <w:adjustRightInd w:val="0"/>
              <w:snapToGrid w:val="0"/>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价格分应当采用低价优先法计算，即满足招标文件要求且投标价格最低的投标报价为评标基准价，其价格分为满分。其他投标人的价格分统一按照下列公式计算：</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投标报价得分=(评标基准价／投标报价)×100×权重</w:t>
            </w:r>
          </w:p>
          <w:p>
            <w:pPr>
              <w:widowControl/>
              <w:rPr>
                <w:rFonts w:ascii="仿宋_GB2312" w:hAnsi="宋体" w:eastAsia="仿宋_GB2312"/>
                <w:bCs/>
                <w:sz w:val="22"/>
                <w:szCs w:val="24"/>
              </w:rPr>
            </w:pPr>
            <w:r>
              <w:rPr>
                <w:rFonts w:hint="eastAsia" w:ascii="仿宋_GB2312" w:hAnsi="宋体" w:eastAsia="仿宋_GB2312"/>
                <w:bCs/>
                <w:sz w:val="22"/>
                <w:szCs w:val="24"/>
              </w:rPr>
              <w:t>备注：</w:t>
            </w:r>
          </w:p>
          <w:p>
            <w:pPr>
              <w:widowControl/>
              <w:rPr>
                <w:rFonts w:ascii="仿宋_GB2312" w:hAnsi="宋体" w:eastAsia="仿宋_GB2312" w:cs="宋体"/>
                <w:sz w:val="22"/>
                <w:szCs w:val="24"/>
              </w:rPr>
            </w:pPr>
            <w:r>
              <w:rPr>
                <w:rFonts w:ascii="仿宋_GB2312" w:hAnsi="宋体" w:eastAsia="仿宋_GB2312"/>
                <w:bCs/>
                <w:sz w:val="22"/>
                <w:szCs w:val="24"/>
              </w:rPr>
              <w:t>1.</w:t>
            </w:r>
            <w:r>
              <w:rPr>
                <w:rFonts w:hint="eastAsia" w:ascii="仿宋_GB2312" w:hAnsi="宋体" w:eastAsia="仿宋_GB2312"/>
                <w:bCs/>
                <w:sz w:val="22"/>
                <w:szCs w:val="24"/>
              </w:rPr>
              <w:t>因落实政府采购政策进行价格调整的，以调整后的价格计算评标基准价和投标报价</w:t>
            </w:r>
            <w:r>
              <w:rPr>
                <w:rFonts w:hint="eastAsia" w:ascii="仿宋_GB2312" w:hAnsi="宋体" w:eastAsia="仿宋_GB2312" w:cs="宋体"/>
                <w:sz w:val="22"/>
                <w:szCs w:val="24"/>
              </w:rPr>
              <w:t>,详见“价格扣除”。</w:t>
            </w:r>
          </w:p>
          <w:p>
            <w:pPr>
              <w:rPr>
                <w:rFonts w:ascii="仿宋_GB2312" w:hAnsi="宋体" w:eastAsia="仿宋_GB2312"/>
                <w:b/>
                <w:bCs/>
                <w:sz w:val="22"/>
                <w:szCs w:val="24"/>
                <w:u w:val="double"/>
              </w:rPr>
            </w:pPr>
            <w:r>
              <w:rPr>
                <w:rFonts w:ascii="仿宋_GB2312" w:hAnsi="宋体" w:eastAsia="仿宋_GB2312"/>
                <w:bCs/>
                <w:sz w:val="22"/>
                <w:szCs w:val="24"/>
              </w:rPr>
              <w:t>2.</w:t>
            </w:r>
            <w:r>
              <w:rPr>
                <w:rFonts w:hint="eastAsia" w:ascii="仿宋_GB2312" w:hAnsi="宋体" w:eastAsia="仿宋_GB2312"/>
                <w:bCs/>
                <w:sz w:val="22"/>
                <w:szCs w:val="24"/>
              </w:rPr>
              <w:t>投标报价得分四舍五入后，</w:t>
            </w:r>
            <w:r>
              <w:rPr>
                <w:rFonts w:hint="eastAsia" w:ascii="仿宋_GB2312" w:hAnsi="宋体" w:eastAsia="仿宋_GB2312" w:cs="Arial"/>
                <w:sz w:val="22"/>
                <w:szCs w:val="24"/>
              </w:rPr>
              <w:t>小数点后保留两位有效数</w:t>
            </w:r>
            <w:r>
              <w:rPr>
                <w:rFonts w:hint="eastAsia" w:ascii="仿宋_GB2312" w:hAnsi="宋体" w:eastAsia="仿宋_GB2312"/>
                <w:bCs/>
                <w:sz w:val="22"/>
                <w:szCs w:val="24"/>
              </w:rPr>
              <w:t>。</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w:t>
            </w:r>
            <w:r>
              <w:rPr>
                <w:rFonts w:ascii="仿宋_GB2312" w:hAnsi="宋体" w:eastAsia="仿宋_GB2312" w:cs="宋体"/>
                <w:sz w:val="22"/>
                <w:szCs w:val="24"/>
              </w:rPr>
              <w:t>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1</w:t>
            </w:r>
            <w:r>
              <w:rPr>
                <w:rFonts w:ascii="仿宋_GB2312" w:hAnsi="宋体" w:eastAsia="仿宋_GB2312"/>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trPr>
        <w:tc>
          <w:tcPr>
            <w:tcW w:w="6701" w:type="dxa"/>
            <w:gridSpan w:val="4"/>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合计</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r>
    </w:tbl>
    <w:p>
      <w:pPr>
        <w:outlineLvl w:val="0"/>
        <w:rPr>
          <w:rFonts w:ascii="仿宋_GB2312" w:hAnsi="宋体" w:eastAsia="仿宋_GB2312"/>
          <w:b/>
          <w:sz w:val="24"/>
          <w:szCs w:val="24"/>
        </w:rPr>
      </w:pPr>
      <w:r>
        <w:rPr>
          <w:rFonts w:hint="eastAsia" w:ascii="仿宋_GB2312" w:hAnsi="宋体" w:eastAsia="仿宋_GB2312"/>
          <w:b/>
          <w:sz w:val="24"/>
          <w:szCs w:val="24"/>
        </w:rPr>
        <w:t>备注：</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2.价格扣除</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pPr>
        <w:ind w:firstLine="480" w:firstLineChars="200"/>
        <w:rPr>
          <w:rFonts w:ascii="仿宋_GB2312" w:hAnsi="宋体"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仿宋_GB2312"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_GB2312" w:hAnsi="仿宋" w:eastAsia="仿宋" w:cs="仿宋_GB2312"/>
          <w:sz w:val="32"/>
          <w:szCs w:val="32"/>
        </w:rPr>
        <w:br w:type="page"/>
      </w:r>
      <w:r>
        <w:rPr>
          <w:rFonts w:hint="eastAsia" w:ascii="仿宋_GB2312" w:hAnsi="宋体" w:eastAsia="仿宋_GB2312" w:cs="仿宋_GB2312"/>
          <w:sz w:val="32"/>
          <w:szCs w:val="22"/>
        </w:rPr>
        <w:t>附件</w:t>
      </w:r>
    </w:p>
    <w:p>
      <w:pPr>
        <w:adjustRightInd w:val="0"/>
        <w:snapToGrid w:val="0"/>
        <w:jc w:val="center"/>
        <w:rPr>
          <w:rFonts w:ascii="仿宋_GB2312" w:hAnsi="宋体" w:cs="宋体"/>
          <w:b/>
          <w:bCs/>
          <w:sz w:val="44"/>
          <w:szCs w:val="44"/>
        </w:rPr>
      </w:pPr>
    </w:p>
    <w:p>
      <w:pPr>
        <w:adjustRightInd w:val="0"/>
        <w:snapToGrid w:val="0"/>
        <w:jc w:val="center"/>
        <w:rPr>
          <w:rFonts w:ascii="仿宋_GB2312" w:hAnsi="宋体" w:cs="宋体"/>
          <w:b/>
          <w:bCs/>
          <w:sz w:val="44"/>
          <w:szCs w:val="44"/>
        </w:rPr>
      </w:pPr>
      <w:r>
        <w:rPr>
          <w:rFonts w:hint="eastAsia" w:ascii="仿宋_GB2312" w:hAnsi="宋体" w:cs="宋体"/>
          <w:b/>
          <w:bCs/>
          <w:sz w:val="44"/>
          <w:szCs w:val="44"/>
        </w:rPr>
        <w:t>投标及履约承诺函</w:t>
      </w:r>
    </w:p>
    <w:p>
      <w:pPr>
        <w:adjustRightInd w:val="0"/>
        <w:snapToGrid w:val="0"/>
        <w:jc w:val="center"/>
        <w:rPr>
          <w:rFonts w:ascii="仿宋_GB2312"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_GB2312"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仿宋_GB2312"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FDC"/>
    <w:rsid w:val="00043F49"/>
    <w:rsid w:val="00046148"/>
    <w:rsid w:val="00046F5C"/>
    <w:rsid w:val="00057629"/>
    <w:rsid w:val="0007094F"/>
    <w:rsid w:val="000723AF"/>
    <w:rsid w:val="000754C4"/>
    <w:rsid w:val="00087B33"/>
    <w:rsid w:val="0009025E"/>
    <w:rsid w:val="000938EF"/>
    <w:rsid w:val="000943CB"/>
    <w:rsid w:val="00094808"/>
    <w:rsid w:val="000A2ECD"/>
    <w:rsid w:val="000A460A"/>
    <w:rsid w:val="000B0357"/>
    <w:rsid w:val="000C24E4"/>
    <w:rsid w:val="000C3B9A"/>
    <w:rsid w:val="000C4C90"/>
    <w:rsid w:val="000C72A3"/>
    <w:rsid w:val="000E057C"/>
    <w:rsid w:val="000E7D03"/>
    <w:rsid w:val="000F7ABB"/>
    <w:rsid w:val="000F7AD1"/>
    <w:rsid w:val="00102E73"/>
    <w:rsid w:val="00104924"/>
    <w:rsid w:val="00104E04"/>
    <w:rsid w:val="00106DCD"/>
    <w:rsid w:val="001124E6"/>
    <w:rsid w:val="00121A5C"/>
    <w:rsid w:val="001275A8"/>
    <w:rsid w:val="00131C19"/>
    <w:rsid w:val="0014238B"/>
    <w:rsid w:val="00142DE7"/>
    <w:rsid w:val="0014446E"/>
    <w:rsid w:val="0015294D"/>
    <w:rsid w:val="001544E0"/>
    <w:rsid w:val="00155FBC"/>
    <w:rsid w:val="001569AE"/>
    <w:rsid w:val="00161E92"/>
    <w:rsid w:val="0016657E"/>
    <w:rsid w:val="0017605A"/>
    <w:rsid w:val="0017760C"/>
    <w:rsid w:val="00180298"/>
    <w:rsid w:val="0018063F"/>
    <w:rsid w:val="001816F2"/>
    <w:rsid w:val="001827CB"/>
    <w:rsid w:val="0018290A"/>
    <w:rsid w:val="00194D6A"/>
    <w:rsid w:val="00197FDE"/>
    <w:rsid w:val="001B1506"/>
    <w:rsid w:val="001B20D4"/>
    <w:rsid w:val="001B35A8"/>
    <w:rsid w:val="001B571C"/>
    <w:rsid w:val="001C71B0"/>
    <w:rsid w:val="001D3DDB"/>
    <w:rsid w:val="001D642A"/>
    <w:rsid w:val="001E3A97"/>
    <w:rsid w:val="001E510D"/>
    <w:rsid w:val="001E607C"/>
    <w:rsid w:val="001F2F3C"/>
    <w:rsid w:val="001F5348"/>
    <w:rsid w:val="001F6A98"/>
    <w:rsid w:val="001F7840"/>
    <w:rsid w:val="00210D6E"/>
    <w:rsid w:val="0021135C"/>
    <w:rsid w:val="00211B40"/>
    <w:rsid w:val="002121C1"/>
    <w:rsid w:val="00212BC7"/>
    <w:rsid w:val="00214514"/>
    <w:rsid w:val="00217A57"/>
    <w:rsid w:val="00221CF1"/>
    <w:rsid w:val="00226951"/>
    <w:rsid w:val="00236C21"/>
    <w:rsid w:val="00236C8F"/>
    <w:rsid w:val="00244358"/>
    <w:rsid w:val="00247CC0"/>
    <w:rsid w:val="00261EE5"/>
    <w:rsid w:val="00264ABE"/>
    <w:rsid w:val="00264B57"/>
    <w:rsid w:val="00264F3F"/>
    <w:rsid w:val="00266FD4"/>
    <w:rsid w:val="00275B1E"/>
    <w:rsid w:val="00280085"/>
    <w:rsid w:val="00287CD7"/>
    <w:rsid w:val="0029255E"/>
    <w:rsid w:val="00294415"/>
    <w:rsid w:val="002A4184"/>
    <w:rsid w:val="002A4D17"/>
    <w:rsid w:val="002A692D"/>
    <w:rsid w:val="002B2371"/>
    <w:rsid w:val="002B5A7D"/>
    <w:rsid w:val="002C23E7"/>
    <w:rsid w:val="002C410B"/>
    <w:rsid w:val="002C75A1"/>
    <w:rsid w:val="002D3E7B"/>
    <w:rsid w:val="002E3180"/>
    <w:rsid w:val="002E581A"/>
    <w:rsid w:val="002F0A38"/>
    <w:rsid w:val="002F7D66"/>
    <w:rsid w:val="0030460A"/>
    <w:rsid w:val="00304DE2"/>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66DB0"/>
    <w:rsid w:val="00384A59"/>
    <w:rsid w:val="00386203"/>
    <w:rsid w:val="00387586"/>
    <w:rsid w:val="00390720"/>
    <w:rsid w:val="00397D57"/>
    <w:rsid w:val="003A5EBE"/>
    <w:rsid w:val="003A71FE"/>
    <w:rsid w:val="003B47C2"/>
    <w:rsid w:val="003C0F0F"/>
    <w:rsid w:val="003C550C"/>
    <w:rsid w:val="003C7DC7"/>
    <w:rsid w:val="003D0615"/>
    <w:rsid w:val="003D57C1"/>
    <w:rsid w:val="003E11E9"/>
    <w:rsid w:val="003E1FF6"/>
    <w:rsid w:val="003E74A2"/>
    <w:rsid w:val="003E7BEF"/>
    <w:rsid w:val="003F7347"/>
    <w:rsid w:val="0040141D"/>
    <w:rsid w:val="00401F33"/>
    <w:rsid w:val="0040409B"/>
    <w:rsid w:val="00424A7B"/>
    <w:rsid w:val="0043443C"/>
    <w:rsid w:val="004346D9"/>
    <w:rsid w:val="00435F9C"/>
    <w:rsid w:val="00452E92"/>
    <w:rsid w:val="00455A2D"/>
    <w:rsid w:val="00455C0A"/>
    <w:rsid w:val="00461339"/>
    <w:rsid w:val="0046505B"/>
    <w:rsid w:val="00471E9B"/>
    <w:rsid w:val="004747A9"/>
    <w:rsid w:val="00482C77"/>
    <w:rsid w:val="00490843"/>
    <w:rsid w:val="00493D09"/>
    <w:rsid w:val="004A018F"/>
    <w:rsid w:val="004A1948"/>
    <w:rsid w:val="004A4844"/>
    <w:rsid w:val="004A5B12"/>
    <w:rsid w:val="004B3EFF"/>
    <w:rsid w:val="004B4044"/>
    <w:rsid w:val="004B72E2"/>
    <w:rsid w:val="004C1078"/>
    <w:rsid w:val="004C3A5A"/>
    <w:rsid w:val="004D140F"/>
    <w:rsid w:val="004D2A09"/>
    <w:rsid w:val="004D647F"/>
    <w:rsid w:val="004D69E2"/>
    <w:rsid w:val="004D7C84"/>
    <w:rsid w:val="004E6DC8"/>
    <w:rsid w:val="004E70EC"/>
    <w:rsid w:val="004F27B3"/>
    <w:rsid w:val="004F4EEB"/>
    <w:rsid w:val="004F64F1"/>
    <w:rsid w:val="004F6663"/>
    <w:rsid w:val="00502316"/>
    <w:rsid w:val="00505026"/>
    <w:rsid w:val="00512272"/>
    <w:rsid w:val="005210B7"/>
    <w:rsid w:val="00522B7F"/>
    <w:rsid w:val="005236DE"/>
    <w:rsid w:val="005247E6"/>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03A2"/>
    <w:rsid w:val="00591F8A"/>
    <w:rsid w:val="00592178"/>
    <w:rsid w:val="0059695D"/>
    <w:rsid w:val="005B045A"/>
    <w:rsid w:val="005B1504"/>
    <w:rsid w:val="005C1EA1"/>
    <w:rsid w:val="005D06B7"/>
    <w:rsid w:val="005D2DBD"/>
    <w:rsid w:val="005D5595"/>
    <w:rsid w:val="005D5955"/>
    <w:rsid w:val="005D7389"/>
    <w:rsid w:val="005F42B7"/>
    <w:rsid w:val="00602908"/>
    <w:rsid w:val="00603F35"/>
    <w:rsid w:val="00606C77"/>
    <w:rsid w:val="00614414"/>
    <w:rsid w:val="0061590B"/>
    <w:rsid w:val="0062383C"/>
    <w:rsid w:val="00625492"/>
    <w:rsid w:val="00626F53"/>
    <w:rsid w:val="00632D12"/>
    <w:rsid w:val="00633239"/>
    <w:rsid w:val="00633C39"/>
    <w:rsid w:val="0064083A"/>
    <w:rsid w:val="0064245C"/>
    <w:rsid w:val="00642642"/>
    <w:rsid w:val="00645604"/>
    <w:rsid w:val="006466F1"/>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61F8"/>
    <w:rsid w:val="007271F7"/>
    <w:rsid w:val="007366B8"/>
    <w:rsid w:val="00737455"/>
    <w:rsid w:val="00741452"/>
    <w:rsid w:val="007414C6"/>
    <w:rsid w:val="00755554"/>
    <w:rsid w:val="00756219"/>
    <w:rsid w:val="00760FCC"/>
    <w:rsid w:val="00763343"/>
    <w:rsid w:val="007657DB"/>
    <w:rsid w:val="007678F7"/>
    <w:rsid w:val="007709D1"/>
    <w:rsid w:val="00772977"/>
    <w:rsid w:val="00781E6C"/>
    <w:rsid w:val="0078257A"/>
    <w:rsid w:val="00785916"/>
    <w:rsid w:val="00792503"/>
    <w:rsid w:val="00796037"/>
    <w:rsid w:val="007A27DD"/>
    <w:rsid w:val="007B3AC8"/>
    <w:rsid w:val="007B5651"/>
    <w:rsid w:val="007C03B7"/>
    <w:rsid w:val="007C68AE"/>
    <w:rsid w:val="007D0575"/>
    <w:rsid w:val="007D629B"/>
    <w:rsid w:val="007D7579"/>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5E31"/>
    <w:rsid w:val="00897A19"/>
    <w:rsid w:val="008A478E"/>
    <w:rsid w:val="008A79FD"/>
    <w:rsid w:val="008B4CAF"/>
    <w:rsid w:val="008B6B49"/>
    <w:rsid w:val="008B7364"/>
    <w:rsid w:val="008D2D34"/>
    <w:rsid w:val="008D783E"/>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64AD0"/>
    <w:rsid w:val="009719CF"/>
    <w:rsid w:val="00973462"/>
    <w:rsid w:val="00976494"/>
    <w:rsid w:val="00977802"/>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F2423"/>
    <w:rsid w:val="009F39C4"/>
    <w:rsid w:val="009F6E16"/>
    <w:rsid w:val="00A002CE"/>
    <w:rsid w:val="00A03C2D"/>
    <w:rsid w:val="00A06091"/>
    <w:rsid w:val="00A305F8"/>
    <w:rsid w:val="00A31463"/>
    <w:rsid w:val="00A44DD8"/>
    <w:rsid w:val="00A51B21"/>
    <w:rsid w:val="00A544DB"/>
    <w:rsid w:val="00A609B1"/>
    <w:rsid w:val="00A60F56"/>
    <w:rsid w:val="00A716A3"/>
    <w:rsid w:val="00A717A7"/>
    <w:rsid w:val="00A73054"/>
    <w:rsid w:val="00A75EAC"/>
    <w:rsid w:val="00A80371"/>
    <w:rsid w:val="00A84341"/>
    <w:rsid w:val="00A9093A"/>
    <w:rsid w:val="00A9306C"/>
    <w:rsid w:val="00A94D28"/>
    <w:rsid w:val="00A97A05"/>
    <w:rsid w:val="00AA3AC9"/>
    <w:rsid w:val="00AA62E8"/>
    <w:rsid w:val="00AA6594"/>
    <w:rsid w:val="00AB432C"/>
    <w:rsid w:val="00AB5B09"/>
    <w:rsid w:val="00AC012B"/>
    <w:rsid w:val="00AC5C00"/>
    <w:rsid w:val="00AD11F7"/>
    <w:rsid w:val="00AE74B1"/>
    <w:rsid w:val="00AF1151"/>
    <w:rsid w:val="00B01134"/>
    <w:rsid w:val="00B067EE"/>
    <w:rsid w:val="00B0798D"/>
    <w:rsid w:val="00B10467"/>
    <w:rsid w:val="00B165E1"/>
    <w:rsid w:val="00B25245"/>
    <w:rsid w:val="00B31182"/>
    <w:rsid w:val="00B36FF2"/>
    <w:rsid w:val="00B56D2F"/>
    <w:rsid w:val="00B57708"/>
    <w:rsid w:val="00B61BFE"/>
    <w:rsid w:val="00B66DDF"/>
    <w:rsid w:val="00B67D61"/>
    <w:rsid w:val="00B74AC0"/>
    <w:rsid w:val="00B7696A"/>
    <w:rsid w:val="00B82F55"/>
    <w:rsid w:val="00B86F7E"/>
    <w:rsid w:val="00B9388B"/>
    <w:rsid w:val="00B93929"/>
    <w:rsid w:val="00BA050C"/>
    <w:rsid w:val="00BA3A8C"/>
    <w:rsid w:val="00BB31B8"/>
    <w:rsid w:val="00BB4B80"/>
    <w:rsid w:val="00BB4DA6"/>
    <w:rsid w:val="00BB7155"/>
    <w:rsid w:val="00BC680A"/>
    <w:rsid w:val="00BC6A39"/>
    <w:rsid w:val="00BE3F02"/>
    <w:rsid w:val="00BF5567"/>
    <w:rsid w:val="00BF7D35"/>
    <w:rsid w:val="00C02397"/>
    <w:rsid w:val="00C13C74"/>
    <w:rsid w:val="00C23DC8"/>
    <w:rsid w:val="00C25AD2"/>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5019"/>
    <w:rsid w:val="00CB66D2"/>
    <w:rsid w:val="00CB7CA8"/>
    <w:rsid w:val="00CC3157"/>
    <w:rsid w:val="00CD16CE"/>
    <w:rsid w:val="00CE0F8E"/>
    <w:rsid w:val="00CE1F1E"/>
    <w:rsid w:val="00CE6218"/>
    <w:rsid w:val="00CF6F23"/>
    <w:rsid w:val="00D00592"/>
    <w:rsid w:val="00D06210"/>
    <w:rsid w:val="00D06F7D"/>
    <w:rsid w:val="00D07043"/>
    <w:rsid w:val="00D12A2B"/>
    <w:rsid w:val="00D1589D"/>
    <w:rsid w:val="00D21C1D"/>
    <w:rsid w:val="00D24698"/>
    <w:rsid w:val="00D25868"/>
    <w:rsid w:val="00D25C47"/>
    <w:rsid w:val="00D2660C"/>
    <w:rsid w:val="00D30E9B"/>
    <w:rsid w:val="00D316F6"/>
    <w:rsid w:val="00D32098"/>
    <w:rsid w:val="00D42096"/>
    <w:rsid w:val="00D43F53"/>
    <w:rsid w:val="00D45768"/>
    <w:rsid w:val="00D45F2D"/>
    <w:rsid w:val="00D52A2E"/>
    <w:rsid w:val="00D55F1E"/>
    <w:rsid w:val="00D6072F"/>
    <w:rsid w:val="00D64D20"/>
    <w:rsid w:val="00D75ED0"/>
    <w:rsid w:val="00D76346"/>
    <w:rsid w:val="00D7776E"/>
    <w:rsid w:val="00D9607B"/>
    <w:rsid w:val="00DA776A"/>
    <w:rsid w:val="00DB45D2"/>
    <w:rsid w:val="00DB7BEE"/>
    <w:rsid w:val="00DC1D8B"/>
    <w:rsid w:val="00DC543E"/>
    <w:rsid w:val="00DC5576"/>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26C3"/>
    <w:rsid w:val="00E764AB"/>
    <w:rsid w:val="00E77B09"/>
    <w:rsid w:val="00E820A7"/>
    <w:rsid w:val="00E83BC8"/>
    <w:rsid w:val="00E850EA"/>
    <w:rsid w:val="00E909BD"/>
    <w:rsid w:val="00E96829"/>
    <w:rsid w:val="00E97E6A"/>
    <w:rsid w:val="00EA373C"/>
    <w:rsid w:val="00EA63C5"/>
    <w:rsid w:val="00EB2AB7"/>
    <w:rsid w:val="00EC0EFC"/>
    <w:rsid w:val="00EC337A"/>
    <w:rsid w:val="00EC603F"/>
    <w:rsid w:val="00EE0506"/>
    <w:rsid w:val="00EE2341"/>
    <w:rsid w:val="00EE23B4"/>
    <w:rsid w:val="00EE244A"/>
    <w:rsid w:val="00EE2D8F"/>
    <w:rsid w:val="00EF20EC"/>
    <w:rsid w:val="00EF57D6"/>
    <w:rsid w:val="00F015CE"/>
    <w:rsid w:val="00F01972"/>
    <w:rsid w:val="00F01E8C"/>
    <w:rsid w:val="00F02BFB"/>
    <w:rsid w:val="00F03D5C"/>
    <w:rsid w:val="00F043AD"/>
    <w:rsid w:val="00F07B07"/>
    <w:rsid w:val="00F07DB6"/>
    <w:rsid w:val="00F17CBD"/>
    <w:rsid w:val="00F20658"/>
    <w:rsid w:val="00F222DE"/>
    <w:rsid w:val="00F34F92"/>
    <w:rsid w:val="00F35096"/>
    <w:rsid w:val="00F51166"/>
    <w:rsid w:val="00F55583"/>
    <w:rsid w:val="00F55B09"/>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765B1D"/>
    <w:rsid w:val="0FB93D23"/>
    <w:rsid w:val="10813973"/>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6204CBB"/>
    <w:rsid w:val="68AC4A92"/>
    <w:rsid w:val="69624ED6"/>
    <w:rsid w:val="6999618C"/>
    <w:rsid w:val="6B1A47FA"/>
    <w:rsid w:val="6BF02543"/>
    <w:rsid w:val="6BFE5443"/>
    <w:rsid w:val="6C313863"/>
    <w:rsid w:val="6CB64147"/>
    <w:rsid w:val="6E8F7740"/>
    <w:rsid w:val="6FD67F32"/>
    <w:rsid w:val="6FFE7D41"/>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FC1FDC"/>
    <w:rsid w:val="7F403025"/>
    <w:rsid w:val="BBFFEFD8"/>
    <w:rsid w:val="C7D5B834"/>
    <w:rsid w:val="FBFE8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Char"/>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Char"/>
    <w:basedOn w:val="45"/>
    <w:link w:val="28"/>
    <w:qFormat/>
    <w:uiPriority w:val="0"/>
    <w:rPr>
      <w:rFonts w:ascii="Calibri" w:hAnsi="Calibri" w:eastAsia="宋体" w:cs="Times New Roman"/>
      <w:sz w:val="18"/>
      <w:szCs w:val="18"/>
    </w:rPr>
  </w:style>
  <w:style w:type="character" w:customStyle="1" w:styleId="58">
    <w:name w:val="页脚 Char"/>
    <w:basedOn w:val="45"/>
    <w:link w:val="27"/>
    <w:qFormat/>
    <w:uiPriority w:val="0"/>
    <w:rPr>
      <w:rFonts w:ascii="Calibri" w:hAnsi="Calibri" w:eastAsia="宋体" w:cs="Times New Roman"/>
      <w:sz w:val="18"/>
      <w:szCs w:val="18"/>
    </w:rPr>
  </w:style>
  <w:style w:type="character" w:customStyle="1" w:styleId="59">
    <w:name w:val="标题 3 Char"/>
    <w:basedOn w:val="45"/>
    <w:link w:val="3"/>
    <w:qFormat/>
    <w:uiPriority w:val="0"/>
    <w:rPr>
      <w:rFonts w:ascii="Calibri" w:hAnsi="Calibri" w:eastAsia="宋体" w:cs="Times New Roman"/>
      <w:b/>
      <w:bCs/>
      <w:sz w:val="32"/>
      <w:szCs w:val="32"/>
    </w:rPr>
  </w:style>
  <w:style w:type="character" w:customStyle="1" w:styleId="60">
    <w:name w:val="标题 1 Char"/>
    <w:basedOn w:val="45"/>
    <w:link w:val="2"/>
    <w:qFormat/>
    <w:uiPriority w:val="0"/>
    <w:rPr>
      <w:rFonts w:ascii="宋体" w:hAnsi="宋体" w:eastAsia="黑体" w:cs="Times New Roman"/>
      <w:b/>
      <w:bCs/>
      <w:kern w:val="44"/>
      <w:sz w:val="28"/>
      <w:szCs w:val="44"/>
    </w:rPr>
  </w:style>
  <w:style w:type="character" w:customStyle="1" w:styleId="61">
    <w:name w:val="标题 4 Char"/>
    <w:basedOn w:val="45"/>
    <w:link w:val="5"/>
    <w:qFormat/>
    <w:uiPriority w:val="0"/>
    <w:rPr>
      <w:rFonts w:ascii="Arial" w:hAnsi="Arial" w:eastAsia="黑体" w:cs="Times New Roman"/>
      <w:b/>
      <w:bCs/>
      <w:sz w:val="28"/>
      <w:szCs w:val="28"/>
    </w:rPr>
  </w:style>
  <w:style w:type="character" w:customStyle="1" w:styleId="62">
    <w:name w:val="标题 5 Char"/>
    <w:basedOn w:val="45"/>
    <w:link w:val="6"/>
    <w:qFormat/>
    <w:uiPriority w:val="0"/>
    <w:rPr>
      <w:rFonts w:ascii="Times New Roman" w:hAnsi="Times New Roman" w:eastAsia="宋体" w:cs="Times New Roman"/>
      <w:b/>
      <w:sz w:val="28"/>
      <w:szCs w:val="20"/>
    </w:rPr>
  </w:style>
  <w:style w:type="character" w:customStyle="1" w:styleId="63">
    <w:name w:val="标题 6 Char"/>
    <w:basedOn w:val="45"/>
    <w:link w:val="8"/>
    <w:qFormat/>
    <w:uiPriority w:val="0"/>
    <w:rPr>
      <w:rFonts w:ascii="Arial" w:hAnsi="Arial" w:eastAsia="黑体" w:cs="Times New Roman"/>
      <w:b/>
      <w:sz w:val="24"/>
      <w:szCs w:val="20"/>
    </w:rPr>
  </w:style>
  <w:style w:type="character" w:customStyle="1" w:styleId="64">
    <w:name w:val="标题 7 Char"/>
    <w:basedOn w:val="45"/>
    <w:link w:val="9"/>
    <w:qFormat/>
    <w:uiPriority w:val="0"/>
    <w:rPr>
      <w:rFonts w:ascii="Times New Roman" w:hAnsi="Times New Roman" w:eastAsia="宋体" w:cs="Times New Roman"/>
      <w:b/>
      <w:sz w:val="24"/>
      <w:szCs w:val="20"/>
    </w:rPr>
  </w:style>
  <w:style w:type="character" w:customStyle="1" w:styleId="65">
    <w:name w:val="标题 8 Char"/>
    <w:basedOn w:val="45"/>
    <w:link w:val="10"/>
    <w:qFormat/>
    <w:uiPriority w:val="0"/>
    <w:rPr>
      <w:rFonts w:ascii="Arial" w:hAnsi="Arial" w:eastAsia="黑体" w:cs="Times New Roman"/>
      <w:sz w:val="24"/>
      <w:szCs w:val="20"/>
    </w:rPr>
  </w:style>
  <w:style w:type="character" w:customStyle="1" w:styleId="66">
    <w:name w:val="标题 9 Char"/>
    <w:basedOn w:val="45"/>
    <w:link w:val="11"/>
    <w:qFormat/>
    <w:uiPriority w:val="0"/>
    <w:rPr>
      <w:rFonts w:ascii="Arial" w:hAnsi="Arial" w:eastAsia="黑体" w:cs="Times New Roman"/>
      <w:szCs w:val="20"/>
    </w:rPr>
  </w:style>
  <w:style w:type="character" w:customStyle="1" w:styleId="67">
    <w:name w:val="批注文字 Char"/>
    <w:basedOn w:val="45"/>
    <w:link w:val="16"/>
    <w:semiHidden/>
    <w:qFormat/>
    <w:uiPriority w:val="0"/>
    <w:rPr>
      <w:rFonts w:ascii="Calibri" w:hAnsi="Calibri" w:eastAsia="宋体" w:cs="Times New Roman"/>
      <w:szCs w:val="21"/>
    </w:rPr>
  </w:style>
  <w:style w:type="character" w:customStyle="1" w:styleId="68">
    <w:name w:val="批注主题 Char"/>
    <w:basedOn w:val="67"/>
    <w:link w:val="41"/>
    <w:qFormat/>
    <w:uiPriority w:val="0"/>
    <w:rPr>
      <w:rFonts w:ascii="宋体" w:hAnsi="Times New Roman" w:eastAsia="宋体" w:cs="Times New Roman"/>
      <w:kern w:val="0"/>
      <w:sz w:val="34"/>
      <w:szCs w:val="20"/>
    </w:rPr>
  </w:style>
  <w:style w:type="character" w:customStyle="1" w:styleId="69">
    <w:name w:val="正文文本 Char"/>
    <w:basedOn w:val="45"/>
    <w:link w:val="18"/>
    <w:qFormat/>
    <w:uiPriority w:val="0"/>
    <w:rPr>
      <w:rFonts w:ascii="Calibri" w:hAnsi="Calibri" w:eastAsia="宋体" w:cs="Times New Roman"/>
      <w:szCs w:val="21"/>
    </w:rPr>
  </w:style>
  <w:style w:type="character" w:customStyle="1" w:styleId="70">
    <w:name w:val="正文首行缩进 Char"/>
    <w:basedOn w:val="69"/>
    <w:link w:val="42"/>
    <w:qFormat/>
    <w:uiPriority w:val="0"/>
    <w:rPr>
      <w:rFonts w:ascii="Times New Roman" w:hAnsi="Times New Roman" w:eastAsia="宋体" w:cs="Times New Roman"/>
      <w:b/>
      <w:bCs/>
      <w:szCs w:val="24"/>
    </w:rPr>
  </w:style>
  <w:style w:type="character" w:customStyle="1" w:styleId="71">
    <w:name w:val="文档结构图 Char"/>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Char"/>
    <w:basedOn w:val="45"/>
    <w:link w:val="17"/>
    <w:qFormat/>
    <w:uiPriority w:val="0"/>
    <w:rPr>
      <w:rFonts w:ascii="Times New Roman" w:hAnsi="Times New Roman" w:eastAsia="宋体" w:cs="Times New Roman"/>
      <w:sz w:val="16"/>
      <w:szCs w:val="16"/>
    </w:rPr>
  </w:style>
  <w:style w:type="character" w:customStyle="1" w:styleId="73">
    <w:name w:val="正文文本缩进 Char"/>
    <w:basedOn w:val="45"/>
    <w:link w:val="19"/>
    <w:qFormat/>
    <w:uiPriority w:val="0"/>
    <w:rPr>
      <w:rFonts w:ascii="Times New Roman" w:hAnsi="Times New Roman" w:eastAsia="宋体" w:cs="Times New Roman"/>
      <w:szCs w:val="24"/>
    </w:rPr>
  </w:style>
  <w:style w:type="character" w:customStyle="1" w:styleId="74">
    <w:name w:val="纯文本 Char"/>
    <w:basedOn w:val="45"/>
    <w:link w:val="22"/>
    <w:qFormat/>
    <w:uiPriority w:val="0"/>
    <w:rPr>
      <w:rFonts w:ascii="宋体" w:hAnsi="Courier New" w:eastAsia="宋体" w:cs="Times New Roman"/>
      <w:szCs w:val="20"/>
    </w:rPr>
  </w:style>
  <w:style w:type="character" w:customStyle="1" w:styleId="75">
    <w:name w:val="日期 Char"/>
    <w:basedOn w:val="45"/>
    <w:link w:val="24"/>
    <w:qFormat/>
    <w:uiPriority w:val="0"/>
    <w:rPr>
      <w:rFonts w:ascii="宋体" w:hAnsi="Courier New" w:eastAsia="宋体" w:cs="Times New Roman"/>
      <w:sz w:val="32"/>
      <w:szCs w:val="20"/>
    </w:rPr>
  </w:style>
  <w:style w:type="character" w:customStyle="1" w:styleId="76">
    <w:name w:val="正文文本缩进 2 Char"/>
    <w:basedOn w:val="45"/>
    <w:link w:val="25"/>
    <w:qFormat/>
    <w:uiPriority w:val="0"/>
    <w:rPr>
      <w:rFonts w:ascii="宋体" w:hAnsi="宋体" w:eastAsia="宋体" w:cs="Times New Roman"/>
      <w:szCs w:val="24"/>
    </w:rPr>
  </w:style>
  <w:style w:type="character" w:customStyle="1" w:styleId="77">
    <w:name w:val="批注框文本 Char"/>
    <w:basedOn w:val="45"/>
    <w:link w:val="26"/>
    <w:semiHidden/>
    <w:qFormat/>
    <w:uiPriority w:val="0"/>
    <w:rPr>
      <w:rFonts w:ascii="Times New Roman" w:hAnsi="Times New Roman" w:eastAsia="宋体" w:cs="Times New Roman"/>
      <w:sz w:val="18"/>
      <w:szCs w:val="18"/>
    </w:rPr>
  </w:style>
  <w:style w:type="character" w:customStyle="1" w:styleId="78">
    <w:name w:val="正文文本缩进 3 Char"/>
    <w:basedOn w:val="45"/>
    <w:link w:val="33"/>
    <w:qFormat/>
    <w:uiPriority w:val="0"/>
    <w:rPr>
      <w:rFonts w:ascii="宋体" w:hAnsi="Times New Roman" w:eastAsia="宋体" w:cs="Times New Roman"/>
      <w:b/>
      <w:bCs/>
      <w:sz w:val="24"/>
      <w:szCs w:val="24"/>
    </w:rPr>
  </w:style>
  <w:style w:type="character" w:customStyle="1" w:styleId="79">
    <w:name w:val="正文文本 2 Char"/>
    <w:basedOn w:val="45"/>
    <w:link w:val="36"/>
    <w:qFormat/>
    <w:uiPriority w:val="0"/>
    <w:rPr>
      <w:rFonts w:ascii="Times New Roman" w:hAnsi="Times New Roman" w:eastAsia="宋体" w:cs="Times New Roman"/>
      <w:sz w:val="24"/>
      <w:szCs w:val="24"/>
    </w:rPr>
  </w:style>
  <w:style w:type="character" w:customStyle="1" w:styleId="80">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Char"/>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Char"/>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Char"/>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626</Words>
  <Characters>3570</Characters>
  <Lines>29</Lines>
  <Paragraphs>8</Paragraphs>
  <TotalTime>0</TotalTime>
  <ScaleCrop>false</ScaleCrop>
  <LinksUpToDate>false</LinksUpToDate>
  <CharactersWithSpaces>4188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2022-03-29T03:52:00Z</dcterms:created>
  <dc:creator>李刚</dc:creator>
  <cp:lastModifiedBy>WPS_1581317969</cp:lastModifiedBy>
  <cp:lastPrinted>2021-10-09T11:31:00Z</cp:lastPrinted>
  <dcterms:modified xsi:type="dcterms:W3CDTF">2022-03-29T06:17:33Z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59B46DB5A66C44A3AD757CF24CE24B71</vt:lpwstr>
  </property>
</Properties>
</file>