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s="Arial"/>
          <w:b/>
          <w:bCs/>
          <w:sz w:val="44"/>
          <w:szCs w:val="44"/>
        </w:rPr>
      </w:pPr>
    </w:p>
    <w:p>
      <w:pPr>
        <w:adjustRightInd w:val="0"/>
        <w:snapToGrid w:val="0"/>
        <w:rPr>
          <w:rFonts w:ascii="宋体" w:hAnsi="宋体" w:cs="Arial"/>
          <w:b/>
          <w:bCs/>
          <w:sz w:val="44"/>
          <w:szCs w:val="44"/>
        </w:rPr>
      </w:pPr>
    </w:p>
    <w:p>
      <w:pPr>
        <w:adjustRightInd w:val="0"/>
        <w:snapToGrid w:val="0"/>
        <w:jc w:val="left"/>
        <w:rPr>
          <w:rFonts w:ascii="宋体" w:hAnsi="宋体" w:cs="Arial"/>
          <w:b/>
          <w:bCs/>
          <w:sz w:val="32"/>
          <w:szCs w:val="44"/>
        </w:rPr>
      </w:pPr>
      <w:r>
        <w:rPr>
          <w:rFonts w:hint="eastAsia" w:ascii="宋体" w:hAnsi="宋体" w:cs="Arial"/>
          <w:b/>
          <w:bCs/>
          <w:sz w:val="32"/>
          <w:szCs w:val="44"/>
        </w:rPr>
        <w:t>深圳市综合养老设施建设研究课题项目</w:t>
      </w:r>
    </w:p>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line="360" w:lineRule="auto"/>
        <w:jc w:val="center"/>
        <w:rPr>
          <w:rFonts w:ascii="黑体" w:hAnsi="宋体" w:eastAsia="黑体"/>
          <w:b/>
          <w:bCs/>
          <w:sz w:val="72"/>
          <w:szCs w:val="72"/>
        </w:rPr>
      </w:pPr>
      <w:r>
        <w:rPr>
          <w:rFonts w:hint="eastAsia" w:ascii="黑体" w:hAnsi="黑体" w:eastAsia="黑体"/>
          <w:b/>
          <w:bCs/>
          <w:sz w:val="72"/>
          <w:szCs w:val="72"/>
        </w:rPr>
        <w:t>招</w:t>
      </w:r>
    </w:p>
    <w:p>
      <w:pPr>
        <w:spacing w:line="360" w:lineRule="auto"/>
        <w:jc w:val="center"/>
        <w:rPr>
          <w:rFonts w:ascii="黑体" w:hAnsi="宋体" w:eastAsia="黑体"/>
          <w:b/>
          <w:bCs/>
          <w:sz w:val="72"/>
          <w:szCs w:val="72"/>
        </w:rPr>
      </w:pPr>
    </w:p>
    <w:p>
      <w:pPr>
        <w:spacing w:line="360" w:lineRule="auto"/>
        <w:jc w:val="center"/>
        <w:rPr>
          <w:rFonts w:ascii="黑体" w:hAnsi="宋体" w:eastAsia="黑体"/>
          <w:b/>
          <w:bCs/>
          <w:sz w:val="72"/>
          <w:szCs w:val="72"/>
        </w:rPr>
      </w:pPr>
      <w:r>
        <w:rPr>
          <w:rFonts w:hint="eastAsia" w:ascii="黑体" w:hAnsi="黑体" w:eastAsia="黑体"/>
          <w:b/>
          <w:bCs/>
          <w:sz w:val="72"/>
          <w:szCs w:val="72"/>
        </w:rPr>
        <w:t>标</w:t>
      </w:r>
    </w:p>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方正小标宋简体" w:hAnsi="宋体" w:cs="Arial"/>
          <w:sz w:val="48"/>
          <w:szCs w:val="48"/>
        </w:rPr>
      </w:pPr>
    </w:p>
    <w:p>
      <w:pPr>
        <w:spacing w:line="360" w:lineRule="auto"/>
        <w:ind w:left="420" w:leftChars="200"/>
        <w:jc w:val="center"/>
        <w:rPr>
          <w:rFonts w:ascii="方正小标宋简体" w:hAnsi="宋体" w:cs="Arial"/>
          <w:sz w:val="48"/>
          <w:szCs w:val="48"/>
        </w:rPr>
      </w:pPr>
    </w:p>
    <w:p>
      <w:pPr>
        <w:spacing w:line="360" w:lineRule="auto"/>
        <w:rPr>
          <w:rFonts w:ascii="方正小标宋简体" w:hAnsi="宋体" w:cs="Arial"/>
          <w:sz w:val="48"/>
          <w:szCs w:val="48"/>
        </w:rPr>
      </w:pPr>
    </w:p>
    <w:p>
      <w:pPr>
        <w:spacing w:line="600" w:lineRule="exact"/>
        <w:jc w:val="center"/>
        <w:rPr>
          <w:rFonts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2年</w:t>
      </w:r>
      <w:r>
        <w:rPr>
          <w:rFonts w:ascii="宋体" w:hAnsi="宋体"/>
          <w:b/>
          <w:bCs/>
          <w:sz w:val="32"/>
          <w:szCs w:val="32"/>
        </w:rPr>
        <w:t>3</w:t>
      </w:r>
      <w:r>
        <w:rPr>
          <w:rFonts w:hint="eastAsia" w:ascii="宋体" w:hAnsi="宋体"/>
          <w:b/>
          <w:bCs/>
          <w:sz w:val="32"/>
          <w:szCs w:val="32"/>
        </w:rPr>
        <w:t>月</w:t>
      </w:r>
    </w:p>
    <w:p>
      <w:pPr>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ascii="宋体" w:hAnsi="宋体" w:cs="Arial"/>
          <w:b/>
          <w:bCs/>
          <w:sz w:val="44"/>
          <w:szCs w:val="44"/>
        </w:rPr>
      </w:pPr>
    </w:p>
    <w:p>
      <w:pPr>
        <w:adjustRightInd w:val="0"/>
        <w:snapToGrid w:val="0"/>
        <w:jc w:val="center"/>
        <w:rPr>
          <w:rFonts w:ascii="宋体" w:hAnsi="宋体" w:cs="Arial"/>
          <w:b/>
          <w:bCs/>
          <w:sz w:val="44"/>
          <w:szCs w:val="44"/>
        </w:rPr>
      </w:pPr>
      <w:r>
        <w:rPr>
          <w:rFonts w:hint="eastAsia" w:ascii="宋体" w:hAnsi="宋体" w:cs="Arial"/>
          <w:b/>
          <w:bCs/>
          <w:sz w:val="44"/>
          <w:szCs w:val="44"/>
        </w:rPr>
        <w:t>深圳市综合养老设施建设研究课题</w:t>
      </w:r>
    </w:p>
    <w:p>
      <w:pPr>
        <w:adjustRightInd w:val="0"/>
        <w:snapToGrid w:val="0"/>
        <w:jc w:val="center"/>
        <w:rPr>
          <w:rFonts w:ascii="宋体" w:hAnsi="宋体" w:cs="Arial"/>
          <w:b/>
          <w:bCs/>
          <w:sz w:val="44"/>
          <w:szCs w:val="44"/>
        </w:rPr>
      </w:pPr>
      <w:r>
        <w:rPr>
          <w:rFonts w:hint="eastAsia" w:ascii="宋体" w:hAnsi="宋体" w:cs="Arial"/>
          <w:b/>
          <w:bCs/>
          <w:sz w:val="44"/>
          <w:szCs w:val="44"/>
        </w:rPr>
        <w:t>项目招标书</w:t>
      </w:r>
    </w:p>
    <w:p>
      <w:pPr>
        <w:spacing w:line="560" w:lineRule="exact"/>
        <w:ind w:firstLine="643" w:firstLineChars="200"/>
        <w:rPr>
          <w:rFonts w:ascii="黑体" w:hAnsi="黑体" w:eastAsia="黑体"/>
          <w:b/>
          <w:bCs/>
          <w:sz w:val="32"/>
          <w:szCs w:val="32"/>
        </w:rPr>
      </w:pP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（一）项目名称：深圳市综合养老设施建设研究课题。</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6</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w:t>
      </w:r>
      <w:r>
        <w:rPr>
          <w:rFonts w:ascii="仿宋_GB2312" w:hAnsi="仿宋" w:eastAsia="仿宋_GB2312" w:cs="仿宋_GB2312"/>
          <w:sz w:val="32"/>
          <w:szCs w:val="32"/>
        </w:rPr>
        <w:t>100</w:t>
      </w:r>
      <w:r>
        <w:rPr>
          <w:rFonts w:hint="eastAsia" w:ascii="仿宋_GB2312" w:hAnsi="仿宋" w:eastAsia="仿宋_GB2312" w:cs="仿宋_GB2312"/>
          <w:sz w:val="32"/>
          <w:szCs w:val="32"/>
        </w:rPr>
        <w:t>万元以下。</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二、项目内容</w:t>
      </w:r>
    </w:p>
    <w:p>
      <w:pPr>
        <w:spacing w:line="560" w:lineRule="exact"/>
        <w:ind w:firstLine="640" w:firstLineChars="200"/>
        <w:rPr>
          <w:rFonts w:eastAsia="仿宋_GB2312"/>
          <w:kern w:val="0"/>
          <w:sz w:val="32"/>
          <w:szCs w:val="32"/>
        </w:rPr>
      </w:pPr>
      <w:r>
        <w:rPr>
          <w:rFonts w:hint="eastAsia" w:ascii="仿宋_GB2312" w:hAnsi="仿宋_GB2312" w:eastAsia="仿宋_GB2312" w:cs="仿宋_GB2312"/>
          <w:bCs/>
          <w:sz w:val="32"/>
          <w:szCs w:val="32"/>
        </w:rPr>
        <w:t>（一）梳理国内外综合养老设施建设总体形势。研判人口老龄化与综合养老设施建设的演变形势，对标国内外养老设施建设经验丰富的地区</w:t>
      </w:r>
      <w:r>
        <w:rPr>
          <w:rFonts w:hint="eastAsia" w:eastAsia="仿宋_GB2312"/>
          <w:kern w:val="0"/>
          <w:sz w:val="32"/>
          <w:szCs w:val="32"/>
        </w:rPr>
        <w:t>，总结提炼深圳建设</w:t>
      </w:r>
      <w:r>
        <w:rPr>
          <w:rFonts w:hint="eastAsia" w:ascii="仿宋_GB2312" w:hAnsi="仿宋_GB2312" w:eastAsia="仿宋_GB2312" w:cs="仿宋_GB2312"/>
          <w:bCs/>
          <w:sz w:val="32"/>
          <w:szCs w:val="32"/>
        </w:rPr>
        <w:t>综合养老设施</w:t>
      </w:r>
      <w:r>
        <w:rPr>
          <w:rFonts w:hint="eastAsia" w:eastAsia="仿宋_GB2312"/>
          <w:kern w:val="0"/>
          <w:sz w:val="32"/>
          <w:szCs w:val="32"/>
        </w:rPr>
        <w:t>可借鉴的经验做法。</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（二）分析深圳综合养老设施建设现状和问题。</w:t>
      </w:r>
      <w:r>
        <w:rPr>
          <w:rFonts w:hint="eastAsia" w:ascii="仿宋_GB2312" w:hAnsi="等线" w:eastAsia="仿宋_GB2312"/>
          <w:sz w:val="32"/>
          <w:szCs w:val="32"/>
        </w:rPr>
        <w:t>全面摸排深圳市</w:t>
      </w:r>
      <w:r>
        <w:rPr>
          <w:rFonts w:hint="eastAsia" w:ascii="仿宋_GB2312" w:hAnsi="仿宋_GB2312" w:eastAsia="仿宋_GB2312" w:cs="仿宋_GB2312"/>
          <w:bCs/>
          <w:sz w:val="32"/>
          <w:szCs w:val="32"/>
        </w:rPr>
        <w:t>养老设施建设</w:t>
      </w:r>
      <w:r>
        <w:rPr>
          <w:rFonts w:hint="eastAsia" w:ascii="仿宋_GB2312" w:hAnsi="等线" w:eastAsia="仿宋_GB2312"/>
          <w:sz w:val="32"/>
          <w:szCs w:val="32"/>
        </w:rPr>
        <w:t>基本情况，</w:t>
      </w:r>
      <w:r>
        <w:rPr>
          <w:rFonts w:hint="eastAsia" w:ascii="仿宋_GB2312" w:hAnsi="仿宋_GB2312" w:eastAsia="仿宋_GB2312" w:cs="仿宋_GB2312"/>
          <w:bCs/>
          <w:sz w:val="32"/>
          <w:szCs w:val="32"/>
        </w:rPr>
        <w:t>重点围绕设施类型、数量规模、空间分布、服务内容等方面，总结提炼全市养老设施规划建设和运营管理等方面存在的问题。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（三）深入研究深圳综合养老设施建设必要性。系统梳理国家、省、市相关文件要求，科学</w:t>
      </w:r>
      <w:r>
        <w:rPr>
          <w:rFonts w:ascii="仿宋_GB2312" w:hAnsi="仿宋_GB2312" w:eastAsia="仿宋_GB2312" w:cs="仿宋_GB2312"/>
          <w:bCs/>
          <w:sz w:val="32"/>
          <w:szCs w:val="32"/>
        </w:rPr>
        <w:t>研判</w:t>
      </w:r>
      <w:r>
        <w:rPr>
          <w:rFonts w:hint="eastAsia" w:ascii="仿宋_GB2312" w:hAnsi="仿宋_GB2312" w:eastAsia="仿宋_GB2312" w:cs="仿宋_GB2312"/>
          <w:bCs/>
          <w:sz w:val="32"/>
          <w:szCs w:val="32"/>
        </w:rPr>
        <w:t>深圳人口老龄化发展趋势，从支撑城市发展目标、解决社会需求等方面重点论证综合养老设施建设必要性，提出未来布局总体思路。</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w:t>
      </w:r>
      <w:r>
        <w:rPr>
          <w:rFonts w:ascii="仿宋_GB2312" w:hAnsi="仿宋_GB2312" w:eastAsia="仿宋_GB2312" w:cs="仿宋_GB2312"/>
          <w:bCs/>
          <w:sz w:val="32"/>
          <w:szCs w:val="32"/>
        </w:rPr>
        <w:t>提出</w:t>
      </w:r>
      <w:r>
        <w:rPr>
          <w:rFonts w:hint="eastAsia" w:ascii="仿宋_GB2312" w:hAnsi="仿宋_GB2312" w:eastAsia="仿宋_GB2312" w:cs="仿宋_GB2312"/>
          <w:bCs/>
          <w:sz w:val="32"/>
          <w:szCs w:val="32"/>
        </w:rPr>
        <w:t>综合养老设施重点项目实施建议。</w:t>
      </w:r>
      <w:r>
        <w:rPr>
          <w:rFonts w:hint="eastAsia" w:ascii="仿宋_GB2312" w:eastAsia="仿宋_GB2312" w:cs="仿宋_GB2312" w:hAnsiTheme="majorEastAsia"/>
          <w:bCs/>
          <w:sz w:val="32"/>
          <w:szCs w:val="32"/>
        </w:rPr>
        <w:t>重点</w:t>
      </w:r>
      <w:r>
        <w:rPr>
          <w:rFonts w:hint="eastAsia" w:ascii="仿宋_GB2312" w:hAnsi="仿宋_GB2312" w:eastAsia="仿宋_GB2312" w:cs="仿宋_GB2312"/>
          <w:bCs/>
          <w:sz w:val="32"/>
          <w:szCs w:val="32"/>
        </w:rPr>
        <w:t>围绕深圳市老龄综合服务中心、深圳</w:t>
      </w:r>
      <w:r>
        <w:rPr>
          <w:rFonts w:hint="eastAsia" w:ascii="仿宋_GB2312" w:eastAsia="仿宋_GB2312" w:cs="仿宋_GB2312" w:hAnsiTheme="majorEastAsia"/>
          <w:bCs/>
          <w:sz w:val="32"/>
          <w:szCs w:val="32"/>
        </w:rPr>
        <w:t>市民政康复中心B院区、深圳市救助站改扩建工程等项目，深入研究项目建设内容的可行性，研究提出项目功能布局、项目建设时序、投融资模式等方面具体建议。</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三、项目技术要求</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（二）研究过程中应当进行深入调查研究，充分把握深圳现有基础条件、人口发展情况等相关信息和基础资料。</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（三）研究成果要具有前瞻性，面向未来、视野开阔，把握全球发展大势；具有系统性，研究成果要体系完整、内容全面、材料丰富；具有实用性，研究成果符合深圳实际，针对性和可操作性强。</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四、项目成果交付要求</w:t>
      </w:r>
    </w:p>
    <w:p>
      <w:pPr>
        <w:spacing w:line="560" w:lineRule="exact"/>
        <w:ind w:firstLine="640" w:firstLineChars="200"/>
        <w:rPr>
          <w:rFonts w:ascii="Times New Roman" w:hAnsi="Times New Roman" w:eastAsia="仿宋_GB2312"/>
          <w:sz w:val="32"/>
          <w:szCs w:val="24"/>
        </w:rPr>
      </w:pPr>
      <w:r>
        <w:rPr>
          <w:rFonts w:hint="eastAsia" w:ascii="仿宋_GB2312" w:eastAsia="仿宋_GB2312" w:hAnsiTheme="majorEastAsia"/>
          <w:sz w:val="32"/>
          <w:szCs w:val="24"/>
        </w:rPr>
        <w:t>提交研究成果纸</w:t>
      </w:r>
      <w:r>
        <w:rPr>
          <w:rFonts w:hint="eastAsia" w:ascii="仿宋_GB2312" w:eastAsia="仿宋_GB2312" w:cs="仿宋_GB2312" w:hAnsiTheme="majorEastAsia"/>
          <w:sz w:val="32"/>
          <w:szCs w:val="24"/>
        </w:rPr>
        <w:t>质版</w:t>
      </w:r>
      <w:r>
        <w:rPr>
          <w:rFonts w:ascii="仿宋_GB2312" w:eastAsia="仿宋_GB2312" w:cs="仿宋_GB2312" w:hAnsiTheme="majorEastAsia"/>
          <w:sz w:val="32"/>
          <w:szCs w:val="24"/>
        </w:rPr>
        <w:t>5</w:t>
      </w:r>
      <w:r>
        <w:rPr>
          <w:rFonts w:hint="eastAsia" w:ascii="仿宋_GB2312" w:eastAsia="仿宋_GB2312" w:cs="仿宋_GB2312" w:hAnsiTheme="majorEastAsia"/>
          <w:sz w:val="32"/>
          <w:szCs w:val="24"/>
        </w:rPr>
        <w:t>份</w:t>
      </w:r>
      <w:r>
        <w:rPr>
          <w:rFonts w:hint="eastAsia" w:ascii="仿宋_GB2312" w:eastAsia="仿宋_GB2312" w:hAnsiTheme="majorEastAsia"/>
          <w:sz w:val="32"/>
          <w:szCs w:val="24"/>
        </w:rPr>
        <w:t>和电子版，文件能够简明扼要介绍成果核心内容与主要结论</w:t>
      </w:r>
      <w:r>
        <w:rPr>
          <w:rFonts w:hint="eastAsia" w:ascii="Times New Roman" w:hAnsi="Times New Roman" w:eastAsia="仿宋_GB2312"/>
          <w:sz w:val="32"/>
          <w:szCs w:val="24"/>
        </w:rPr>
        <w:t>。</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五、投标资格要求</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w:t>
      </w:r>
      <w:bookmarkStart w:id="0" w:name="_GoBack"/>
      <w:bookmarkEnd w:id="0"/>
      <w:r>
        <w:rPr>
          <w:rFonts w:ascii="仿宋_GB2312" w:hAnsi="Times New Roman" w:eastAsia="仿宋_GB2312"/>
          <w:b w:val="0"/>
        </w:rPr>
        <w:t>中没有重大违法记录（提供声明函，格式自拟）。</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六、投标时间、方式及联系人</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（一）投标时间：</w:t>
      </w:r>
      <w:r>
        <w:rPr>
          <w:rFonts w:ascii="仿宋_GB2312" w:hAnsi="Times New Roman" w:eastAsia="仿宋_GB2312"/>
          <w:bCs/>
          <w:sz w:val="32"/>
          <w:szCs w:val="32"/>
        </w:rPr>
        <w:t>2022年3</w:t>
      </w:r>
      <w:r>
        <w:rPr>
          <w:rFonts w:hint="eastAsia" w:ascii="仿宋_GB2312" w:hAnsi="Times New Roman" w:eastAsia="仿宋_GB2312"/>
          <w:bCs/>
          <w:sz w:val="32"/>
          <w:szCs w:val="32"/>
        </w:rPr>
        <w:t>月</w:t>
      </w:r>
      <w:r>
        <w:rPr>
          <w:rFonts w:ascii="仿宋_GB2312" w:hAnsi="Times New Roman" w:eastAsia="仿宋_GB2312"/>
          <w:bCs/>
          <w:sz w:val="32"/>
          <w:szCs w:val="32"/>
        </w:rPr>
        <w:t>21</w:t>
      </w:r>
      <w:r>
        <w:rPr>
          <w:rFonts w:hint="eastAsia" w:ascii="仿宋_GB2312" w:hAnsi="Times New Roman" w:eastAsia="仿宋_GB2312"/>
          <w:bCs/>
          <w:sz w:val="32"/>
          <w:szCs w:val="32"/>
        </w:rPr>
        <w:t>日至</w:t>
      </w:r>
      <w:r>
        <w:rPr>
          <w:rFonts w:ascii="仿宋_GB2312" w:hAnsi="Times New Roman" w:eastAsia="仿宋_GB2312"/>
          <w:bCs/>
          <w:sz w:val="32"/>
          <w:szCs w:val="32"/>
        </w:rPr>
        <w:t>2022</w:t>
      </w:r>
      <w:r>
        <w:rPr>
          <w:rFonts w:hint="eastAsia" w:ascii="仿宋_GB2312" w:hAnsi="Times New Roman" w:eastAsia="仿宋_GB2312"/>
          <w:bCs/>
          <w:sz w:val="32"/>
          <w:szCs w:val="32"/>
        </w:rPr>
        <w:t>年</w:t>
      </w:r>
      <w:r>
        <w:rPr>
          <w:rFonts w:ascii="仿宋_GB2312" w:hAnsi="Times New Roman" w:eastAsia="仿宋_GB2312"/>
          <w:bCs/>
          <w:sz w:val="32"/>
          <w:szCs w:val="32"/>
        </w:rPr>
        <w:t>3</w:t>
      </w:r>
      <w:r>
        <w:rPr>
          <w:rFonts w:hint="eastAsia" w:ascii="仿宋_GB2312" w:hAnsi="Times New Roman" w:eastAsia="仿宋_GB2312"/>
          <w:bCs/>
          <w:sz w:val="32"/>
          <w:szCs w:val="32"/>
        </w:rPr>
        <w:t>月</w:t>
      </w:r>
      <w:r>
        <w:rPr>
          <w:rFonts w:ascii="仿宋_GB2312" w:hAnsi="Times New Roman" w:eastAsia="仿宋_GB2312"/>
          <w:bCs/>
          <w:sz w:val="32"/>
          <w:szCs w:val="32"/>
        </w:rPr>
        <w:t>31</w:t>
      </w:r>
      <w:r>
        <w:rPr>
          <w:rFonts w:hint="eastAsia" w:ascii="仿宋_GB2312" w:hAnsi="Times New Roman" w:eastAsia="仿宋_GB2312"/>
          <w:bCs/>
          <w:sz w:val="32"/>
          <w:szCs w:val="32"/>
        </w:rPr>
        <w:t>日，每日上午9:00-12:00，下午2:00-</w:t>
      </w:r>
      <w:r>
        <w:rPr>
          <w:rFonts w:hint="eastAsia" w:ascii="仿宋_GB2312" w:hAnsi="Times New Roman" w:eastAsia="仿宋_GB2312"/>
          <w:bCs/>
          <w:sz w:val="32"/>
          <w:szCs w:val="32"/>
          <w:lang w:val="en-US" w:eastAsia="zh-CN"/>
        </w:rPr>
        <w:t>5</w:t>
      </w:r>
      <w:r>
        <w:rPr>
          <w:rFonts w:hint="eastAsia" w:ascii="仿宋_GB2312" w:hAnsi="Times New Roman" w:eastAsia="仿宋_GB2312"/>
          <w:bCs/>
          <w:sz w:val="32"/>
          <w:szCs w:val="32"/>
        </w:rPr>
        <w:t>:</w:t>
      </w:r>
      <w:r>
        <w:rPr>
          <w:rFonts w:hint="eastAsia" w:ascii="仿宋_GB2312" w:hAnsi="Times New Roman" w:eastAsia="仿宋_GB2312"/>
          <w:bCs/>
          <w:sz w:val="32"/>
          <w:szCs w:val="32"/>
          <w:lang w:val="en-US" w:eastAsia="zh-CN"/>
        </w:rPr>
        <w:t>45</w:t>
      </w:r>
      <w:r>
        <w:rPr>
          <w:rFonts w:hint="eastAsia" w:ascii="仿宋_GB2312" w:hAnsi="Times New Roman" w:eastAsia="仿宋_GB2312"/>
          <w:bCs/>
          <w:sz w:val="32"/>
          <w:szCs w:val="32"/>
        </w:rPr>
        <w:t>（节假日除外）。逾期未投标将不再受理</w:t>
      </w:r>
      <w:r>
        <w:rPr>
          <w:rFonts w:ascii="仿宋_GB2312" w:hAnsi="Times New Roman" w:eastAsia="仿宋_GB2312"/>
          <w:bCs/>
          <w:sz w:val="32"/>
          <w:szCs w:val="32"/>
        </w:rPr>
        <w:t>。</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（二）投标地点：深圳市福田区福中三路市民中心B区行政服务大厅2号市发展和改革委卡座（可邮寄，以送达日期为投标日期）。</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（三）联系人：刘合庆，0755-88127351。</w:t>
      </w:r>
    </w:p>
    <w:p>
      <w:pPr>
        <w:adjustRightInd w:val="0"/>
        <w:snapToGrid w:val="0"/>
        <w:spacing w:line="560" w:lineRule="exact"/>
        <w:ind w:firstLine="643" w:firstLineChars="200"/>
        <w:outlineLvl w:val="0"/>
        <w:rPr>
          <w:rFonts w:ascii="黑体" w:hAnsi="黑体" w:eastAsia="黑体"/>
          <w:b/>
          <w:bCs/>
          <w:sz w:val="32"/>
          <w:szCs w:val="32"/>
        </w:rPr>
      </w:pPr>
      <w:r>
        <w:rPr>
          <w:rFonts w:ascii="黑体" w:hAnsi="黑体" w:eastAsia="黑体"/>
          <w:b/>
          <w:bCs/>
          <w:sz w:val="32"/>
          <w:szCs w:val="32"/>
        </w:rPr>
        <w:t>七</w:t>
      </w:r>
      <w:r>
        <w:rPr>
          <w:rFonts w:hint="eastAsia" w:ascii="黑体" w:hAnsi="黑体" w:eastAsia="黑体"/>
          <w:b/>
          <w:bCs/>
          <w:sz w:val="32"/>
          <w:szCs w:val="32"/>
        </w:rPr>
        <w:t>、投标文件递交内容</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（一）投标单位简介、投标人营业执照及相关证照（提供加盖公章的复印件，原件备查）。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（二）法定代表人证明书及授权委托书（原件加盖公章）。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（三）法定代表人及受委托人身份证复印件（复印件加盖公章）。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（四）项目方案及报价单（原件加盖公章）。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（五）投标人相关领域/项目经验证明材料（复印件加盖公章）。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（六）投标人无重大违法记录声明函（原件加盖公章，格式自拟）。</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（七）投标及履约承诺函原件（格式见附件）。</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（八）住所地不在深圳的投标人应提供营业场所证明原件。</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（九）投标人认为有必要提供的其它材料。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投标文件一式六份（另附光盘拷贝电子版），整套材料密封并加盖骑缝章，封面注明投标人的名称、地址、联系人及手机号码。</w:t>
      </w:r>
    </w:p>
    <w:p>
      <w:pPr>
        <w:adjustRightInd w:val="0"/>
        <w:snapToGrid w:val="0"/>
        <w:spacing w:line="560" w:lineRule="exact"/>
        <w:ind w:firstLine="643" w:firstLineChars="200"/>
        <w:outlineLvl w:val="0"/>
        <w:rPr>
          <w:rFonts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投标单位有下列情况之一的，其投标将被拒绝或作无效投标处理：</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（一）未在规定时间内将投标文件送达规定地点的。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（二）投标人不具备投标资格要求，或未提交相应资格证明材料。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（三）投标文件未按规定密封、签字、盖章。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（四）投标文件无法定代表人签字或无法定代表人有效授权委托的。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（五）分项报价或投标总价高于预算金额（最高投标限价）的。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（六）同一项目出现两个及以上报价，且按规定无法确定哪个是有效报价。</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（八）所投服务在质量、技术、方案等方面没有实质性满足招标文件要求。</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（九）法律、法规规定的其他情形。</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九、评标方法</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（二）综合评分表</w:t>
      </w:r>
    </w:p>
    <w:tbl>
      <w:tblPr>
        <w:tblStyle w:val="6"/>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819"/>
        <w:gridCol w:w="709"/>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tblHeader/>
        </w:trPr>
        <w:tc>
          <w:tcPr>
            <w:tcW w:w="680" w:type="dxa"/>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评审部分</w:t>
            </w:r>
          </w:p>
        </w:tc>
        <w:tc>
          <w:tcPr>
            <w:tcW w:w="1202" w:type="dxa"/>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评审因素</w:t>
            </w:r>
          </w:p>
        </w:tc>
        <w:tc>
          <w:tcPr>
            <w:tcW w:w="4819" w:type="dxa"/>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评分细则</w:t>
            </w:r>
          </w:p>
        </w:tc>
        <w:tc>
          <w:tcPr>
            <w:tcW w:w="709" w:type="dxa"/>
            <w:tcBorders>
              <w:right w:val="single" w:color="auto" w:sz="4" w:space="0"/>
            </w:tcBorders>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权重（%）</w:t>
            </w:r>
          </w:p>
        </w:tc>
        <w:tc>
          <w:tcPr>
            <w:tcW w:w="851" w:type="dxa"/>
            <w:tcBorders>
              <w:left w:val="single" w:color="auto" w:sz="4" w:space="0"/>
            </w:tcBorders>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trPr>
        <w:tc>
          <w:tcPr>
            <w:tcW w:w="680" w:type="dxa"/>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一</w:t>
            </w:r>
          </w:p>
        </w:tc>
        <w:tc>
          <w:tcPr>
            <w:tcW w:w="7581" w:type="dxa"/>
            <w:gridSpan w:val="4"/>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b/>
                <w:sz w:val="22"/>
                <w:szCs w:val="24"/>
              </w:rPr>
              <w:t>技术部分（合计</w:t>
            </w:r>
            <w:r>
              <w:rPr>
                <w:rFonts w:ascii="仿宋_GB2312" w:hAnsi="宋体" w:eastAsia="仿宋_GB2312"/>
                <w:b/>
                <w:sz w:val="22"/>
                <w:szCs w:val="24"/>
              </w:rPr>
              <w:t>40</w:t>
            </w:r>
            <w:r>
              <w:rPr>
                <w:rFonts w:hint="eastAsia" w:ascii="仿宋_GB2312" w:hAnsi="宋体" w:eastAsia="仿宋_GB2312"/>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08" w:hRule="atLeast"/>
        </w:trPr>
        <w:tc>
          <w:tcPr>
            <w:tcW w:w="680" w:type="dxa"/>
            <w:tcBorders>
              <w:bottom w:val="single" w:color="auto" w:sz="4" w:space="0"/>
            </w:tcBorders>
            <w:vAlign w:val="center"/>
          </w:tcPr>
          <w:p>
            <w:pPr>
              <w:numPr>
                <w:ilvl w:val="0"/>
                <w:numId w:val="1"/>
              </w:numPr>
              <w:jc w:val="right"/>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实施方案</w:t>
            </w:r>
          </w:p>
        </w:tc>
        <w:tc>
          <w:tcPr>
            <w:tcW w:w="4819" w:type="dxa"/>
            <w:vAlign w:val="center"/>
          </w:tcPr>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根据投标人提供的项目实施方案的全面性、针对性、可操作性等进行分档评审：</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1.评价为优，得100%；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2.评价为良，得70%；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3.评价为中，得40%；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4.评价为差，得10%；</w:t>
            </w:r>
          </w:p>
        </w:tc>
        <w:tc>
          <w:tcPr>
            <w:tcW w:w="709" w:type="dxa"/>
            <w:tcBorders>
              <w:righ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2</w:t>
            </w:r>
            <w:r>
              <w:rPr>
                <w:rFonts w:ascii="仿宋_GB2312" w:hAnsi="宋体" w:eastAsia="仿宋_GB2312"/>
                <w:sz w:val="22"/>
                <w:szCs w:val="24"/>
              </w:rPr>
              <w:t>5</w:t>
            </w:r>
          </w:p>
        </w:tc>
        <w:tc>
          <w:tcPr>
            <w:tcW w:w="851" w:type="dxa"/>
            <w:tcBorders>
              <w:lef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2</w:t>
            </w:r>
            <w:r>
              <w:rPr>
                <w:rFonts w:ascii="仿宋_GB2312" w:hAnsi="宋体" w:eastAsia="仿宋_GB2312"/>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1"/>
              </w:numPr>
              <w:jc w:val="right"/>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质量保障措施及方案</w:t>
            </w:r>
          </w:p>
        </w:tc>
        <w:tc>
          <w:tcPr>
            <w:tcW w:w="4819" w:type="dxa"/>
          </w:tcPr>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根据投标人对项目进度计划和人员安排、质量和进度保障措施是否合理、可行等进行分档评审：</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1.评价为优，得100%；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2.评价为良，得70%；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3.评价为中，得40%；</w:t>
            </w:r>
          </w:p>
          <w:p>
            <w:pPr>
              <w:widowControl/>
              <w:ind w:left="-78" w:leftChars="-37" w:right="-73" w:rightChars="-35"/>
              <w:rPr>
                <w:rFonts w:ascii="仿宋_GB2312" w:hAnsi="宋体" w:eastAsia="仿宋_GB2312" w:cs="宋体"/>
                <w:kern w:val="0"/>
                <w:sz w:val="22"/>
                <w:szCs w:val="24"/>
              </w:rPr>
            </w:pPr>
            <w:r>
              <w:rPr>
                <w:rFonts w:hint="eastAsia" w:ascii="仿宋_GB2312" w:hAnsi="宋体" w:eastAsia="仿宋_GB2312" w:cs="宋体"/>
                <w:kern w:val="0"/>
                <w:sz w:val="22"/>
                <w:szCs w:val="24"/>
              </w:rPr>
              <w:t>4.评价为差，得10%；</w:t>
            </w:r>
          </w:p>
        </w:tc>
        <w:tc>
          <w:tcPr>
            <w:tcW w:w="709" w:type="dxa"/>
            <w:tcBorders>
              <w:righ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10</w:t>
            </w:r>
          </w:p>
        </w:tc>
        <w:tc>
          <w:tcPr>
            <w:tcW w:w="851" w:type="dxa"/>
            <w:tcBorders>
              <w:lef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1"/>
              </w:numPr>
              <w:jc w:val="right"/>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违约承诺</w:t>
            </w:r>
          </w:p>
        </w:tc>
        <w:tc>
          <w:tcPr>
            <w:tcW w:w="4819" w:type="dxa"/>
          </w:tcPr>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提供违约承诺，承诺满足招标文件要求，保证措施合理且有针对性，有具体的违约责任承诺。</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投标人提供违约承诺得100%。要求提供承诺（格式自定）作为得分依据，未提供承诺或承诺内容不满足要求不得分。</w:t>
            </w:r>
          </w:p>
        </w:tc>
        <w:tc>
          <w:tcPr>
            <w:tcW w:w="709" w:type="dxa"/>
            <w:tcBorders>
              <w:righ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5</w:t>
            </w:r>
          </w:p>
        </w:tc>
        <w:tc>
          <w:tcPr>
            <w:tcW w:w="851" w:type="dxa"/>
            <w:tcBorders>
              <w:left w:val="single" w:color="auto" w:sz="4" w:space="0"/>
            </w:tcBorders>
            <w:vAlign w:val="center"/>
          </w:tcPr>
          <w:p>
            <w:pPr>
              <w:jc w:val="center"/>
              <w:rPr>
                <w:rFonts w:ascii="仿宋_GB2312" w:hAnsi="宋体" w:eastAsia="仿宋_GB2312"/>
                <w:sz w:val="22"/>
                <w:szCs w:val="24"/>
              </w:rPr>
            </w:pPr>
            <w:r>
              <w:rPr>
                <w:rFonts w:hint="eastAsia" w:ascii="仿宋_GB2312" w:hAnsi="宋体" w:eastAsia="仿宋_GB2312"/>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二</w:t>
            </w:r>
          </w:p>
        </w:tc>
        <w:tc>
          <w:tcPr>
            <w:tcW w:w="7581" w:type="dxa"/>
            <w:gridSpan w:val="4"/>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cs="宋体"/>
                <w:b/>
                <w:sz w:val="22"/>
                <w:szCs w:val="24"/>
              </w:rPr>
              <w:t>综合实力部分</w:t>
            </w:r>
            <w:r>
              <w:rPr>
                <w:rFonts w:hint="eastAsia" w:ascii="仿宋_GB2312" w:hAnsi="宋体" w:eastAsia="仿宋_GB2312"/>
                <w:b/>
                <w:sz w:val="22"/>
                <w:szCs w:val="24"/>
              </w:rPr>
              <w:t>（合计50分）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2"/>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投标人</w:t>
            </w:r>
          </w:p>
          <w:p>
            <w:pPr>
              <w:jc w:val="center"/>
              <w:rPr>
                <w:rFonts w:ascii="仿宋_GB2312" w:hAnsi="Arial" w:eastAsia="仿宋_GB2312"/>
                <w:b/>
                <w:bCs/>
                <w:sz w:val="22"/>
                <w:szCs w:val="32"/>
              </w:rPr>
            </w:pPr>
            <w:r>
              <w:rPr>
                <w:rFonts w:hint="eastAsia" w:ascii="仿宋_GB2312" w:hAnsi="宋体" w:eastAsia="仿宋_GB2312"/>
                <w:sz w:val="22"/>
                <w:szCs w:val="24"/>
              </w:rPr>
              <w:t>经验</w:t>
            </w:r>
          </w:p>
        </w:tc>
        <w:tc>
          <w:tcPr>
            <w:tcW w:w="4819" w:type="dxa"/>
            <w:vAlign w:val="center"/>
          </w:tcPr>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牵头承担过国家、省或市级综合规划、公共服务、政策创新等相关领域政府课题的，按国家级每项20%、省级每项15%、市级每项10%进行计分，最高得分不超过100%。</w:t>
            </w:r>
          </w:p>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rPr>
                <w:rFonts w:ascii="仿宋_GB2312" w:hAnsi="宋体" w:eastAsia="仿宋_GB2312" w:cs="宋体"/>
                <w:b/>
                <w:kern w:val="0"/>
                <w:sz w:val="22"/>
                <w:szCs w:val="24"/>
              </w:rPr>
            </w:pPr>
            <w:r>
              <w:rPr>
                <w:rFonts w:hint="eastAsia" w:ascii="仿宋_GB2312" w:hAnsi="宋体" w:eastAsia="仿宋_GB2312" w:cs="宋体"/>
                <w:kern w:val="0"/>
                <w:sz w:val="22"/>
                <w:szCs w:val="24"/>
              </w:rPr>
              <w:t>（1）要求提供中标通知书、合同关键页或其他证明文件。</w:t>
            </w:r>
          </w:p>
          <w:p>
            <w:pPr>
              <w:widowControl/>
              <w:ind w:left="-63" w:leftChars="-30" w:right="-88" w:rightChars="-42"/>
              <w:rPr>
                <w:rFonts w:ascii="仿宋_GB2312" w:hAnsi="宋体" w:eastAsia="仿宋_GB2312" w:cs="宋体"/>
                <w:kern w:val="0"/>
                <w:sz w:val="22"/>
                <w:szCs w:val="24"/>
              </w:rPr>
            </w:pPr>
            <w:r>
              <w:rPr>
                <w:rFonts w:hint="eastAsia" w:ascii="仿宋_GB2312" w:hAnsi="宋体" w:eastAsia="仿宋_GB2312" w:cs="宋体"/>
                <w:kern w:val="0"/>
                <w:sz w:val="22"/>
                <w:szCs w:val="24"/>
              </w:rPr>
              <w:t>（2）以上资料均要求提供扫描件（或官方网站截图）。评分中出现无证明资料或专家无法凭所提供资料判断是否得分的情况，一律作不得分处理。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ascii="仿宋_GB2312" w:hAnsi="宋体" w:eastAsia="仿宋_GB2312"/>
                <w:sz w:val="22"/>
                <w:szCs w:val="24"/>
                <w:highlight w:val="yellow"/>
              </w:rPr>
            </w:pPr>
            <w:r>
              <w:rPr>
                <w:rFonts w:hint="eastAsia" w:ascii="仿宋_GB2312" w:hAnsi="宋体" w:eastAsia="仿宋_GB2312"/>
                <w:sz w:val="22"/>
                <w:szCs w:val="24"/>
              </w:rPr>
              <w:t>15</w:t>
            </w:r>
          </w:p>
        </w:tc>
        <w:tc>
          <w:tcPr>
            <w:tcW w:w="851" w:type="dxa"/>
            <w:tcBorders>
              <w:left w:val="single" w:color="auto" w:sz="4" w:space="0"/>
            </w:tcBorders>
            <w:vAlign w:val="center"/>
          </w:tcPr>
          <w:p>
            <w:pPr>
              <w:jc w:val="center"/>
              <w:rPr>
                <w:rFonts w:ascii="仿宋_GB2312" w:hAnsi="宋体" w:eastAsia="仿宋_GB2312"/>
                <w:sz w:val="22"/>
                <w:szCs w:val="24"/>
                <w:highlight w:val="yellow"/>
              </w:rPr>
            </w:pPr>
            <w:r>
              <w:rPr>
                <w:rFonts w:hint="eastAsia" w:ascii="仿宋_GB2312" w:hAnsi="宋体" w:eastAsia="仿宋_GB2312"/>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2" w:hRule="atLeast"/>
        </w:trPr>
        <w:tc>
          <w:tcPr>
            <w:tcW w:w="680" w:type="dxa"/>
            <w:tcBorders>
              <w:top w:val="single" w:color="auto" w:sz="4" w:space="0"/>
              <w:bottom w:val="single" w:color="auto" w:sz="4" w:space="0"/>
            </w:tcBorders>
            <w:vAlign w:val="center"/>
          </w:tcPr>
          <w:p>
            <w:pPr>
              <w:numPr>
                <w:ilvl w:val="0"/>
                <w:numId w:val="2"/>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投标人</w:t>
            </w:r>
          </w:p>
          <w:p>
            <w:pPr>
              <w:jc w:val="center"/>
              <w:rPr>
                <w:rFonts w:ascii="仿宋_GB2312" w:hAnsi="宋体" w:eastAsia="仿宋_GB2312"/>
                <w:sz w:val="22"/>
                <w:szCs w:val="24"/>
              </w:rPr>
            </w:pPr>
            <w:r>
              <w:rPr>
                <w:rFonts w:hint="eastAsia" w:ascii="仿宋_GB2312" w:hAnsi="宋体" w:eastAsia="仿宋_GB2312"/>
                <w:sz w:val="22"/>
                <w:szCs w:val="24"/>
              </w:rPr>
              <w:t>获奖情况</w:t>
            </w:r>
          </w:p>
        </w:tc>
        <w:tc>
          <w:tcPr>
            <w:tcW w:w="4819" w:type="dxa"/>
          </w:tcPr>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投标人承担的相关领域研究课题，获得市级及以上级别的荣誉奖励，每提供1个得</w:t>
            </w:r>
            <w:r>
              <w:rPr>
                <w:rFonts w:ascii="仿宋_GB2312" w:hAnsi="宋体" w:eastAsia="仿宋_GB2312" w:cs="宋体"/>
                <w:kern w:val="0"/>
                <w:sz w:val="22"/>
                <w:szCs w:val="24"/>
              </w:rPr>
              <w:t>25</w:t>
            </w:r>
            <w:r>
              <w:rPr>
                <w:rFonts w:hint="eastAsia" w:ascii="仿宋_GB2312" w:hAnsi="宋体" w:eastAsia="仿宋_GB2312" w:cs="宋体"/>
                <w:kern w:val="0"/>
                <w:sz w:val="22"/>
                <w:szCs w:val="24"/>
              </w:rPr>
              <w:t>%，最高得分不超过100%。</w:t>
            </w:r>
          </w:p>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（1）要求提供相关证明文件。</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w:t>
            </w:r>
            <w:r>
              <w:rPr>
                <w:rFonts w:hint="eastAsia" w:ascii="仿宋_GB2312" w:hAnsi="宋体" w:eastAsia="仿宋_GB2312"/>
                <w:sz w:val="22"/>
                <w:szCs w:val="24"/>
              </w:rPr>
              <w:t>5</w:t>
            </w:r>
          </w:p>
        </w:tc>
        <w:tc>
          <w:tcPr>
            <w:tcW w:w="851" w:type="dxa"/>
            <w:tcBorders>
              <w:lef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w:t>
            </w:r>
            <w:r>
              <w:rPr>
                <w:rFonts w:hint="eastAsia" w:ascii="仿宋_GB2312" w:hAnsi="宋体" w:eastAsia="仿宋_GB2312"/>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highlight w:val="yellow"/>
              </w:rPr>
            </w:pPr>
            <w:r>
              <w:rPr>
                <w:rFonts w:hint="eastAsia" w:ascii="仿宋_GB2312" w:hAnsi="宋体" w:eastAsia="仿宋_GB2312"/>
                <w:sz w:val="22"/>
                <w:szCs w:val="24"/>
              </w:rPr>
              <w:t>拟安排的项目负责人情况（仅限一人）</w:t>
            </w:r>
          </w:p>
        </w:tc>
        <w:tc>
          <w:tcPr>
            <w:tcW w:w="4819" w:type="dxa"/>
          </w:tcPr>
          <w:p>
            <w:pPr>
              <w:widowControl/>
              <w:jc w:val="left"/>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（1）项目负责人具有中高级职称或博士学位，得25%，否则不得分；</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（2）项目负责人主持或参与过相关领域市级以上政府课题的，每提供1个得25%，最高得分不超过75%。</w:t>
            </w:r>
          </w:p>
          <w:p>
            <w:pPr>
              <w:widowControl/>
              <w:jc w:val="left"/>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widowControl/>
              <w:rPr>
                <w:rFonts w:ascii="仿宋_GB2312" w:hAnsi="宋体" w:eastAsia="仿宋_GB2312" w:cs="宋体"/>
                <w:kern w:val="0"/>
                <w:sz w:val="22"/>
                <w:szCs w:val="24"/>
                <w:highlight w:val="yellow"/>
              </w:rPr>
            </w:pPr>
            <w:r>
              <w:rPr>
                <w:rFonts w:hint="eastAsia" w:ascii="仿宋_GB2312" w:hAnsi="宋体" w:eastAsia="仿宋_GB2312" w:cs="宋体"/>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10</w:t>
            </w:r>
          </w:p>
        </w:tc>
        <w:tc>
          <w:tcPr>
            <w:tcW w:w="851" w:type="dxa"/>
            <w:tcBorders>
              <w:lef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拟安排的项目主要团队成员（主要技术人员）情况（项目负责人除外）</w:t>
            </w:r>
          </w:p>
        </w:tc>
        <w:tc>
          <w:tcPr>
            <w:tcW w:w="4819" w:type="dxa"/>
          </w:tcPr>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1.评分内容：</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项目团队中每提供1位有中、高级职称或博士学位人员得50%，每提供1位硕士学位人员得25%，最高得分不超过100%。</w:t>
            </w:r>
          </w:p>
          <w:p>
            <w:pPr>
              <w:widowControl/>
              <w:rPr>
                <w:rFonts w:ascii="仿宋_GB2312" w:hAnsi="宋体" w:eastAsia="仿宋_GB2312" w:cs="宋体"/>
                <w:b/>
                <w:kern w:val="0"/>
                <w:sz w:val="22"/>
                <w:szCs w:val="24"/>
              </w:rPr>
            </w:pPr>
            <w:r>
              <w:rPr>
                <w:rFonts w:hint="eastAsia" w:ascii="仿宋_GB2312" w:hAnsi="宋体" w:eastAsia="仿宋_GB2312" w:cs="宋体"/>
                <w:b/>
                <w:kern w:val="0"/>
                <w:sz w:val="22"/>
                <w:szCs w:val="24"/>
              </w:rPr>
              <w:t>2.评分依据：</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（1）要求提供通过投标人购买的团队成员近三个月社保，学位或职称文件等。</w:t>
            </w:r>
          </w:p>
          <w:p>
            <w:pPr>
              <w:widowControl/>
              <w:rPr>
                <w:rFonts w:ascii="仿宋_GB2312" w:hAnsi="宋体" w:eastAsia="仿宋_GB2312" w:cs="宋体"/>
                <w:kern w:val="0"/>
                <w:sz w:val="22"/>
                <w:szCs w:val="24"/>
                <w:highlight w:val="yellow"/>
              </w:rPr>
            </w:pPr>
            <w:r>
              <w:rPr>
                <w:rFonts w:hint="eastAsia" w:ascii="仿宋_GB2312" w:hAnsi="宋体" w:eastAsia="仿宋_GB2312" w:cs="宋体"/>
                <w:kern w:val="0"/>
                <w:sz w:val="22"/>
                <w:szCs w:val="24"/>
              </w:rPr>
              <w:t>（2）以上资料均要求提供扫描件（或官方网站截图），原件备查。评分中出现无证明资料或专家无法凭所提供资料判断是否得分的情况，一律作不得分处理。</w:t>
            </w:r>
          </w:p>
        </w:tc>
        <w:tc>
          <w:tcPr>
            <w:tcW w:w="709" w:type="dxa"/>
            <w:tcBorders>
              <w:righ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10</w:t>
            </w:r>
          </w:p>
        </w:tc>
        <w:tc>
          <w:tcPr>
            <w:tcW w:w="851" w:type="dxa"/>
            <w:tcBorders>
              <w:left w:val="single" w:color="auto" w:sz="4" w:space="0"/>
            </w:tcBorders>
            <w:vAlign w:val="center"/>
          </w:tcPr>
          <w:p>
            <w:pPr>
              <w:jc w:val="center"/>
              <w:rPr>
                <w:rFonts w:ascii="仿宋_GB2312" w:hAnsi="宋体" w:eastAsia="仿宋_GB2312"/>
                <w:sz w:val="22"/>
                <w:szCs w:val="24"/>
              </w:rPr>
            </w:pPr>
            <w:r>
              <w:rPr>
                <w:rFonts w:ascii="仿宋_GB2312" w:hAnsi="宋体" w:eastAsia="仿宋_GB2312"/>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仿宋_GB2312" w:hAnsi="宋体" w:eastAsia="仿宋_GB2312"/>
                <w:b/>
                <w:sz w:val="22"/>
                <w:szCs w:val="24"/>
              </w:rPr>
            </w:pPr>
            <w:r>
              <w:rPr>
                <w:rFonts w:hint="eastAsia" w:ascii="仿宋_GB2312" w:hAnsi="宋体" w:eastAsia="仿宋_GB2312"/>
                <w:b/>
                <w:sz w:val="22"/>
                <w:szCs w:val="24"/>
              </w:rPr>
              <w:t>三</w:t>
            </w:r>
          </w:p>
        </w:tc>
        <w:tc>
          <w:tcPr>
            <w:tcW w:w="7581" w:type="dxa"/>
            <w:gridSpan w:val="4"/>
            <w:vAlign w:val="center"/>
          </w:tcPr>
          <w:p>
            <w:pPr>
              <w:ind w:left="-78" w:leftChars="-37" w:right="-73" w:rightChars="-35"/>
              <w:jc w:val="center"/>
              <w:rPr>
                <w:rFonts w:ascii="仿宋_GB2312" w:hAnsi="宋体" w:eastAsia="仿宋_GB2312" w:cs="宋体"/>
                <w:b/>
                <w:sz w:val="22"/>
                <w:szCs w:val="24"/>
              </w:rPr>
            </w:pPr>
            <w:r>
              <w:rPr>
                <w:rFonts w:hint="eastAsia" w:ascii="仿宋_GB2312" w:hAnsi="宋体" w:eastAsia="仿宋_GB2312"/>
                <w:b/>
                <w:sz w:val="22"/>
                <w:szCs w:val="24"/>
              </w:rPr>
              <w:t>价格部分（合计1</w:t>
            </w:r>
            <w:r>
              <w:rPr>
                <w:rFonts w:ascii="仿宋_GB2312" w:hAnsi="宋体" w:eastAsia="仿宋_GB2312"/>
                <w:b/>
                <w:sz w:val="22"/>
                <w:szCs w:val="24"/>
              </w:rPr>
              <w:t>0</w:t>
            </w:r>
            <w:r>
              <w:rPr>
                <w:rFonts w:hint="eastAsia" w:ascii="仿宋_GB2312" w:hAnsi="宋体" w:eastAsia="仿宋_GB2312"/>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3"/>
              </w:numPr>
              <w:jc w:val="center"/>
              <w:rPr>
                <w:rFonts w:ascii="仿宋_GB2312" w:hAnsi="宋体" w:eastAsia="仿宋_GB2312"/>
                <w:sz w:val="22"/>
                <w:szCs w:val="24"/>
              </w:rPr>
            </w:pPr>
          </w:p>
        </w:tc>
        <w:tc>
          <w:tcPr>
            <w:tcW w:w="1202" w:type="dxa"/>
            <w:vAlign w:val="center"/>
          </w:tcPr>
          <w:p>
            <w:pPr>
              <w:jc w:val="center"/>
              <w:rPr>
                <w:rFonts w:ascii="仿宋_GB2312" w:hAnsi="宋体" w:eastAsia="仿宋_GB2312"/>
                <w:sz w:val="22"/>
                <w:szCs w:val="24"/>
              </w:rPr>
            </w:pPr>
            <w:r>
              <w:rPr>
                <w:rFonts w:hint="eastAsia" w:ascii="仿宋_GB2312" w:hAnsi="宋体" w:eastAsia="仿宋_GB2312"/>
                <w:sz w:val="22"/>
                <w:szCs w:val="24"/>
              </w:rPr>
              <w:t>投标报价</w:t>
            </w:r>
          </w:p>
        </w:tc>
        <w:tc>
          <w:tcPr>
            <w:tcW w:w="4819" w:type="dxa"/>
            <w:vAlign w:val="center"/>
          </w:tcPr>
          <w:p>
            <w:pPr>
              <w:autoSpaceDE w:val="0"/>
              <w:autoSpaceDN w:val="0"/>
              <w:adjustRightInd w:val="0"/>
              <w:snapToGrid w:val="0"/>
              <w:rPr>
                <w:rFonts w:ascii="仿宋_GB2312" w:hAnsi="宋体" w:eastAsia="仿宋_GB2312" w:cs="宋体"/>
                <w:kern w:val="0"/>
                <w:sz w:val="22"/>
                <w:szCs w:val="24"/>
                <w:highlight w:val="yellow"/>
              </w:rPr>
            </w:pPr>
            <w:r>
              <w:rPr>
                <w:rFonts w:hint="eastAsia" w:ascii="仿宋_GB2312" w:hAnsi="宋体" w:eastAsia="仿宋_GB2312" w:cs="宋体"/>
                <w:kern w:val="0"/>
                <w:sz w:val="22"/>
                <w:szCs w:val="24"/>
              </w:rPr>
              <w:t>价格分应当采用低价优先法计算，即满足招标文件要求且投标价格最低的投标报价为评标基准价，其价格分为满分。其他投标人的价格分统一按照下列公式计算：</w:t>
            </w:r>
          </w:p>
          <w:p>
            <w:pPr>
              <w:widowControl/>
              <w:rPr>
                <w:rFonts w:ascii="仿宋_GB2312" w:hAnsi="宋体" w:eastAsia="仿宋_GB2312" w:cs="宋体"/>
                <w:kern w:val="0"/>
                <w:sz w:val="22"/>
                <w:szCs w:val="24"/>
              </w:rPr>
            </w:pPr>
            <w:r>
              <w:rPr>
                <w:rFonts w:hint="eastAsia" w:ascii="仿宋_GB2312" w:hAnsi="宋体" w:eastAsia="仿宋_GB2312" w:cs="宋体"/>
                <w:kern w:val="0"/>
                <w:sz w:val="22"/>
                <w:szCs w:val="24"/>
              </w:rPr>
              <w:t>投标报价得分=(评标基准价／投标报价)×100×权重</w:t>
            </w:r>
          </w:p>
          <w:p>
            <w:pPr>
              <w:widowControl/>
              <w:rPr>
                <w:rFonts w:ascii="仿宋_GB2312" w:hAnsi="宋体" w:eastAsia="仿宋_GB2312"/>
                <w:bCs/>
                <w:sz w:val="22"/>
                <w:szCs w:val="24"/>
              </w:rPr>
            </w:pPr>
            <w:r>
              <w:rPr>
                <w:rFonts w:hint="eastAsia" w:ascii="仿宋_GB2312" w:hAnsi="宋体" w:eastAsia="仿宋_GB2312"/>
                <w:bCs/>
                <w:sz w:val="22"/>
                <w:szCs w:val="24"/>
              </w:rPr>
              <w:t>备注：</w:t>
            </w:r>
          </w:p>
          <w:p>
            <w:pPr>
              <w:widowControl/>
              <w:rPr>
                <w:rFonts w:ascii="仿宋_GB2312" w:hAnsi="宋体" w:eastAsia="仿宋_GB2312" w:cs="宋体"/>
                <w:sz w:val="22"/>
                <w:szCs w:val="24"/>
              </w:rPr>
            </w:pPr>
            <w:r>
              <w:rPr>
                <w:rFonts w:ascii="仿宋_GB2312" w:hAnsi="宋体" w:eastAsia="仿宋_GB2312"/>
                <w:bCs/>
                <w:sz w:val="22"/>
                <w:szCs w:val="24"/>
              </w:rPr>
              <w:t>1.</w:t>
            </w:r>
            <w:r>
              <w:rPr>
                <w:rFonts w:hint="eastAsia" w:ascii="仿宋_GB2312" w:hAnsi="宋体" w:eastAsia="仿宋_GB2312"/>
                <w:bCs/>
                <w:sz w:val="22"/>
                <w:szCs w:val="24"/>
              </w:rPr>
              <w:t>因落实政府采购政策进行价格调整的，以调整后的价格计算评标基准价和投标报价</w:t>
            </w:r>
            <w:r>
              <w:rPr>
                <w:rFonts w:hint="eastAsia" w:ascii="仿宋_GB2312" w:hAnsi="宋体" w:eastAsia="仿宋_GB2312" w:cs="宋体"/>
                <w:sz w:val="22"/>
                <w:szCs w:val="24"/>
              </w:rPr>
              <w:t>,详见“价格扣除”。</w:t>
            </w:r>
          </w:p>
          <w:p>
            <w:pPr>
              <w:rPr>
                <w:rFonts w:ascii="仿宋_GB2312" w:hAnsi="宋体" w:eastAsia="仿宋_GB2312"/>
                <w:b/>
                <w:bCs/>
                <w:sz w:val="22"/>
                <w:szCs w:val="24"/>
                <w:u w:val="double"/>
              </w:rPr>
            </w:pPr>
            <w:r>
              <w:rPr>
                <w:rFonts w:ascii="仿宋_GB2312" w:hAnsi="宋体" w:eastAsia="仿宋_GB2312"/>
                <w:bCs/>
                <w:sz w:val="22"/>
                <w:szCs w:val="24"/>
              </w:rPr>
              <w:t>2.</w:t>
            </w:r>
            <w:r>
              <w:rPr>
                <w:rFonts w:hint="eastAsia" w:ascii="仿宋_GB2312" w:hAnsi="宋体" w:eastAsia="仿宋_GB2312"/>
                <w:bCs/>
                <w:sz w:val="22"/>
                <w:szCs w:val="24"/>
              </w:rPr>
              <w:t>投标报价得分四舍五入后，</w:t>
            </w:r>
            <w:r>
              <w:rPr>
                <w:rFonts w:hint="eastAsia" w:ascii="仿宋_GB2312" w:hAnsi="宋体" w:eastAsia="仿宋_GB2312" w:cs="Arial"/>
                <w:sz w:val="22"/>
                <w:szCs w:val="24"/>
              </w:rPr>
              <w:t>小数点后保留两位有效数</w:t>
            </w:r>
            <w:r>
              <w:rPr>
                <w:rFonts w:hint="eastAsia" w:ascii="仿宋_GB2312" w:hAnsi="宋体" w:eastAsia="仿宋_GB2312"/>
                <w:bCs/>
                <w:sz w:val="22"/>
                <w:szCs w:val="24"/>
              </w:rPr>
              <w:t>。</w:t>
            </w:r>
          </w:p>
        </w:tc>
        <w:tc>
          <w:tcPr>
            <w:tcW w:w="709" w:type="dxa"/>
            <w:tcBorders>
              <w:righ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cs="宋体"/>
                <w:sz w:val="22"/>
                <w:szCs w:val="24"/>
              </w:rPr>
              <w:t>1</w:t>
            </w:r>
            <w:r>
              <w:rPr>
                <w:rFonts w:ascii="仿宋_GB2312" w:hAnsi="宋体" w:eastAsia="仿宋_GB2312" w:cs="宋体"/>
                <w:sz w:val="22"/>
                <w:szCs w:val="24"/>
              </w:rPr>
              <w:t>0</w:t>
            </w:r>
          </w:p>
        </w:tc>
        <w:tc>
          <w:tcPr>
            <w:tcW w:w="851" w:type="dxa"/>
            <w:tcBorders>
              <w:lef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sz w:val="22"/>
                <w:szCs w:val="24"/>
              </w:rPr>
              <w:t>1</w:t>
            </w:r>
            <w:r>
              <w:rPr>
                <w:rFonts w:ascii="仿宋_GB2312" w:hAnsi="宋体" w:eastAsia="仿宋_GB2312"/>
                <w:sz w:val="22"/>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 w:hRule="atLeast"/>
        </w:trPr>
        <w:tc>
          <w:tcPr>
            <w:tcW w:w="6701" w:type="dxa"/>
            <w:gridSpan w:val="3"/>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sz w:val="22"/>
                <w:szCs w:val="24"/>
              </w:rPr>
              <w:t>合计</w:t>
            </w:r>
          </w:p>
        </w:tc>
        <w:tc>
          <w:tcPr>
            <w:tcW w:w="709" w:type="dxa"/>
            <w:tcBorders>
              <w:righ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cs="宋体"/>
                <w:sz w:val="22"/>
                <w:szCs w:val="24"/>
              </w:rPr>
              <w:t>100</w:t>
            </w:r>
          </w:p>
        </w:tc>
        <w:tc>
          <w:tcPr>
            <w:tcW w:w="851" w:type="dxa"/>
            <w:tcBorders>
              <w:left w:val="single" w:color="auto" w:sz="4" w:space="0"/>
            </w:tcBorders>
            <w:vAlign w:val="center"/>
          </w:tcPr>
          <w:p>
            <w:pPr>
              <w:ind w:left="-78" w:leftChars="-37" w:right="-73" w:rightChars="-35"/>
              <w:jc w:val="center"/>
              <w:rPr>
                <w:rFonts w:ascii="仿宋_GB2312" w:hAnsi="宋体" w:eastAsia="仿宋_GB2312" w:cs="宋体"/>
                <w:sz w:val="22"/>
                <w:szCs w:val="24"/>
              </w:rPr>
            </w:pPr>
            <w:r>
              <w:rPr>
                <w:rFonts w:hint="eastAsia" w:ascii="仿宋_GB2312" w:hAnsi="宋体" w:eastAsia="仿宋_GB2312" w:cs="宋体"/>
                <w:sz w:val="22"/>
                <w:szCs w:val="24"/>
              </w:rPr>
              <w:t>100</w:t>
            </w:r>
          </w:p>
        </w:tc>
      </w:tr>
    </w:tbl>
    <w:p>
      <w:pPr>
        <w:outlineLvl w:val="0"/>
        <w:rPr>
          <w:rFonts w:ascii="仿宋_GB2312" w:hAnsi="宋体" w:eastAsia="仿宋_GB2312"/>
          <w:b/>
          <w:sz w:val="24"/>
          <w:szCs w:val="24"/>
        </w:rPr>
      </w:pPr>
      <w:r>
        <w:rPr>
          <w:rFonts w:hint="eastAsia" w:ascii="仿宋_GB2312" w:hAnsi="宋体" w:eastAsia="仿宋_GB2312"/>
          <w:b/>
          <w:sz w:val="24"/>
          <w:szCs w:val="24"/>
        </w:rPr>
        <w:t>备注：</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1.评标信息内评分方法的说明：</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（1）权重：按百分比进行设置；</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（2）评分准则：按照评标系统设置要求，每项“评分准则”皆按百分制打分；</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（3）每项“评分因素”的得分=对应“评分准则”的分值×对应权重%。</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2.价格扣除</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（1）根据财政部、工业和信息化部印发的《政府采购促进中小企业发展管理办法》（财库〔2020〕46号）的规定，对小型和微型企业产品的价格给予6%的扣除，用扣除后的价格参与评审。</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（2）组成联合体（如允许）或者接受分包的小微企业与联合体内其他企业、分包企业之间存在直接控股、管理关系的，不享受价格扣除优惠政策。</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（3）监狱企业产品价格扣除：监狱企业视同小微企业，按上述第（1）、（2）条款享受评审中价格扣除。</w:t>
      </w:r>
    </w:p>
    <w:p>
      <w:pPr>
        <w:ind w:firstLine="480" w:firstLineChars="200"/>
        <w:rPr>
          <w:rFonts w:ascii="宋体" w:hAnsi="宋体" w:cs="宋体"/>
          <w:kern w:val="0"/>
          <w:sz w:val="24"/>
          <w:szCs w:val="24"/>
        </w:rPr>
      </w:pPr>
      <w:r>
        <w:rPr>
          <w:rFonts w:hint="eastAsia" w:ascii="仿宋_GB2312" w:hAnsi="宋体" w:eastAsia="仿宋_GB2312" w:cs="宋体"/>
          <w:kern w:val="0"/>
          <w:sz w:val="24"/>
          <w:szCs w:val="24"/>
        </w:rPr>
        <w:t>（4）残疾人福利性单位产品价格扣除：残疾人福利性单位视同小微企业，按上述第（1）、（2）条款享受评审中价格扣除。</w:t>
      </w:r>
    </w:p>
    <w:p>
      <w:pPr>
        <w:adjustRightInd w:val="0"/>
        <w:snapToGrid w:val="0"/>
        <w:spacing w:line="480" w:lineRule="exact"/>
        <w:ind w:firstLine="640" w:firstLineChars="200"/>
        <w:rPr>
          <w:rFonts w:ascii="仿宋_GB2312" w:hAnsi="宋体" w:eastAsia="仿宋_GB2312" w:cs="仿宋_GB2312"/>
          <w:sz w:val="32"/>
          <w:szCs w:val="22"/>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ascii="宋体" w:hAnsi="宋体" w:cs="宋体"/>
          <w:b/>
          <w:bCs/>
          <w:sz w:val="44"/>
          <w:szCs w:val="44"/>
        </w:rPr>
      </w:pPr>
    </w:p>
    <w:p>
      <w:pPr>
        <w:adjustRightInd w:val="0"/>
        <w:snapToGrid w:val="0"/>
        <w:spacing w:line="600" w:lineRule="exact"/>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ascii="宋体" w:hAnsi="宋体" w:cs="宋体"/>
          <w:b/>
          <w:bCs/>
          <w:sz w:val="32"/>
          <w:szCs w:val="32"/>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pPr>
                      <w:pStyle w:val="4"/>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64"/>
    <w:rsid w:val="000C2F70"/>
    <w:rsid w:val="000D1E44"/>
    <w:rsid w:val="000E5F46"/>
    <w:rsid w:val="00156AA8"/>
    <w:rsid w:val="00242AE8"/>
    <w:rsid w:val="00257058"/>
    <w:rsid w:val="00296A35"/>
    <w:rsid w:val="002C2C0E"/>
    <w:rsid w:val="00307B3F"/>
    <w:rsid w:val="00320CFB"/>
    <w:rsid w:val="00357E01"/>
    <w:rsid w:val="00386E5D"/>
    <w:rsid w:val="00413B8B"/>
    <w:rsid w:val="0045508A"/>
    <w:rsid w:val="00467189"/>
    <w:rsid w:val="00482187"/>
    <w:rsid w:val="004C6B55"/>
    <w:rsid w:val="004D11CF"/>
    <w:rsid w:val="00525672"/>
    <w:rsid w:val="00552937"/>
    <w:rsid w:val="005911F1"/>
    <w:rsid w:val="00595BD3"/>
    <w:rsid w:val="005B6C64"/>
    <w:rsid w:val="005E4D32"/>
    <w:rsid w:val="00606FDD"/>
    <w:rsid w:val="0065456D"/>
    <w:rsid w:val="006D1433"/>
    <w:rsid w:val="006E5914"/>
    <w:rsid w:val="00702DF4"/>
    <w:rsid w:val="00740500"/>
    <w:rsid w:val="00767C9D"/>
    <w:rsid w:val="007A7970"/>
    <w:rsid w:val="007B29CA"/>
    <w:rsid w:val="008337BE"/>
    <w:rsid w:val="00843980"/>
    <w:rsid w:val="00857164"/>
    <w:rsid w:val="008C6BEC"/>
    <w:rsid w:val="008D38D0"/>
    <w:rsid w:val="00926B16"/>
    <w:rsid w:val="0093393E"/>
    <w:rsid w:val="00957E71"/>
    <w:rsid w:val="00993D85"/>
    <w:rsid w:val="009B31AE"/>
    <w:rsid w:val="009F00CE"/>
    <w:rsid w:val="00A21A6A"/>
    <w:rsid w:val="00A25F12"/>
    <w:rsid w:val="00A32800"/>
    <w:rsid w:val="00A37D56"/>
    <w:rsid w:val="00A64E6D"/>
    <w:rsid w:val="00A83392"/>
    <w:rsid w:val="00AB5409"/>
    <w:rsid w:val="00AD14F9"/>
    <w:rsid w:val="00AD4994"/>
    <w:rsid w:val="00B00ADF"/>
    <w:rsid w:val="00B153A9"/>
    <w:rsid w:val="00B347EE"/>
    <w:rsid w:val="00B73EC9"/>
    <w:rsid w:val="00BD7A0F"/>
    <w:rsid w:val="00C01D00"/>
    <w:rsid w:val="00C16D2A"/>
    <w:rsid w:val="00C62B6E"/>
    <w:rsid w:val="00C76727"/>
    <w:rsid w:val="00CD778F"/>
    <w:rsid w:val="00D62DE8"/>
    <w:rsid w:val="00D824A9"/>
    <w:rsid w:val="00DA1CB0"/>
    <w:rsid w:val="00DC6ED5"/>
    <w:rsid w:val="00DD4376"/>
    <w:rsid w:val="00DE47CA"/>
    <w:rsid w:val="00DE6411"/>
    <w:rsid w:val="00E07DB1"/>
    <w:rsid w:val="00E4314E"/>
    <w:rsid w:val="00EC3F38"/>
    <w:rsid w:val="00F07DF0"/>
    <w:rsid w:val="00F226FA"/>
    <w:rsid w:val="00F47A5E"/>
    <w:rsid w:val="00F50F4D"/>
    <w:rsid w:val="00F9325F"/>
    <w:rsid w:val="00F957E1"/>
    <w:rsid w:val="00FA46A6"/>
    <w:rsid w:val="00FC7DE8"/>
    <w:rsid w:val="01794B73"/>
    <w:rsid w:val="05FF4F70"/>
    <w:rsid w:val="06527E62"/>
    <w:rsid w:val="06853EFB"/>
    <w:rsid w:val="0C095527"/>
    <w:rsid w:val="0D957BE4"/>
    <w:rsid w:val="0FE92F6B"/>
    <w:rsid w:val="110A4333"/>
    <w:rsid w:val="1A613215"/>
    <w:rsid w:val="1BC755CA"/>
    <w:rsid w:val="1C493851"/>
    <w:rsid w:val="1E0740D4"/>
    <w:rsid w:val="1EE2069D"/>
    <w:rsid w:val="20BD6FBF"/>
    <w:rsid w:val="27417D7B"/>
    <w:rsid w:val="27C27884"/>
    <w:rsid w:val="282B3EA3"/>
    <w:rsid w:val="28770568"/>
    <w:rsid w:val="2916793B"/>
    <w:rsid w:val="2CA46C90"/>
    <w:rsid w:val="35A86FA2"/>
    <w:rsid w:val="3CB054DF"/>
    <w:rsid w:val="3E2F1A13"/>
    <w:rsid w:val="3F9C3D59"/>
    <w:rsid w:val="40662BC2"/>
    <w:rsid w:val="41381347"/>
    <w:rsid w:val="47256D5A"/>
    <w:rsid w:val="47AC6F41"/>
    <w:rsid w:val="48320511"/>
    <w:rsid w:val="49B16E10"/>
    <w:rsid w:val="49BE1C2C"/>
    <w:rsid w:val="4CCB6C1A"/>
    <w:rsid w:val="4E4837C9"/>
    <w:rsid w:val="4F534BF8"/>
    <w:rsid w:val="525F7F08"/>
    <w:rsid w:val="52FE4D9E"/>
    <w:rsid w:val="55C139E8"/>
    <w:rsid w:val="5862192B"/>
    <w:rsid w:val="5A6846CF"/>
    <w:rsid w:val="5BC8444B"/>
    <w:rsid w:val="601B0D3D"/>
    <w:rsid w:val="64850E7B"/>
    <w:rsid w:val="6721456B"/>
    <w:rsid w:val="67504059"/>
    <w:rsid w:val="67905589"/>
    <w:rsid w:val="6BBC12F5"/>
    <w:rsid w:val="6CF43BBC"/>
    <w:rsid w:val="6E9E58DE"/>
    <w:rsid w:val="73173854"/>
    <w:rsid w:val="735B7F50"/>
    <w:rsid w:val="76941E86"/>
    <w:rsid w:val="7AE80A19"/>
    <w:rsid w:val="7AFB5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next w:val="1"/>
    <w:link w:val="8"/>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3 Char"/>
    <w:basedOn w:val="7"/>
    <w:link w:val="2"/>
    <w:qFormat/>
    <w:uiPriority w:val="0"/>
    <w:rPr>
      <w:rFonts w:ascii="Calibri" w:hAnsi="Calibri" w:eastAsia="宋体" w:cs="Times New Roman"/>
      <w:b/>
      <w:bCs/>
      <w:sz w:val="32"/>
      <w:szCs w:val="32"/>
    </w:rPr>
  </w:style>
  <w:style w:type="character" w:customStyle="1" w:styleId="9">
    <w:name w:val="页脚 Char"/>
    <w:basedOn w:val="7"/>
    <w:link w:val="4"/>
    <w:qFormat/>
    <w:uiPriority w:val="0"/>
    <w:rPr>
      <w:rFonts w:ascii="Calibri" w:hAnsi="Calibri" w:eastAsia="宋体" w:cs="Times New Roman"/>
      <w:sz w:val="18"/>
      <w:szCs w:val="18"/>
    </w:rPr>
  </w:style>
  <w:style w:type="character" w:customStyle="1" w:styleId="10">
    <w:name w:val="页眉 Char"/>
    <w:basedOn w:val="7"/>
    <w:link w:val="5"/>
    <w:qFormat/>
    <w:uiPriority w:val="99"/>
    <w:rPr>
      <w:rFonts w:ascii="Calibri" w:hAnsi="Calibri" w:eastAsia="宋体" w:cs="Times New Roman"/>
      <w:sz w:val="18"/>
      <w:szCs w:val="18"/>
    </w:rPr>
  </w:style>
  <w:style w:type="character" w:customStyle="1" w:styleId="11">
    <w:name w:val="批注框文本 Char"/>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621</Words>
  <Characters>3546</Characters>
  <Lines>29</Lines>
  <Paragraphs>8</Paragraphs>
  <TotalTime>0</TotalTime>
  <ScaleCrop>false</ScaleCrop>
  <LinksUpToDate>false</LinksUpToDate>
  <CharactersWithSpaces>4159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2021-12-07T08:29:00Z</dcterms:created>
  <dc:creator>Microsoft 帐户</dc:creator>
  <cp:lastModifiedBy>WPS_1581317969</cp:lastModifiedBy>
  <dcterms:modified xsi:type="dcterms:W3CDTF">2022-03-22T06:52:28Z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3C73F72CB868418AB3EC88F5A2513DEC</vt:lpwstr>
  </property>
</Properties>
</file>