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jc w:val="center"/>
        <w:outlineLvl w:val="0"/>
        <w:rPr>
          <w:rFonts w:hint="eastAsia" w:ascii="宋体" w:hAnsi="宋体" w:cs="Arial"/>
          <w:b/>
          <w:bCs/>
          <w:sz w:val="48"/>
          <w:szCs w:val="44"/>
        </w:rPr>
      </w:pPr>
      <w:r>
        <w:rPr>
          <w:rFonts w:hint="eastAsia" w:ascii="宋体" w:hAnsi="宋体" w:cs="Arial"/>
          <w:b/>
          <w:bCs/>
          <w:sz w:val="48"/>
          <w:szCs w:val="44"/>
        </w:rPr>
        <w:t>深圳外环高速公路三期及南延段</w:t>
      </w:r>
    </w:p>
    <w:p>
      <w:pPr>
        <w:adjustRightInd w:val="0"/>
        <w:snapToGrid w:val="0"/>
        <w:jc w:val="center"/>
        <w:outlineLvl w:val="0"/>
        <w:rPr>
          <w:rFonts w:hint="eastAsia" w:ascii="宋体" w:hAnsi="宋体" w:eastAsia="宋体" w:cs="Arial"/>
          <w:b/>
          <w:bCs/>
          <w:sz w:val="48"/>
          <w:szCs w:val="44"/>
          <w:lang w:eastAsia="zh-CN"/>
        </w:rPr>
      </w:pPr>
      <w:r>
        <w:rPr>
          <w:rFonts w:hint="eastAsia" w:ascii="宋体" w:hAnsi="宋体" w:cs="Arial"/>
          <w:b/>
          <w:bCs/>
          <w:sz w:val="48"/>
          <w:szCs w:val="44"/>
        </w:rPr>
        <w:t>投融资研究课题</w:t>
      </w:r>
      <w:r>
        <w:rPr>
          <w:rFonts w:hint="eastAsia" w:ascii="宋体" w:hAnsi="宋体" w:cs="Arial"/>
          <w:b/>
          <w:bCs/>
          <w:sz w:val="48"/>
          <w:szCs w:val="44"/>
          <w:lang w:eastAsia="zh-CN"/>
        </w:rPr>
        <w:t>项目</w:t>
      </w:r>
    </w:p>
    <w:p>
      <w:pPr>
        <w:spacing w:line="360" w:lineRule="auto"/>
        <w:ind w:left="420" w:leftChars="200"/>
        <w:jc w:val="center"/>
        <w:rPr>
          <w:rFonts w:ascii="宋体" w:hAnsi="宋体" w:cs="Arial"/>
          <w:b/>
          <w:bCs/>
          <w:sz w:val="44"/>
          <w:szCs w:val="44"/>
        </w:rPr>
      </w:pPr>
    </w:p>
    <w:p>
      <w:pPr>
        <w:spacing w:line="360" w:lineRule="auto"/>
        <w:jc w:val="both"/>
        <w:rPr>
          <w:rFonts w:ascii="黑体" w:hAnsi="宋体" w:eastAsia="黑体"/>
          <w:b/>
          <w:bCs/>
          <w:sz w:val="32"/>
          <w:szCs w:val="32"/>
        </w:rPr>
      </w:pPr>
    </w:p>
    <w:p>
      <w:pPr>
        <w:spacing w:before="156" w:beforeLines="50" w:after="156" w:afterLines="50" w:line="360" w:lineRule="auto"/>
        <w:jc w:val="center"/>
        <w:outlineLvl w:val="0"/>
        <w:rPr>
          <w:rFonts w:ascii="黑体" w:hAnsi="宋体" w:eastAsia="黑体"/>
          <w:bCs/>
          <w:sz w:val="72"/>
          <w:szCs w:val="72"/>
        </w:rPr>
      </w:pPr>
      <w:r>
        <w:rPr>
          <w:rFonts w:hint="eastAsia" w:ascii="黑体" w:hAnsi="黑体" w:eastAsia="黑体"/>
          <w:bCs/>
          <w:sz w:val="72"/>
          <w:szCs w:val="72"/>
        </w:rPr>
        <w:t>招</w:t>
      </w:r>
    </w:p>
    <w:p>
      <w:pPr>
        <w:spacing w:before="156" w:beforeLines="50" w:after="156" w:afterLines="50" w:line="360" w:lineRule="auto"/>
        <w:jc w:val="center"/>
        <w:rPr>
          <w:rFonts w:ascii="黑体" w:hAnsi="宋体" w:eastAsia="黑体"/>
          <w:bCs/>
          <w:sz w:val="72"/>
          <w:szCs w:val="72"/>
        </w:rPr>
      </w:pPr>
    </w:p>
    <w:p>
      <w:pPr>
        <w:spacing w:before="156" w:beforeLines="50" w:after="156" w:afterLines="50" w:line="360" w:lineRule="auto"/>
        <w:jc w:val="center"/>
        <w:outlineLvl w:val="0"/>
        <w:rPr>
          <w:rFonts w:ascii="黑体" w:hAnsi="宋体" w:eastAsia="黑体"/>
          <w:bCs/>
          <w:sz w:val="72"/>
          <w:szCs w:val="72"/>
        </w:rPr>
      </w:pPr>
      <w:r>
        <w:rPr>
          <w:rFonts w:hint="eastAsia" w:ascii="黑体" w:hAnsi="黑体" w:eastAsia="黑体"/>
          <w:bCs/>
          <w:sz w:val="72"/>
          <w:szCs w:val="72"/>
        </w:rPr>
        <w:t>标</w:t>
      </w:r>
    </w:p>
    <w:p>
      <w:pPr>
        <w:spacing w:before="156" w:beforeLines="50" w:after="156" w:afterLines="50" w:line="360" w:lineRule="auto"/>
        <w:jc w:val="center"/>
        <w:rPr>
          <w:rFonts w:ascii="黑体" w:hAnsi="宋体" w:eastAsia="黑体"/>
          <w:bCs/>
          <w:sz w:val="48"/>
          <w:szCs w:val="48"/>
        </w:rPr>
      </w:pPr>
    </w:p>
    <w:p>
      <w:pPr>
        <w:spacing w:before="156" w:beforeLines="50" w:after="156" w:afterLines="50" w:line="360" w:lineRule="auto"/>
        <w:jc w:val="center"/>
        <w:outlineLvl w:val="0"/>
        <w:rPr>
          <w:rFonts w:hint="eastAsia" w:ascii="黑体" w:hAnsi="黑体" w:eastAsia="黑体"/>
          <w:bCs/>
          <w:sz w:val="72"/>
          <w:szCs w:val="72"/>
        </w:rPr>
      </w:pPr>
      <w:r>
        <w:rPr>
          <w:rFonts w:hint="eastAsia" w:ascii="黑体" w:hAnsi="黑体" w:eastAsia="黑体"/>
          <w:bCs/>
          <w:sz w:val="72"/>
          <w:szCs w:val="72"/>
        </w:rPr>
        <w:t>书</w:t>
      </w:r>
    </w:p>
    <w:p>
      <w:pPr>
        <w:spacing w:before="156" w:beforeLines="50" w:after="156" w:afterLines="50" w:line="360" w:lineRule="auto"/>
        <w:jc w:val="center"/>
        <w:outlineLvl w:val="0"/>
        <w:rPr>
          <w:rFonts w:hint="eastAsia" w:ascii="黑体" w:hAnsi="黑体" w:eastAsia="黑体"/>
          <w:bCs/>
          <w:sz w:val="72"/>
          <w:szCs w:val="72"/>
        </w:rPr>
      </w:pPr>
    </w:p>
    <w:p>
      <w:pPr>
        <w:spacing w:line="600" w:lineRule="exact"/>
        <w:jc w:val="center"/>
        <w:outlineLvl w:val="0"/>
        <w:rPr>
          <w:rFonts w:ascii="宋体" w:hAnsi="宋体"/>
          <w:b/>
          <w:bCs/>
          <w:sz w:val="32"/>
          <w:szCs w:val="32"/>
        </w:rPr>
      </w:pPr>
      <w:r>
        <w:rPr>
          <w:rFonts w:hint="eastAsia" w:ascii="宋体" w:hAnsi="宋体"/>
          <w:b/>
          <w:bCs/>
          <w:sz w:val="32"/>
          <w:szCs w:val="32"/>
        </w:rPr>
        <w:t>深圳市发展和改革委员会</w:t>
      </w:r>
    </w:p>
    <w:p>
      <w:pPr>
        <w:spacing w:line="600" w:lineRule="exact"/>
        <w:jc w:val="center"/>
        <w:outlineLvl w:val="0"/>
        <w:rPr>
          <w:b/>
        </w:rPr>
      </w:pPr>
      <w:r>
        <w:rPr>
          <w:rFonts w:hint="eastAsia" w:ascii="宋体" w:hAnsi="宋体"/>
          <w:b/>
          <w:bCs/>
          <w:sz w:val="32"/>
          <w:szCs w:val="32"/>
        </w:rPr>
        <w:t>二〇二一年十</w:t>
      </w:r>
      <w:r>
        <w:rPr>
          <w:rFonts w:hint="eastAsia" w:ascii="宋体" w:hAnsi="宋体"/>
          <w:b/>
          <w:bCs/>
          <w:sz w:val="32"/>
          <w:szCs w:val="32"/>
          <w:lang w:eastAsia="zh-CN"/>
        </w:rPr>
        <w:t>一</w:t>
      </w:r>
      <w:r>
        <w:rPr>
          <w:rFonts w:hint="eastAsia" w:ascii="宋体" w:hAnsi="宋体"/>
          <w:b/>
          <w:bCs/>
          <w:sz w:val="32"/>
          <w:szCs w:val="32"/>
        </w:rPr>
        <w:t>月</w:t>
      </w:r>
    </w:p>
    <w:p>
      <w:pPr>
        <w:widowControl/>
        <w:jc w:val="left"/>
        <w:rPr>
          <w:rFonts w:ascii="宋体" w:hAnsi="宋体" w:cs="宋体"/>
          <w:b/>
          <w:bCs/>
          <w:sz w:val="44"/>
          <w:szCs w:val="44"/>
        </w:rPr>
        <w:sectPr>
          <w:pgSz w:w="11906" w:h="16838"/>
          <w:pgMar w:top="1871" w:right="1474" w:bottom="1758" w:left="1588"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outlineLvl w:val="0"/>
        <w:rPr>
          <w:rFonts w:hint="eastAsia" w:ascii="宋体" w:hAnsi="宋体" w:cs="Arial"/>
          <w:b/>
          <w:bCs/>
          <w:sz w:val="44"/>
          <w:szCs w:val="44"/>
        </w:rPr>
      </w:pPr>
      <w:r>
        <w:rPr>
          <w:rFonts w:hint="eastAsia" w:ascii="宋体" w:hAnsi="宋体" w:cs="Arial"/>
          <w:b/>
          <w:bCs/>
          <w:sz w:val="44"/>
          <w:szCs w:val="44"/>
        </w:rPr>
        <w:t>深圳外环高速公路三期及南延段</w:t>
      </w:r>
    </w:p>
    <w:p>
      <w:pPr>
        <w:adjustRightInd w:val="0"/>
        <w:snapToGrid w:val="0"/>
        <w:jc w:val="center"/>
        <w:outlineLvl w:val="0"/>
        <w:rPr>
          <w:rFonts w:ascii="宋体" w:hAnsi="宋体" w:cs="Arial"/>
          <w:b/>
          <w:bCs/>
          <w:sz w:val="44"/>
          <w:szCs w:val="44"/>
        </w:rPr>
      </w:pPr>
      <w:r>
        <w:rPr>
          <w:rFonts w:hint="eastAsia" w:ascii="宋体" w:hAnsi="宋体" w:cs="Arial"/>
          <w:b/>
          <w:bCs/>
          <w:sz w:val="44"/>
          <w:szCs w:val="44"/>
        </w:rPr>
        <w:t>投融资研究课题招标书</w:t>
      </w:r>
    </w:p>
    <w:p>
      <w:pPr>
        <w:adjustRightInd w:val="0"/>
        <w:snapToGrid w:val="0"/>
        <w:spacing w:line="560" w:lineRule="exact"/>
        <w:ind w:firstLine="643" w:firstLineChars="200"/>
        <w:rPr>
          <w:rFonts w:ascii="黑体" w:hAnsi="黑体" w:eastAsia="黑体"/>
          <w:b/>
          <w:bCs/>
          <w:sz w:val="32"/>
          <w:szCs w:val="32"/>
        </w:rPr>
      </w:pPr>
    </w:p>
    <w:p>
      <w:pPr>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一、项目概况</w:t>
      </w:r>
    </w:p>
    <w:p>
      <w:pPr>
        <w:adjustRightInd w:val="0"/>
        <w:snapToGrid w:val="0"/>
        <w:spacing w:line="560" w:lineRule="exact"/>
        <w:ind w:firstLine="640" w:firstLineChars="200"/>
        <w:outlineLvl w:val="1"/>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（一）项目名称：</w:t>
      </w:r>
      <w:r>
        <w:rPr>
          <w:rFonts w:hint="eastAsia" w:ascii="仿宋_GB2312" w:eastAsia="仿宋_GB2312"/>
          <w:sz w:val="32"/>
          <w:szCs w:val="32"/>
        </w:rPr>
        <w:t>深圳外环高速公路三期及南延段投融资研究课题</w:t>
      </w:r>
    </w:p>
    <w:p>
      <w:pPr>
        <w:adjustRightInd w:val="0"/>
        <w:snapToGrid w:val="0"/>
        <w:spacing w:line="560" w:lineRule="exact"/>
        <w:ind w:firstLine="640" w:firstLineChars="200"/>
        <w:outlineLvl w:val="1"/>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1"/>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100</w:t>
      </w:r>
      <w:r>
        <w:rPr>
          <w:rFonts w:hint="eastAsia" w:ascii="仿宋_GB2312" w:hAnsi="仿宋" w:eastAsia="仿宋_GB2312" w:cs="仿宋_GB2312"/>
          <w:sz w:val="32"/>
          <w:szCs w:val="32"/>
        </w:rPr>
        <w:t>万元以下</w:t>
      </w:r>
    </w:p>
    <w:p>
      <w:pPr>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二、项目内容</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（一）梳理与本项目相关的资料，总结本项目前期工作推进情况。</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（二）分析国内高速公路投融资的典型案例及相关政策要求。</w:t>
      </w:r>
    </w:p>
    <w:p>
      <w:pPr>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（三）</w:t>
      </w:r>
      <w:r>
        <w:rPr>
          <w:rFonts w:hint="eastAsia" w:ascii="仿宋_GB2312" w:hAnsi="仿宋" w:eastAsia="仿宋_GB2312" w:cs="仿宋_GB2312"/>
          <w:sz w:val="32"/>
          <w:szCs w:val="32"/>
        </w:rPr>
        <w:t>根据</w:t>
      </w:r>
      <w:r>
        <w:rPr>
          <w:rFonts w:hint="eastAsia" w:ascii="仿宋_GB2312" w:eastAsia="仿宋_GB2312"/>
          <w:sz w:val="32"/>
          <w:szCs w:val="32"/>
        </w:rPr>
        <w:t>深圳外环高速公路三期及南延段</w:t>
      </w:r>
      <w:r>
        <w:rPr>
          <w:rFonts w:hint="eastAsia" w:ascii="仿宋_GB2312" w:hAnsi="仿宋" w:eastAsia="仿宋_GB2312" w:cs="仿宋_GB2312"/>
          <w:sz w:val="32"/>
          <w:szCs w:val="32"/>
        </w:rPr>
        <w:t>工程可行性研究报告等技术资料，评估项目收支情况。</w:t>
      </w:r>
    </w:p>
    <w:p>
      <w:pPr>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（四）</w:t>
      </w:r>
      <w:r>
        <w:rPr>
          <w:rFonts w:hint="eastAsia" w:ascii="仿宋_GB2312" w:hAnsi="仿宋" w:eastAsia="仿宋_GB2312" w:cs="仿宋_GB2312"/>
          <w:sz w:val="32"/>
          <w:szCs w:val="32"/>
        </w:rPr>
        <w:t>根据项目收支情况等特征，研究比选不同的投融资模式并提出推荐方案。</w:t>
      </w:r>
    </w:p>
    <w:p>
      <w:pPr>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三、项目技术要求</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（一）项目成果应符合国家有关经营性高速公路及交通基础设施投融资等方面的相关法律、法规及政策要求，应符合相关的技术标准和规范。</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（二）项目成果应具备研究体系完整、研究内容全面、研究材料丰富等要求。</w:t>
      </w:r>
    </w:p>
    <w:p>
      <w:pPr>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（三）</w:t>
      </w:r>
      <w:r>
        <w:rPr>
          <w:rFonts w:hint="eastAsia" w:ascii="仿宋_GB2312" w:hAnsi="仿宋" w:eastAsia="仿宋_GB2312" w:cs="仿宋_GB2312"/>
          <w:sz w:val="32"/>
          <w:szCs w:val="32"/>
        </w:rPr>
        <w:t>项目成果应符合深圳市政府实际财政情况，具备科学性、实用性和可操作性，要达到指导具体工程项目实施方案编制的深度。</w:t>
      </w:r>
    </w:p>
    <w:p>
      <w:pPr>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四、项目成果交付要求</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提交研究成果纸质版</w:t>
      </w:r>
      <w:r>
        <w:rPr>
          <w:rFonts w:ascii="仿宋_GB2312" w:hAnsi="仿宋" w:eastAsia="仿宋_GB2312" w:cs="仿宋_GB2312"/>
          <w:sz w:val="32"/>
          <w:szCs w:val="32"/>
        </w:rPr>
        <w:t>8</w:t>
      </w:r>
      <w:r>
        <w:rPr>
          <w:rFonts w:hint="eastAsia" w:ascii="仿宋_GB2312" w:hAnsi="仿宋" w:eastAsia="仿宋_GB2312" w:cs="仿宋_GB2312"/>
          <w:sz w:val="32"/>
          <w:szCs w:val="32"/>
        </w:rPr>
        <w:t>份和电子版，项目成果能够全面阐述研究内容及主要结论。</w:t>
      </w:r>
    </w:p>
    <w:p>
      <w:pPr>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五、投标资格要求</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（一）具有独立承担民事责任能力的在中华人民共和国境内注册的法人。</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（二）参加本次政府采购活动前3年内在经营活动中没有重大违法记录（提供声明函，格式自拟）。</w:t>
      </w:r>
    </w:p>
    <w:p>
      <w:pPr>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（三）本项目不接受联合体投标。</w:t>
      </w:r>
    </w:p>
    <w:p>
      <w:pPr>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六、投标时间、方式及联系人</w:t>
      </w:r>
    </w:p>
    <w:p>
      <w:pPr>
        <w:pStyle w:val="38"/>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（一）投标时间：2021年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bookmarkStart w:id="0" w:name="_GoBack"/>
      <w:bookmarkEnd w:id="0"/>
      <w:r>
        <w:rPr>
          <w:rFonts w:hint="eastAsia" w:ascii="仿宋_GB2312" w:hAnsi="仿宋_GB2312" w:eastAsia="仿宋_GB2312" w:cs="仿宋_GB2312"/>
          <w:sz w:val="32"/>
          <w:szCs w:val="32"/>
        </w:rPr>
        <w:t>日，每日上午9:00-12:00，下午2:00-6:00（节假日除外）。逾期未投标将不再受理。</w:t>
      </w:r>
    </w:p>
    <w:p>
      <w:pPr>
        <w:pStyle w:val="38"/>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（二）投标地点：深圳市福田区福中三路市民中心B区行政服务大厅2号市发展改革委卡座（可邮寄，以送达日期为投标日期）。</w:t>
      </w:r>
    </w:p>
    <w:p>
      <w:pPr>
        <w:pStyle w:val="38"/>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（三）联系人：</w:t>
      </w:r>
      <w:r>
        <w:rPr>
          <w:rFonts w:hint="eastAsia" w:ascii="仿宋_GB2312" w:hAnsi="仿宋_GB2312" w:eastAsia="仿宋_GB2312" w:cs="仿宋_GB2312"/>
          <w:sz w:val="32"/>
          <w:szCs w:val="32"/>
          <w:lang w:eastAsia="zh-CN"/>
        </w:rPr>
        <w:t>梁遐意</w:t>
      </w:r>
      <w:r>
        <w:rPr>
          <w:rFonts w:hint="eastAsia" w:ascii="仿宋_GB2312" w:hAnsi="仿宋_GB2312" w:eastAsia="仿宋_GB2312" w:cs="仿宋_GB2312"/>
          <w:sz w:val="32"/>
          <w:szCs w:val="32"/>
        </w:rPr>
        <w:t>，0755-</w:t>
      </w:r>
      <w:r>
        <w:rPr>
          <w:rFonts w:hint="eastAsia" w:ascii="仿宋_GB2312" w:hAnsi="仿宋_GB2312" w:eastAsia="仿宋_GB2312" w:cs="仿宋_GB2312"/>
          <w:sz w:val="32"/>
          <w:szCs w:val="32"/>
          <w:lang w:val="en-US" w:eastAsia="zh-CN"/>
        </w:rPr>
        <w:t>88127345</w:t>
      </w:r>
      <w:r>
        <w:rPr>
          <w:rFonts w:hint="eastAsia" w:ascii="仿宋_GB2312" w:hAnsi="仿宋_GB2312" w:eastAsia="仿宋_GB2312" w:cs="仿宋_GB2312"/>
          <w:sz w:val="32"/>
          <w:szCs w:val="32"/>
        </w:rPr>
        <w:t>。</w:t>
      </w:r>
    </w:p>
    <w:p>
      <w:pPr>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七、投标文件递交内容</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（二）法定代表人证明书及授权委托书（原件加盖公章）。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（三）法定代表人及受委托人身份证复印件（复印件加盖公章）。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（四）项目方案及报价单（原件加盖公章）。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（五）投标人相关领域/项目经验证明材料（复印件加盖公章）。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（六）投标人无重大违法记录声明函（原件加盖公章）。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（七）投标及履约承诺函原件（格式见附件）。</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（八）住所地不在深圳的投标人应提供营业场所证明原件。</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（九）投标人认为有必要提供的其它材料。</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投标文件一式三份，整套材料密封并加盖骑缝，封面注明投标人的名称、地址、联系人及手机号码。</w:t>
      </w:r>
    </w:p>
    <w:p>
      <w:pPr>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八、重要提示</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pPr>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九、评标方法</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（一）评标方法为综合评分法，具体评分标准和规则为：投标文件从技术、综合实力和价格等三个评审因素进行评分，总分最高的投标人中标；出现总分相同的，则总分相等投标人中最低价者中标。</w:t>
      </w:r>
    </w:p>
    <w:p>
      <w:pPr>
        <w:adjustRightInd w:val="0"/>
        <w:snapToGrid w:val="0"/>
        <w:spacing w:after="156" w:afterLines="50"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44"/>
        <w:gridCol w:w="4677"/>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2" w:hRule="atLeast"/>
          <w:tblHeader/>
        </w:trPr>
        <w:tc>
          <w:tcPr>
            <w:tcW w:w="680" w:type="dxa"/>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评审部分</w:t>
            </w:r>
          </w:p>
        </w:tc>
        <w:tc>
          <w:tcPr>
            <w:tcW w:w="1344" w:type="dxa"/>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评审因素</w:t>
            </w:r>
          </w:p>
        </w:tc>
        <w:tc>
          <w:tcPr>
            <w:tcW w:w="4677" w:type="dxa"/>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评分细则</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权重（%）</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5" w:hRule="atLeast"/>
        </w:trPr>
        <w:tc>
          <w:tcPr>
            <w:tcW w:w="680" w:type="dxa"/>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一</w:t>
            </w:r>
          </w:p>
        </w:tc>
        <w:tc>
          <w:tcPr>
            <w:tcW w:w="7581" w:type="dxa"/>
            <w:gridSpan w:val="4"/>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b/>
                <w:sz w:val="22"/>
                <w:szCs w:val="24"/>
              </w:rPr>
              <w:t>技术部分（合计</w:t>
            </w:r>
            <w:r>
              <w:rPr>
                <w:rFonts w:hint="eastAsia" w:ascii="仿宋_GB2312" w:hAnsi="宋体" w:eastAsia="仿宋_GB2312"/>
                <w:b/>
                <w:sz w:val="22"/>
                <w:szCs w:val="24"/>
                <w:lang w:val="en-US" w:eastAsia="zh-CN"/>
              </w:rPr>
              <w:t>4</w:t>
            </w:r>
            <w:r>
              <w:rPr>
                <w:rFonts w:ascii="仿宋_GB2312" w:hAnsi="宋体" w:eastAsia="仿宋_GB2312"/>
                <w:b/>
                <w:sz w:val="22"/>
                <w:szCs w:val="24"/>
              </w:rPr>
              <w:t>0</w:t>
            </w:r>
            <w:r>
              <w:rPr>
                <w:rFonts w:hint="eastAsia" w:ascii="仿宋_GB2312" w:hAnsi="宋体" w:eastAsia="仿宋_GB2312"/>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08" w:hRule="atLeast"/>
        </w:trPr>
        <w:tc>
          <w:tcPr>
            <w:tcW w:w="680" w:type="dxa"/>
            <w:tcBorders>
              <w:bottom w:val="single" w:color="auto" w:sz="4" w:space="0"/>
            </w:tcBorders>
            <w:vAlign w:val="center"/>
          </w:tcPr>
          <w:p>
            <w:pPr>
              <w:numPr>
                <w:ilvl w:val="0"/>
                <w:numId w:val="5"/>
              </w:numPr>
              <w:jc w:val="right"/>
              <w:rPr>
                <w:rFonts w:ascii="仿宋_GB2312" w:hAnsi="宋体" w:eastAsia="仿宋_GB2312"/>
                <w:sz w:val="22"/>
                <w:szCs w:val="24"/>
              </w:rPr>
            </w:pPr>
          </w:p>
        </w:tc>
        <w:tc>
          <w:tcPr>
            <w:tcW w:w="1344" w:type="dxa"/>
            <w:vAlign w:val="center"/>
          </w:tcPr>
          <w:p>
            <w:pPr>
              <w:jc w:val="center"/>
              <w:rPr>
                <w:rFonts w:ascii="仿宋_GB2312" w:hAnsi="宋体" w:eastAsia="仿宋_GB2312"/>
                <w:sz w:val="22"/>
                <w:szCs w:val="24"/>
              </w:rPr>
            </w:pPr>
            <w:r>
              <w:rPr>
                <w:rFonts w:hint="eastAsia" w:ascii="仿宋_GB2312" w:hAnsi="宋体" w:eastAsia="仿宋_GB2312"/>
                <w:sz w:val="22"/>
                <w:szCs w:val="24"/>
              </w:rPr>
              <w:t>实施方案</w:t>
            </w:r>
          </w:p>
        </w:tc>
        <w:tc>
          <w:tcPr>
            <w:tcW w:w="4677" w:type="dxa"/>
            <w:vAlign w:val="center"/>
          </w:tcPr>
          <w:p>
            <w:pPr>
              <w:widowControl/>
              <w:ind w:left="-107" w:leftChars="-51" w:right="-73" w:rightChars="-35"/>
              <w:rPr>
                <w:rFonts w:ascii="仿宋_GB2312" w:hAnsi="宋体" w:eastAsia="仿宋_GB2312" w:cs="宋体"/>
                <w:b/>
                <w:kern w:val="0"/>
                <w:sz w:val="22"/>
                <w:szCs w:val="24"/>
              </w:rPr>
            </w:pPr>
            <w:r>
              <w:rPr>
                <w:rFonts w:hint="eastAsia" w:ascii="仿宋_GB2312" w:hAnsi="宋体" w:eastAsia="仿宋_GB2312" w:cs="宋体"/>
                <w:b/>
                <w:kern w:val="0"/>
                <w:sz w:val="22"/>
                <w:szCs w:val="24"/>
              </w:rPr>
              <w:t>1</w:t>
            </w:r>
            <w:r>
              <w:rPr>
                <w:rFonts w:ascii="仿宋_GB2312" w:hAnsi="宋体" w:eastAsia="仿宋_GB2312" w:cs="宋体"/>
                <w:b/>
                <w:kern w:val="0"/>
                <w:sz w:val="22"/>
                <w:szCs w:val="24"/>
              </w:rPr>
              <w:t>.</w:t>
            </w:r>
            <w:r>
              <w:rPr>
                <w:rFonts w:hint="eastAsia" w:ascii="仿宋_GB2312" w:hAnsi="宋体" w:eastAsia="仿宋_GB2312" w:cs="宋体"/>
                <w:b/>
                <w:kern w:val="0"/>
                <w:sz w:val="22"/>
                <w:szCs w:val="24"/>
              </w:rPr>
              <w:t>评分内容：</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（1）对与本项目相关的前期工作背景进行阐述；</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（2）分析国内高速公路投融资的典型案例及相关法律法规要求；</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（3）结合深圳市实际情况，给出项目的研究思路、研究方法及技术路线；</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（4）详细阐述本项目的工作内容及深度。</w:t>
            </w:r>
          </w:p>
          <w:p>
            <w:pPr>
              <w:widowControl/>
              <w:ind w:left="-107" w:leftChars="-51" w:right="-73" w:rightChars="-35"/>
              <w:rPr>
                <w:rFonts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.评分依据：</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（1）内容完整性：满足以上四点得</w:t>
            </w:r>
            <w:r>
              <w:rPr>
                <w:rFonts w:ascii="仿宋_GB2312" w:hAnsi="宋体" w:eastAsia="仿宋_GB2312" w:cs="宋体"/>
                <w:kern w:val="0"/>
                <w:sz w:val="22"/>
                <w:szCs w:val="24"/>
              </w:rPr>
              <w:t>60%分，满足任意三点得40%分，满足任意两点得</w:t>
            </w:r>
            <w:r>
              <w:rPr>
                <w:rFonts w:hint="eastAsia" w:ascii="仿宋_GB2312" w:hAnsi="宋体" w:eastAsia="仿宋_GB2312" w:cs="宋体"/>
                <w:kern w:val="0"/>
                <w:sz w:val="22"/>
                <w:szCs w:val="24"/>
              </w:rPr>
              <w:t>2</w:t>
            </w:r>
            <w:r>
              <w:rPr>
                <w:rFonts w:ascii="仿宋_GB2312" w:hAnsi="宋体" w:eastAsia="仿宋_GB2312" w:cs="宋体"/>
                <w:kern w:val="0"/>
                <w:sz w:val="22"/>
                <w:szCs w:val="24"/>
              </w:rPr>
              <w:t>0%分，满足任意一点得</w:t>
            </w:r>
            <w:r>
              <w:rPr>
                <w:rFonts w:hint="eastAsia" w:ascii="仿宋_GB2312" w:hAnsi="宋体" w:eastAsia="仿宋_GB2312" w:cs="宋体"/>
                <w:kern w:val="0"/>
                <w:sz w:val="22"/>
                <w:szCs w:val="24"/>
              </w:rPr>
              <w:t>1</w:t>
            </w:r>
            <w:r>
              <w:rPr>
                <w:rFonts w:ascii="仿宋_GB2312" w:hAnsi="宋体" w:eastAsia="仿宋_GB2312" w:cs="宋体"/>
                <w:kern w:val="0"/>
                <w:sz w:val="22"/>
                <w:szCs w:val="24"/>
              </w:rPr>
              <w:t>0%分，未满足不得分；</w:t>
            </w:r>
          </w:p>
          <w:p>
            <w:pPr>
              <w:widowControl/>
              <w:ind w:left="-107" w:leftChars="-51" w:right="-73" w:rightChars="-35"/>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）内容合理性：在内容完整性的基础上，对内容合理性进行分档评分。</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①优评分标准：内容合理性强，得</w:t>
            </w:r>
            <w:r>
              <w:rPr>
                <w:rFonts w:ascii="仿宋_GB2312" w:hAnsi="宋体" w:eastAsia="仿宋_GB2312" w:cs="宋体"/>
                <w:kern w:val="0"/>
                <w:sz w:val="22"/>
                <w:szCs w:val="24"/>
              </w:rPr>
              <w:t>40%分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②良评分标准：内容合理性较强，得</w:t>
            </w:r>
            <w:r>
              <w:rPr>
                <w:rFonts w:ascii="仿宋_GB2312" w:hAnsi="宋体" w:eastAsia="仿宋_GB2312" w:cs="宋体"/>
                <w:kern w:val="0"/>
                <w:sz w:val="22"/>
                <w:szCs w:val="24"/>
              </w:rPr>
              <w:t>30%分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③中评分标准：内容合理性一般，得2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④差评分标准：内容合理性较差，不得分。</w:t>
            </w:r>
          </w:p>
          <w:p>
            <w:pPr>
              <w:widowControl/>
              <w:ind w:left="-107" w:leftChars="-51" w:right="-73" w:rightChars="-35"/>
              <w:rPr>
                <w:rFonts w:ascii="仿宋_GB2312" w:hAnsi="宋体" w:eastAsia="仿宋_GB2312" w:cs="宋体"/>
                <w:kern w:val="0"/>
                <w:sz w:val="22"/>
                <w:szCs w:val="24"/>
              </w:rPr>
            </w:pPr>
            <w:r>
              <w:rPr>
                <w:rFonts w:ascii="仿宋_GB2312" w:hAnsi="宋体" w:eastAsia="仿宋_GB2312" w:cs="宋体"/>
                <w:kern w:val="0"/>
                <w:sz w:val="22"/>
                <w:szCs w:val="24"/>
              </w:rPr>
              <w:t>以上</w:t>
            </w:r>
            <w:r>
              <w:rPr>
                <w:rFonts w:hint="eastAsia" w:ascii="仿宋_GB2312" w:hAnsi="宋体" w:eastAsia="仿宋_GB2312" w:cs="宋体"/>
                <w:kern w:val="0"/>
                <w:sz w:val="22"/>
                <w:szCs w:val="24"/>
              </w:rPr>
              <w:t>两</w:t>
            </w:r>
            <w:r>
              <w:rPr>
                <w:rFonts w:ascii="仿宋_GB2312" w:hAnsi="宋体" w:eastAsia="仿宋_GB2312" w:cs="宋体"/>
                <w:kern w:val="0"/>
                <w:sz w:val="22"/>
                <w:szCs w:val="24"/>
              </w:rPr>
              <w:t>项累积得分，满分为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tc>
        <w:tc>
          <w:tcPr>
            <w:tcW w:w="709" w:type="dxa"/>
            <w:tcBorders>
              <w:right w:val="single" w:color="auto" w:sz="4" w:space="0"/>
            </w:tcBorders>
            <w:vAlign w:val="center"/>
          </w:tcPr>
          <w:p>
            <w:pPr>
              <w:jc w:val="center"/>
              <w:rPr>
                <w:rFonts w:hint="eastAsia" w:ascii="仿宋_GB2312" w:hAnsi="宋体" w:eastAsia="仿宋_GB2312"/>
                <w:sz w:val="22"/>
                <w:szCs w:val="24"/>
                <w:lang w:eastAsia="zh-CN"/>
              </w:rPr>
            </w:pPr>
            <w:r>
              <w:rPr>
                <w:rFonts w:ascii="仿宋_GB2312" w:hAnsi="宋体" w:eastAsia="仿宋_GB2312"/>
                <w:sz w:val="22"/>
                <w:szCs w:val="24"/>
              </w:rPr>
              <w:t>1</w:t>
            </w:r>
            <w:r>
              <w:rPr>
                <w:rFonts w:hint="eastAsia" w:ascii="仿宋_GB2312" w:hAnsi="宋体" w:eastAsia="仿宋_GB2312"/>
                <w:sz w:val="22"/>
                <w:szCs w:val="24"/>
                <w:lang w:val="en-US" w:eastAsia="zh-CN"/>
              </w:rPr>
              <w:t>5</w:t>
            </w:r>
          </w:p>
        </w:tc>
        <w:tc>
          <w:tcPr>
            <w:tcW w:w="851" w:type="dxa"/>
            <w:tcBorders>
              <w:left w:val="single" w:color="auto" w:sz="4" w:space="0"/>
            </w:tcBorders>
            <w:vAlign w:val="center"/>
          </w:tcPr>
          <w:p>
            <w:pPr>
              <w:jc w:val="center"/>
              <w:rPr>
                <w:rFonts w:hint="eastAsia" w:ascii="仿宋_GB2312" w:hAnsi="宋体" w:eastAsia="仿宋_GB2312"/>
                <w:sz w:val="22"/>
                <w:szCs w:val="24"/>
                <w:lang w:eastAsia="zh-CN"/>
              </w:rPr>
            </w:pPr>
            <w:r>
              <w:rPr>
                <w:rFonts w:hint="eastAsia" w:ascii="仿宋_GB2312" w:hAnsi="宋体" w:eastAsia="仿宋_GB2312"/>
                <w:sz w:val="22"/>
                <w:szCs w:val="24"/>
              </w:rPr>
              <w:t>1</w:t>
            </w:r>
            <w:r>
              <w:rPr>
                <w:rFonts w:hint="eastAsia" w:ascii="仿宋_GB2312" w:hAnsi="宋体" w:eastAsia="仿宋_GB2312"/>
                <w:sz w:val="22"/>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3" w:hRule="atLeast"/>
        </w:trPr>
        <w:tc>
          <w:tcPr>
            <w:tcW w:w="680" w:type="dxa"/>
            <w:tcBorders>
              <w:bottom w:val="single" w:color="auto" w:sz="4" w:space="0"/>
            </w:tcBorders>
            <w:vAlign w:val="center"/>
          </w:tcPr>
          <w:p>
            <w:pPr>
              <w:numPr>
                <w:ilvl w:val="0"/>
                <w:numId w:val="5"/>
              </w:numPr>
              <w:jc w:val="right"/>
              <w:rPr>
                <w:rFonts w:ascii="仿宋_GB2312" w:hAnsi="宋体" w:eastAsia="仿宋_GB2312"/>
                <w:sz w:val="22"/>
                <w:szCs w:val="24"/>
              </w:rPr>
            </w:pPr>
          </w:p>
        </w:tc>
        <w:tc>
          <w:tcPr>
            <w:tcW w:w="1344" w:type="dxa"/>
            <w:vAlign w:val="center"/>
          </w:tcPr>
          <w:p>
            <w:pPr>
              <w:jc w:val="center"/>
              <w:rPr>
                <w:rFonts w:ascii="仿宋_GB2312" w:hAnsi="宋体" w:eastAsia="仿宋_GB2312"/>
                <w:sz w:val="22"/>
                <w:szCs w:val="24"/>
              </w:rPr>
            </w:pPr>
            <w:r>
              <w:rPr>
                <w:rFonts w:hint="eastAsia" w:ascii="仿宋_GB2312" w:hAnsi="宋体" w:eastAsia="仿宋_GB2312"/>
                <w:sz w:val="22"/>
                <w:szCs w:val="24"/>
              </w:rPr>
              <w:t>项目重点难点分析、应对措施及相关的合理化建议</w:t>
            </w:r>
          </w:p>
        </w:tc>
        <w:tc>
          <w:tcPr>
            <w:tcW w:w="4677" w:type="dxa"/>
            <w:vAlign w:val="center"/>
          </w:tcPr>
          <w:p>
            <w:pPr>
              <w:widowControl/>
              <w:ind w:left="-106" w:leftChars="-51" w:right="-73" w:rightChars="-35" w:hanging="1"/>
              <w:rPr>
                <w:rFonts w:ascii="仿宋_GB2312" w:hAnsi="宋体" w:eastAsia="仿宋_GB2312" w:cs="宋体"/>
                <w:b/>
                <w:kern w:val="0"/>
                <w:sz w:val="22"/>
                <w:szCs w:val="24"/>
              </w:rPr>
            </w:pPr>
            <w:r>
              <w:rPr>
                <w:rFonts w:hint="eastAsia" w:ascii="仿宋_GB2312" w:hAnsi="宋体" w:eastAsia="仿宋_GB2312" w:cs="宋体"/>
                <w:b/>
                <w:kern w:val="0"/>
                <w:sz w:val="22"/>
                <w:szCs w:val="24"/>
              </w:rPr>
              <w:t>1</w:t>
            </w:r>
            <w:r>
              <w:rPr>
                <w:rFonts w:ascii="仿宋_GB2312" w:hAnsi="宋体" w:eastAsia="仿宋_GB2312" w:cs="宋体"/>
                <w:b/>
                <w:kern w:val="0"/>
                <w:sz w:val="22"/>
                <w:szCs w:val="24"/>
              </w:rPr>
              <w:t>.</w:t>
            </w:r>
            <w:r>
              <w:rPr>
                <w:rFonts w:hint="eastAsia" w:ascii="仿宋_GB2312" w:hAnsi="宋体" w:eastAsia="仿宋_GB2312" w:cs="宋体"/>
                <w:b/>
                <w:kern w:val="0"/>
                <w:sz w:val="22"/>
                <w:szCs w:val="24"/>
              </w:rPr>
              <w:t>评分内容：</w:t>
            </w:r>
          </w:p>
          <w:p>
            <w:pPr>
              <w:widowControl/>
              <w:ind w:left="-106" w:leftChars="-51" w:right="-73" w:rightChars="-35" w:hanging="1"/>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1</w:t>
            </w:r>
            <w:r>
              <w:rPr>
                <w:rFonts w:ascii="仿宋_GB2312" w:hAnsi="宋体" w:eastAsia="仿宋_GB2312" w:cs="宋体"/>
                <w:kern w:val="0"/>
                <w:sz w:val="22"/>
                <w:szCs w:val="24"/>
              </w:rPr>
              <w:t>）详细阐述本项目存在的重点及难点问题；</w:t>
            </w:r>
          </w:p>
          <w:p>
            <w:pPr>
              <w:widowControl/>
              <w:ind w:left="-106" w:leftChars="-51" w:right="-73" w:rightChars="-35" w:hanging="1"/>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）根据项目重难点，详细阐述应对措施。</w:t>
            </w:r>
          </w:p>
          <w:p>
            <w:pPr>
              <w:widowControl/>
              <w:ind w:left="-107" w:leftChars="-51" w:right="-73" w:rightChars="-35" w:firstLine="29" w:firstLineChars="13"/>
              <w:rPr>
                <w:rFonts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.评分依据：</w:t>
            </w:r>
          </w:p>
          <w:p>
            <w:pPr>
              <w:widowControl/>
              <w:ind w:left="-107" w:leftChars="-51" w:right="-73" w:rightChars="-35" w:firstLine="28" w:firstLineChars="13"/>
              <w:rPr>
                <w:rFonts w:ascii="仿宋_GB2312" w:hAnsi="宋体" w:eastAsia="仿宋_GB2312" w:cs="宋体"/>
                <w:kern w:val="0"/>
                <w:sz w:val="22"/>
                <w:szCs w:val="24"/>
              </w:rPr>
            </w:pPr>
            <w:r>
              <w:rPr>
                <w:rFonts w:hint="eastAsia" w:ascii="仿宋_GB2312" w:hAnsi="宋体" w:eastAsia="仿宋_GB2312" w:cs="宋体"/>
                <w:kern w:val="0"/>
                <w:sz w:val="22"/>
                <w:szCs w:val="24"/>
              </w:rPr>
              <w:t>（1）内容完整性：满足以上两点得</w:t>
            </w:r>
            <w:r>
              <w:rPr>
                <w:rFonts w:ascii="仿宋_GB2312" w:hAnsi="宋体" w:eastAsia="仿宋_GB2312" w:cs="宋体"/>
                <w:kern w:val="0"/>
                <w:sz w:val="22"/>
                <w:szCs w:val="24"/>
              </w:rPr>
              <w:t>60%分，满足任意一点得30%分，未满足不得分；</w:t>
            </w:r>
          </w:p>
          <w:p>
            <w:pPr>
              <w:widowControl/>
              <w:ind w:left="-107" w:leftChars="-51" w:right="-73" w:rightChars="-35" w:firstLine="28" w:firstLineChars="13"/>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）内容合理性：在内容完整性的基础上，对内容合理性进行分档评分。</w:t>
            </w:r>
          </w:p>
          <w:p>
            <w:pPr>
              <w:widowControl/>
              <w:ind w:left="-107" w:leftChars="-51" w:right="-73" w:rightChars="-35" w:firstLine="28" w:firstLineChars="13"/>
              <w:rPr>
                <w:rFonts w:ascii="仿宋_GB2312" w:hAnsi="宋体" w:eastAsia="仿宋_GB2312" w:cs="宋体"/>
                <w:kern w:val="0"/>
                <w:sz w:val="22"/>
                <w:szCs w:val="24"/>
              </w:rPr>
            </w:pPr>
            <w:r>
              <w:rPr>
                <w:rFonts w:hint="eastAsia" w:ascii="仿宋_GB2312" w:hAnsi="宋体" w:eastAsia="仿宋_GB2312" w:cs="宋体"/>
                <w:kern w:val="0"/>
                <w:sz w:val="22"/>
                <w:szCs w:val="24"/>
              </w:rPr>
              <w:t>①优评分标准：内容合理性强，得</w:t>
            </w:r>
            <w:r>
              <w:rPr>
                <w:rFonts w:ascii="仿宋_GB2312" w:hAnsi="宋体" w:eastAsia="仿宋_GB2312" w:cs="宋体"/>
                <w:kern w:val="0"/>
                <w:sz w:val="22"/>
                <w:szCs w:val="24"/>
              </w:rPr>
              <w:t>40%分</w:t>
            </w:r>
            <w:r>
              <w:rPr>
                <w:rFonts w:hint="eastAsia" w:ascii="仿宋_GB2312" w:hAnsi="宋体" w:eastAsia="仿宋_GB2312" w:cs="宋体"/>
                <w:kern w:val="0"/>
                <w:sz w:val="22"/>
                <w:szCs w:val="24"/>
              </w:rPr>
              <w:t>；</w:t>
            </w:r>
          </w:p>
          <w:p>
            <w:pPr>
              <w:widowControl/>
              <w:ind w:left="-107" w:leftChars="-51" w:right="-73" w:rightChars="-35" w:firstLine="28" w:firstLineChars="13"/>
              <w:rPr>
                <w:rFonts w:ascii="仿宋_GB2312" w:hAnsi="宋体" w:eastAsia="仿宋_GB2312" w:cs="宋体"/>
                <w:kern w:val="0"/>
                <w:sz w:val="22"/>
                <w:szCs w:val="24"/>
              </w:rPr>
            </w:pPr>
            <w:r>
              <w:rPr>
                <w:rFonts w:hint="eastAsia" w:ascii="仿宋_GB2312" w:hAnsi="宋体" w:eastAsia="仿宋_GB2312" w:cs="宋体"/>
                <w:kern w:val="0"/>
                <w:sz w:val="22"/>
                <w:szCs w:val="24"/>
              </w:rPr>
              <w:t>②良评分标准：内容合理性较强，得3</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pPr>
              <w:widowControl/>
              <w:ind w:left="-107" w:leftChars="-51" w:right="-73" w:rightChars="-35" w:firstLine="28" w:firstLineChars="13"/>
              <w:rPr>
                <w:rFonts w:ascii="仿宋_GB2312" w:hAnsi="宋体" w:eastAsia="仿宋_GB2312" w:cs="宋体"/>
                <w:kern w:val="0"/>
                <w:sz w:val="22"/>
                <w:szCs w:val="24"/>
              </w:rPr>
            </w:pPr>
            <w:r>
              <w:rPr>
                <w:rFonts w:hint="eastAsia" w:ascii="仿宋_GB2312" w:hAnsi="宋体" w:eastAsia="仿宋_GB2312" w:cs="宋体"/>
                <w:kern w:val="0"/>
                <w:sz w:val="22"/>
                <w:szCs w:val="24"/>
              </w:rPr>
              <w:t>③中评分标准：内容合理性一般，得2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pPr>
              <w:widowControl/>
              <w:ind w:left="-107" w:leftChars="-51" w:right="-73" w:rightChars="-35" w:firstLine="28" w:firstLineChars="13"/>
              <w:rPr>
                <w:rFonts w:ascii="仿宋_GB2312" w:hAnsi="宋体" w:eastAsia="仿宋_GB2312" w:cs="宋体"/>
                <w:kern w:val="0"/>
                <w:sz w:val="22"/>
                <w:szCs w:val="24"/>
              </w:rPr>
            </w:pPr>
            <w:r>
              <w:rPr>
                <w:rFonts w:hint="eastAsia" w:ascii="仿宋_GB2312" w:hAnsi="宋体" w:eastAsia="仿宋_GB2312" w:cs="宋体"/>
                <w:kern w:val="0"/>
                <w:sz w:val="22"/>
                <w:szCs w:val="24"/>
              </w:rPr>
              <w:t>④差评分标准：内容合理性较差，不得分。</w:t>
            </w:r>
          </w:p>
          <w:p>
            <w:pPr>
              <w:widowControl/>
              <w:ind w:left="-107" w:leftChars="-51" w:right="-73" w:rightChars="-35" w:firstLine="28" w:firstLineChars="13"/>
              <w:rPr>
                <w:rFonts w:ascii="仿宋_GB2312" w:hAnsi="宋体" w:eastAsia="仿宋_GB2312" w:cs="宋体"/>
                <w:kern w:val="0"/>
                <w:sz w:val="22"/>
                <w:szCs w:val="24"/>
              </w:rPr>
            </w:pPr>
            <w:r>
              <w:rPr>
                <w:rFonts w:ascii="仿宋_GB2312" w:hAnsi="宋体" w:eastAsia="仿宋_GB2312" w:cs="宋体"/>
                <w:kern w:val="0"/>
                <w:sz w:val="22"/>
                <w:szCs w:val="24"/>
              </w:rPr>
              <w:t>以上两项累积得分，满分为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tc>
        <w:tc>
          <w:tcPr>
            <w:tcW w:w="709" w:type="dxa"/>
            <w:tcBorders>
              <w:right w:val="single" w:color="auto" w:sz="4" w:space="0"/>
            </w:tcBorders>
            <w:vAlign w:val="center"/>
          </w:tcPr>
          <w:p>
            <w:pPr>
              <w:jc w:val="center"/>
              <w:rPr>
                <w:rFonts w:hint="eastAsia" w:ascii="仿宋_GB2312" w:hAnsi="宋体" w:eastAsia="仿宋_GB2312"/>
                <w:sz w:val="22"/>
                <w:szCs w:val="24"/>
                <w:lang w:eastAsia="zh-CN"/>
              </w:rPr>
            </w:pPr>
            <w:r>
              <w:rPr>
                <w:rFonts w:hint="eastAsia" w:ascii="仿宋_GB2312" w:hAnsi="宋体" w:eastAsia="仿宋_GB2312"/>
                <w:sz w:val="22"/>
                <w:szCs w:val="24"/>
              </w:rPr>
              <w:t>1</w:t>
            </w:r>
            <w:r>
              <w:rPr>
                <w:rFonts w:hint="eastAsia" w:ascii="仿宋_GB2312" w:hAnsi="宋体" w:eastAsia="仿宋_GB2312"/>
                <w:sz w:val="22"/>
                <w:szCs w:val="24"/>
                <w:lang w:val="en-US" w:eastAsia="zh-CN"/>
              </w:rPr>
              <w:t>5</w:t>
            </w:r>
          </w:p>
        </w:tc>
        <w:tc>
          <w:tcPr>
            <w:tcW w:w="851" w:type="dxa"/>
            <w:tcBorders>
              <w:left w:val="single" w:color="auto" w:sz="4" w:space="0"/>
            </w:tcBorders>
            <w:vAlign w:val="center"/>
          </w:tcPr>
          <w:p>
            <w:pPr>
              <w:jc w:val="center"/>
              <w:rPr>
                <w:rFonts w:hint="eastAsia" w:ascii="仿宋_GB2312" w:hAnsi="宋体" w:eastAsia="仿宋_GB2312"/>
                <w:sz w:val="22"/>
                <w:szCs w:val="24"/>
                <w:lang w:eastAsia="zh-CN"/>
              </w:rPr>
            </w:pPr>
            <w:r>
              <w:rPr>
                <w:rFonts w:hint="eastAsia" w:ascii="仿宋_GB2312" w:hAnsi="宋体" w:eastAsia="仿宋_GB2312"/>
                <w:sz w:val="22"/>
                <w:szCs w:val="24"/>
              </w:rPr>
              <w:t>1</w:t>
            </w:r>
            <w:r>
              <w:rPr>
                <w:rFonts w:hint="eastAsia" w:ascii="仿宋_GB2312" w:hAnsi="宋体" w:eastAsia="仿宋_GB2312"/>
                <w:sz w:val="22"/>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仿宋_GB2312" w:hAnsi="宋体" w:eastAsia="仿宋_GB2312"/>
                <w:sz w:val="22"/>
                <w:szCs w:val="24"/>
              </w:rPr>
            </w:pPr>
          </w:p>
        </w:tc>
        <w:tc>
          <w:tcPr>
            <w:tcW w:w="1344" w:type="dxa"/>
            <w:vAlign w:val="center"/>
          </w:tcPr>
          <w:p>
            <w:pPr>
              <w:jc w:val="center"/>
              <w:rPr>
                <w:rFonts w:ascii="仿宋_GB2312" w:hAnsi="宋体" w:eastAsia="仿宋_GB2312"/>
                <w:sz w:val="22"/>
                <w:szCs w:val="24"/>
              </w:rPr>
            </w:pPr>
            <w:r>
              <w:rPr>
                <w:rFonts w:hint="eastAsia" w:ascii="仿宋_GB2312" w:hAnsi="宋体" w:eastAsia="仿宋_GB2312"/>
                <w:sz w:val="22"/>
                <w:szCs w:val="24"/>
              </w:rPr>
              <w:t>质量（完成时间、安全、环保）保障措施及方案</w:t>
            </w:r>
          </w:p>
        </w:tc>
        <w:tc>
          <w:tcPr>
            <w:tcW w:w="4677" w:type="dxa"/>
          </w:tcPr>
          <w:p>
            <w:pPr>
              <w:widowControl/>
              <w:ind w:left="-107" w:leftChars="-51" w:right="-73" w:rightChars="-35"/>
              <w:rPr>
                <w:rFonts w:ascii="仿宋_GB2312" w:hAnsi="宋体" w:eastAsia="仿宋_GB2312" w:cs="宋体"/>
                <w:b/>
                <w:kern w:val="0"/>
                <w:sz w:val="22"/>
                <w:szCs w:val="24"/>
              </w:rPr>
            </w:pPr>
            <w:r>
              <w:rPr>
                <w:rFonts w:hint="eastAsia" w:ascii="仿宋_GB2312" w:hAnsi="宋体" w:eastAsia="仿宋_GB2312" w:cs="宋体"/>
                <w:b/>
                <w:kern w:val="0"/>
                <w:sz w:val="22"/>
                <w:szCs w:val="24"/>
              </w:rPr>
              <w:t>1</w:t>
            </w:r>
            <w:r>
              <w:rPr>
                <w:rFonts w:ascii="仿宋_GB2312" w:hAnsi="宋体" w:eastAsia="仿宋_GB2312" w:cs="宋体"/>
                <w:b/>
                <w:kern w:val="0"/>
                <w:sz w:val="22"/>
                <w:szCs w:val="24"/>
              </w:rPr>
              <w:t>.</w:t>
            </w:r>
            <w:r>
              <w:rPr>
                <w:rFonts w:hint="eastAsia" w:ascii="仿宋_GB2312" w:hAnsi="宋体" w:eastAsia="仿宋_GB2312" w:cs="宋体"/>
                <w:b/>
                <w:kern w:val="0"/>
                <w:sz w:val="22"/>
                <w:szCs w:val="24"/>
              </w:rPr>
              <w:t>评分内容：</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（1）给出分阶段项目时间安排、工作进度与阶段性成果；</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（2）详细阐述项目时间管理制度与措施；</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（3）详细阐述项目质量管理制度与措施。</w:t>
            </w:r>
          </w:p>
          <w:p>
            <w:pPr>
              <w:widowControl/>
              <w:ind w:left="-107" w:leftChars="-51" w:right="-73" w:rightChars="-35"/>
              <w:rPr>
                <w:rFonts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.评分依据：</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（1）内容完整性：满足以上三点得</w:t>
            </w:r>
            <w:r>
              <w:rPr>
                <w:rFonts w:ascii="仿宋_GB2312" w:hAnsi="宋体" w:eastAsia="仿宋_GB2312" w:cs="宋体"/>
                <w:kern w:val="0"/>
                <w:sz w:val="22"/>
                <w:szCs w:val="24"/>
              </w:rPr>
              <w:t>60%分，满足任意两点得40%分，满足任意一点得20%分，未满足不得分；</w:t>
            </w:r>
          </w:p>
          <w:p>
            <w:pPr>
              <w:widowControl/>
              <w:ind w:left="-107" w:leftChars="-51" w:right="-73" w:rightChars="-35"/>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）内容合理性：在内容完整性的基础上，对内容合理性进行分档评分。</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①优评分标准：内容合理性强，得4</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②良评分标准：内容合理性较强，得2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③中评分标准：内容合理性一般，得</w:t>
            </w:r>
            <w:r>
              <w:rPr>
                <w:rFonts w:ascii="仿宋_GB2312" w:hAnsi="宋体" w:eastAsia="仿宋_GB2312" w:cs="宋体"/>
                <w:kern w:val="0"/>
                <w:sz w:val="22"/>
                <w:szCs w:val="24"/>
              </w:rPr>
              <w:t>10%分</w:t>
            </w:r>
            <w:r>
              <w:rPr>
                <w:rFonts w:hint="eastAsia" w:ascii="仿宋_GB2312" w:hAnsi="宋体" w:eastAsia="仿宋_GB2312" w:cs="宋体"/>
                <w:kern w:val="0"/>
                <w:sz w:val="22"/>
                <w:szCs w:val="24"/>
              </w:rPr>
              <w:t>；</w:t>
            </w:r>
          </w:p>
          <w:p>
            <w:pPr>
              <w:widowControl/>
              <w:ind w:left="-107" w:leftChars="-51"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④差评分标准：内容合理性较差，不得分。</w:t>
            </w:r>
          </w:p>
          <w:p>
            <w:pPr>
              <w:widowControl/>
              <w:ind w:left="-107" w:leftChars="-51" w:right="-73" w:rightChars="-35"/>
              <w:rPr>
                <w:rFonts w:ascii="仿宋_GB2312" w:hAnsi="宋体" w:eastAsia="仿宋_GB2312" w:cs="宋体"/>
                <w:kern w:val="0"/>
                <w:sz w:val="22"/>
                <w:szCs w:val="24"/>
              </w:rPr>
            </w:pPr>
            <w:r>
              <w:rPr>
                <w:rFonts w:ascii="仿宋_GB2312" w:hAnsi="宋体" w:eastAsia="仿宋_GB2312" w:cs="宋体"/>
                <w:kern w:val="0"/>
                <w:sz w:val="22"/>
                <w:szCs w:val="24"/>
              </w:rPr>
              <w:t>以上两项累积得分，满分为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4</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仿宋_GB2312" w:hAnsi="宋体" w:eastAsia="仿宋_GB2312"/>
                <w:sz w:val="22"/>
                <w:szCs w:val="24"/>
              </w:rPr>
            </w:pPr>
          </w:p>
        </w:tc>
        <w:tc>
          <w:tcPr>
            <w:tcW w:w="1344" w:type="dxa"/>
            <w:vAlign w:val="center"/>
          </w:tcPr>
          <w:p>
            <w:pPr>
              <w:jc w:val="center"/>
              <w:rPr>
                <w:rFonts w:ascii="仿宋_GB2312" w:hAnsi="宋体" w:eastAsia="仿宋_GB2312"/>
                <w:sz w:val="22"/>
                <w:szCs w:val="24"/>
              </w:rPr>
            </w:pPr>
            <w:r>
              <w:rPr>
                <w:rFonts w:hint="eastAsia" w:ascii="仿宋_GB2312" w:hAnsi="宋体" w:eastAsia="仿宋_GB2312"/>
                <w:sz w:val="22"/>
                <w:szCs w:val="24"/>
              </w:rPr>
              <w:t>项目完成（服务期满后）的服务承诺</w:t>
            </w:r>
          </w:p>
        </w:tc>
        <w:tc>
          <w:tcPr>
            <w:tcW w:w="4677" w:type="dxa"/>
          </w:tcPr>
          <w:p>
            <w:pPr>
              <w:widowControl/>
              <w:ind w:left="-107" w:leftChars="-51"/>
              <w:rPr>
                <w:rFonts w:ascii="仿宋_GB2312" w:hAnsi="宋体" w:eastAsia="仿宋_GB2312" w:cs="宋体"/>
                <w:b/>
                <w:kern w:val="0"/>
                <w:sz w:val="22"/>
                <w:szCs w:val="24"/>
              </w:rPr>
            </w:pPr>
            <w:r>
              <w:rPr>
                <w:rFonts w:ascii="仿宋_GB2312" w:hAnsi="宋体" w:eastAsia="仿宋_GB2312" w:cs="宋体"/>
                <w:b/>
                <w:kern w:val="0"/>
                <w:sz w:val="22"/>
                <w:szCs w:val="24"/>
              </w:rPr>
              <w:t>1.</w:t>
            </w:r>
            <w:r>
              <w:rPr>
                <w:rFonts w:hint="eastAsia" w:ascii="仿宋_GB2312" w:hAnsi="宋体" w:eastAsia="仿宋_GB2312" w:cs="宋体"/>
                <w:b/>
                <w:kern w:val="0"/>
                <w:sz w:val="22"/>
                <w:szCs w:val="24"/>
              </w:rPr>
              <w:t>评分内容：</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（1）提供项目完成后服务负责人信息与联系方式；</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（2）详细阐述服务制度与响应时间；</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（3）详细阐述项目完成后服务内容。</w:t>
            </w:r>
          </w:p>
          <w:p>
            <w:pPr>
              <w:widowControl/>
              <w:ind w:left="-107" w:leftChars="-51"/>
              <w:rPr>
                <w:rFonts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w:t>
            </w:r>
            <w:r>
              <w:rPr>
                <w:rFonts w:hint="eastAsia" w:ascii="仿宋_GB2312" w:hAnsi="宋体" w:eastAsia="仿宋_GB2312" w:cs="宋体"/>
                <w:b/>
                <w:kern w:val="0"/>
                <w:sz w:val="22"/>
                <w:szCs w:val="24"/>
              </w:rPr>
              <w:t>评分依据：</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投标人承诺以上三项的得100%分，否则不得分。要求提供承诺作为得分依据。</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4</w:t>
            </w:r>
          </w:p>
        </w:tc>
        <w:tc>
          <w:tcPr>
            <w:tcW w:w="851" w:type="dxa"/>
            <w:tcBorders>
              <w:lef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仿宋_GB2312" w:hAnsi="宋体" w:eastAsia="仿宋_GB2312"/>
                <w:sz w:val="22"/>
                <w:szCs w:val="24"/>
              </w:rPr>
            </w:pPr>
          </w:p>
        </w:tc>
        <w:tc>
          <w:tcPr>
            <w:tcW w:w="1344" w:type="dxa"/>
            <w:vAlign w:val="center"/>
          </w:tcPr>
          <w:p>
            <w:pPr>
              <w:rPr>
                <w:rFonts w:ascii="仿宋_GB2312" w:hAnsi="宋体" w:eastAsia="仿宋_GB2312"/>
                <w:sz w:val="22"/>
                <w:szCs w:val="24"/>
              </w:rPr>
            </w:pPr>
            <w:r>
              <w:rPr>
                <w:rFonts w:hint="eastAsia" w:ascii="仿宋_GB2312" w:hAnsi="宋体" w:eastAsia="仿宋_GB2312"/>
                <w:sz w:val="22"/>
                <w:szCs w:val="24"/>
              </w:rPr>
              <w:t>违约承诺</w:t>
            </w:r>
          </w:p>
        </w:tc>
        <w:tc>
          <w:tcPr>
            <w:tcW w:w="4677" w:type="dxa"/>
          </w:tcPr>
          <w:p>
            <w:pPr>
              <w:widowControl/>
              <w:ind w:left="-78" w:leftChars="-37" w:right="-73" w:rightChars="-35"/>
              <w:rPr>
                <w:rFonts w:ascii="仿宋_GB2312" w:hAnsi="宋体" w:eastAsia="仿宋_GB2312" w:cs="宋体"/>
                <w:b/>
                <w:kern w:val="0"/>
                <w:sz w:val="22"/>
                <w:szCs w:val="24"/>
              </w:rPr>
            </w:pPr>
            <w:r>
              <w:rPr>
                <w:rFonts w:hint="eastAsia" w:ascii="仿宋_GB2312" w:hAnsi="宋体" w:eastAsia="仿宋_GB2312" w:cs="宋体"/>
                <w:b/>
                <w:kern w:val="0"/>
                <w:sz w:val="22"/>
                <w:szCs w:val="24"/>
              </w:rPr>
              <w:t>1</w:t>
            </w:r>
            <w:r>
              <w:rPr>
                <w:rFonts w:ascii="仿宋_GB2312" w:hAnsi="宋体" w:eastAsia="仿宋_GB2312" w:cs="宋体"/>
                <w:b/>
                <w:kern w:val="0"/>
                <w:sz w:val="22"/>
                <w:szCs w:val="24"/>
              </w:rPr>
              <w:t>.</w:t>
            </w:r>
            <w:r>
              <w:rPr>
                <w:rFonts w:hint="eastAsia" w:ascii="仿宋_GB2312" w:hAnsi="宋体" w:eastAsia="仿宋_GB2312" w:cs="宋体"/>
                <w:b/>
                <w:kern w:val="0"/>
                <w:sz w:val="22"/>
                <w:szCs w:val="24"/>
              </w:rPr>
              <w:t>评分内容：</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提供违约承诺，承诺满足招标文件要求，保证措施合理且有针对性，有具体的违约责任承诺。</w:t>
            </w:r>
          </w:p>
          <w:p>
            <w:pPr>
              <w:widowControl/>
              <w:ind w:left="-107" w:leftChars="-51"/>
              <w:rPr>
                <w:rFonts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.评分依据：</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投标人提供违约承诺得100%分。要求提供承诺（格式自定）作为得分依据，未提供承诺或承诺内容不满足要求不得分。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2</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二</w:t>
            </w:r>
          </w:p>
        </w:tc>
        <w:tc>
          <w:tcPr>
            <w:tcW w:w="7581" w:type="dxa"/>
            <w:gridSpan w:val="4"/>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综合实力部分</w:t>
            </w:r>
            <w:r>
              <w:rPr>
                <w:rFonts w:hint="eastAsia" w:ascii="仿宋_GB2312" w:hAnsi="宋体" w:eastAsia="仿宋_GB2312"/>
                <w:b/>
                <w:sz w:val="22"/>
                <w:szCs w:val="24"/>
              </w:rPr>
              <w:t>（合计</w:t>
            </w:r>
            <w:r>
              <w:rPr>
                <w:rFonts w:hint="eastAsia" w:ascii="仿宋_GB2312" w:hAnsi="宋体" w:eastAsia="仿宋_GB2312"/>
                <w:b/>
                <w:sz w:val="22"/>
                <w:szCs w:val="24"/>
                <w:lang w:val="en-US" w:eastAsia="zh-CN"/>
              </w:rPr>
              <w:t>5</w:t>
            </w:r>
            <w:r>
              <w:rPr>
                <w:rFonts w:ascii="仿宋_GB2312" w:hAnsi="宋体" w:eastAsia="仿宋_GB2312"/>
                <w:b/>
                <w:sz w:val="22"/>
                <w:szCs w:val="24"/>
              </w:rPr>
              <w:t>0</w:t>
            </w:r>
            <w:r>
              <w:rPr>
                <w:rFonts w:hint="eastAsia" w:ascii="仿宋_GB2312" w:hAnsi="宋体" w:eastAsia="仿宋_GB2312"/>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仿宋_GB2312" w:hAnsi="宋体" w:eastAsia="仿宋_GB2312"/>
                <w:sz w:val="22"/>
                <w:szCs w:val="24"/>
              </w:rPr>
            </w:pPr>
          </w:p>
        </w:tc>
        <w:tc>
          <w:tcPr>
            <w:tcW w:w="1344" w:type="dxa"/>
            <w:vAlign w:val="center"/>
          </w:tcPr>
          <w:p>
            <w:pPr>
              <w:jc w:val="center"/>
              <w:rPr>
                <w:rFonts w:ascii="仿宋_GB2312" w:hAnsi="Arial" w:eastAsia="仿宋_GB2312"/>
                <w:b/>
                <w:bCs/>
                <w:sz w:val="22"/>
                <w:szCs w:val="32"/>
              </w:rPr>
            </w:pPr>
            <w:r>
              <w:rPr>
                <w:rFonts w:hint="eastAsia" w:ascii="仿宋_GB2312" w:hAnsi="宋体" w:eastAsia="仿宋_GB2312"/>
                <w:sz w:val="22"/>
                <w:szCs w:val="24"/>
              </w:rPr>
              <w:t>投标人通过相关认证情况</w:t>
            </w:r>
          </w:p>
        </w:tc>
        <w:tc>
          <w:tcPr>
            <w:tcW w:w="4677" w:type="dxa"/>
            <w:vAlign w:val="center"/>
          </w:tcPr>
          <w:p>
            <w:pPr>
              <w:widowControl/>
              <w:ind w:left="-108"/>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投标人具有工程咨询单位乙级或以上资信证书（含预评价），且业务包含市政公用工程，得1</w:t>
            </w:r>
            <w:r>
              <w:rPr>
                <w:rFonts w:ascii="仿宋_GB2312" w:hAnsi="宋体" w:eastAsia="仿宋_GB2312" w:cs="宋体"/>
                <w:kern w:val="0"/>
                <w:sz w:val="22"/>
                <w:szCs w:val="24"/>
              </w:rPr>
              <w:t>00%分，否则不得分</w:t>
            </w:r>
            <w:r>
              <w:rPr>
                <w:rFonts w:hint="eastAsia" w:ascii="仿宋_GB2312" w:hAnsi="宋体" w:eastAsia="仿宋_GB2312" w:cs="宋体"/>
                <w:kern w:val="0"/>
                <w:sz w:val="22"/>
                <w:szCs w:val="24"/>
              </w:rPr>
              <w:t>。</w:t>
            </w:r>
          </w:p>
          <w:p>
            <w:pPr>
              <w:widowControl/>
              <w:ind w:left="-108"/>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1</w:t>
            </w:r>
            <w:r>
              <w:rPr>
                <w:rFonts w:ascii="仿宋_GB2312" w:hAnsi="宋体" w:eastAsia="仿宋_GB2312" w:cs="宋体"/>
                <w:kern w:val="0"/>
                <w:sz w:val="22"/>
                <w:szCs w:val="24"/>
              </w:rPr>
              <w:t>）投标人</w:t>
            </w:r>
            <w:r>
              <w:rPr>
                <w:rFonts w:hint="eastAsia" w:ascii="仿宋_GB2312" w:hAnsi="宋体" w:eastAsia="仿宋_GB2312" w:cs="宋体"/>
                <w:kern w:val="0"/>
                <w:sz w:val="22"/>
                <w:szCs w:val="24"/>
              </w:rPr>
              <w:t>提供有效的认证证书作为得分依据；</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）以上资料要求提供</w:t>
            </w:r>
            <w:r>
              <w:rPr>
                <w:rFonts w:hint="eastAsia" w:ascii="仿宋_GB2312" w:hAnsi="宋体" w:eastAsia="仿宋_GB2312" w:cs="宋体"/>
                <w:kern w:val="0"/>
                <w:sz w:val="22"/>
                <w:szCs w:val="24"/>
              </w:rPr>
              <w:t>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highlight w:val="yellow"/>
              </w:rPr>
            </w:pPr>
            <w:r>
              <w:rPr>
                <w:rFonts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highlight w:val="yellow"/>
              </w:rPr>
            </w:pPr>
            <w:r>
              <w:rPr>
                <w:rFonts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仿宋_GB2312" w:hAnsi="宋体" w:eastAsia="仿宋_GB2312"/>
                <w:sz w:val="22"/>
                <w:szCs w:val="24"/>
              </w:rPr>
            </w:pPr>
          </w:p>
        </w:tc>
        <w:tc>
          <w:tcPr>
            <w:tcW w:w="1344"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投标人同类项目业绩情况</w:t>
            </w:r>
          </w:p>
        </w:tc>
        <w:tc>
          <w:tcPr>
            <w:tcW w:w="4677" w:type="dxa"/>
          </w:tcPr>
          <w:p>
            <w:pPr>
              <w:widowControl/>
              <w:ind w:left="-108"/>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投标人承担副省级及以上城市的交通基础设施投融资类研究项目，每项得2</w:t>
            </w:r>
            <w:r>
              <w:rPr>
                <w:rFonts w:ascii="仿宋_GB2312" w:hAnsi="宋体" w:eastAsia="仿宋_GB2312" w:cs="宋体"/>
                <w:kern w:val="0"/>
                <w:sz w:val="22"/>
                <w:szCs w:val="24"/>
              </w:rPr>
              <w:t>0%分，满分为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p>
            <w:pPr>
              <w:widowControl/>
              <w:ind w:left="-108"/>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（1）要求同时提供合同关键信息和项目履约（验收）合格评价证明文件作为得分依据，项目履约（验收）合格评价证明文件需加盖合同甲方公章（或甲方业务章），一项合同为一项业绩；</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（2）通过合同关键信息无法判断是否得分的，还须同时提供能证明得分的其它证明资料，如项目报告或合同甲方出具的证明文件等；</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（3）以上资料均要求提供扫描件，原件备查。评分中出现无证明资料或专家无法凭所提供资料判断是否得分的情况，一律作不得分处理；</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（4）</w:t>
            </w:r>
            <w:r>
              <w:rPr>
                <w:rFonts w:ascii="仿宋_GB2312" w:hAnsi="宋体" w:eastAsia="仿宋_GB2312" w:cs="宋体"/>
                <w:kern w:val="0"/>
                <w:sz w:val="22"/>
                <w:szCs w:val="24"/>
              </w:rPr>
              <w:t>副省级及以上城市指：</w:t>
            </w:r>
            <w:r>
              <w:rPr>
                <w:rFonts w:hint="eastAsia" w:ascii="仿宋_GB2312" w:hAnsi="宋体" w:eastAsia="仿宋_GB2312" w:cs="宋体"/>
                <w:kern w:val="0"/>
                <w:sz w:val="22"/>
                <w:szCs w:val="24"/>
              </w:rPr>
              <w:t>4个直辖市（北京、上海、天津、重庆）以及1</w:t>
            </w:r>
            <w:r>
              <w:rPr>
                <w:rFonts w:ascii="仿宋_GB2312" w:hAnsi="宋体" w:eastAsia="仿宋_GB2312" w:cs="宋体"/>
                <w:kern w:val="0"/>
                <w:sz w:val="22"/>
                <w:szCs w:val="24"/>
              </w:rPr>
              <w:t>5个副省级城市（广州、武汉、哈尔滨、沈阳、成都、南京、西安、长春、济南、杭州、大连、青岛、深圳、厦门、宁波）。</w:t>
            </w:r>
          </w:p>
        </w:tc>
        <w:tc>
          <w:tcPr>
            <w:tcW w:w="709" w:type="dxa"/>
            <w:tcBorders>
              <w:right w:val="single" w:color="auto" w:sz="4" w:space="0"/>
            </w:tcBorders>
            <w:vAlign w:val="center"/>
          </w:tcPr>
          <w:p>
            <w:pPr>
              <w:jc w:val="center"/>
              <w:rPr>
                <w:rFonts w:hint="default" w:ascii="仿宋_GB2312" w:hAnsi="宋体" w:eastAsia="仿宋_GB2312"/>
                <w:sz w:val="22"/>
                <w:szCs w:val="24"/>
                <w:lang w:val="en-US" w:eastAsia="zh-CN"/>
              </w:rPr>
            </w:pPr>
            <w:r>
              <w:rPr>
                <w:rFonts w:hint="eastAsia" w:ascii="仿宋_GB2312" w:hAnsi="宋体" w:eastAsia="仿宋_GB2312"/>
                <w:sz w:val="22"/>
                <w:szCs w:val="24"/>
                <w:lang w:val="en-US" w:eastAsia="zh-CN"/>
              </w:rPr>
              <w:t>15</w:t>
            </w:r>
          </w:p>
        </w:tc>
        <w:tc>
          <w:tcPr>
            <w:tcW w:w="851" w:type="dxa"/>
            <w:tcBorders>
              <w:left w:val="single" w:color="auto" w:sz="4" w:space="0"/>
            </w:tcBorders>
            <w:vAlign w:val="center"/>
          </w:tcPr>
          <w:p>
            <w:pPr>
              <w:jc w:val="center"/>
              <w:rPr>
                <w:rFonts w:hint="default" w:ascii="仿宋_GB2312" w:hAnsi="宋体" w:eastAsia="仿宋_GB2312"/>
                <w:sz w:val="22"/>
                <w:szCs w:val="24"/>
                <w:lang w:val="en-US" w:eastAsia="zh-CN"/>
              </w:rPr>
            </w:pPr>
            <w:r>
              <w:rPr>
                <w:rFonts w:hint="eastAsia" w:ascii="仿宋_GB2312" w:hAnsi="宋体" w:eastAsia="仿宋_GB2312"/>
                <w:sz w:val="22"/>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仿宋_GB2312" w:hAnsi="宋体" w:eastAsia="仿宋_GB2312"/>
                <w:sz w:val="22"/>
                <w:szCs w:val="24"/>
              </w:rPr>
            </w:pPr>
          </w:p>
        </w:tc>
        <w:tc>
          <w:tcPr>
            <w:tcW w:w="1344" w:type="dxa"/>
            <w:vAlign w:val="center"/>
          </w:tcPr>
          <w:p>
            <w:pPr>
              <w:jc w:val="center"/>
              <w:rPr>
                <w:rFonts w:ascii="仿宋_GB2312" w:hAnsi="宋体" w:eastAsia="仿宋_GB2312"/>
                <w:sz w:val="22"/>
                <w:szCs w:val="24"/>
                <w:highlight w:val="yellow"/>
              </w:rPr>
            </w:pPr>
            <w:r>
              <w:rPr>
                <w:rFonts w:hint="eastAsia" w:ascii="仿宋_GB2312" w:hAnsi="宋体" w:eastAsia="仿宋_GB2312"/>
                <w:sz w:val="22"/>
                <w:szCs w:val="24"/>
              </w:rPr>
              <w:t>拟安排的项目负责人情况（仅限一人）</w:t>
            </w:r>
          </w:p>
        </w:tc>
        <w:tc>
          <w:tcPr>
            <w:tcW w:w="4677" w:type="dxa"/>
          </w:tcPr>
          <w:p>
            <w:pPr>
              <w:widowControl/>
              <w:ind w:left="-108"/>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项目负责人必须具有副高级（或以上）职称及全日制硕士（或以上）学历，否则此项不得分。</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（1）具有注册咨询工程师（投资）资格证书的，得2</w:t>
            </w:r>
            <w:r>
              <w:rPr>
                <w:rFonts w:ascii="仿宋_GB2312" w:hAnsi="宋体" w:eastAsia="仿宋_GB2312" w:cs="宋体"/>
                <w:kern w:val="0"/>
                <w:sz w:val="22"/>
                <w:szCs w:val="24"/>
              </w:rPr>
              <w:t>5</w:t>
            </w:r>
            <w:r>
              <w:rPr>
                <w:rFonts w:hint="eastAsia" w:ascii="仿宋_GB2312" w:hAnsi="宋体" w:eastAsia="仿宋_GB2312" w:cs="宋体"/>
                <w:kern w:val="0"/>
                <w:sz w:val="22"/>
                <w:szCs w:val="24"/>
              </w:rPr>
              <w:t>%分；</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（2）以项目负责人身份主持副省级及以上城市的交通基础设施投融资等相关项目，每项得2</w:t>
            </w:r>
            <w:r>
              <w:rPr>
                <w:rFonts w:ascii="仿宋_GB2312" w:hAnsi="宋体" w:eastAsia="仿宋_GB2312" w:cs="宋体"/>
                <w:kern w:val="0"/>
                <w:sz w:val="22"/>
                <w:szCs w:val="24"/>
              </w:rPr>
              <w:t>5</w:t>
            </w:r>
            <w:r>
              <w:rPr>
                <w:rFonts w:hint="eastAsia" w:ascii="仿宋_GB2312" w:hAnsi="宋体" w:eastAsia="仿宋_GB2312" w:cs="宋体"/>
                <w:kern w:val="0"/>
                <w:sz w:val="22"/>
                <w:szCs w:val="24"/>
              </w:rPr>
              <w:t>%分，最高</w:t>
            </w:r>
            <w:r>
              <w:rPr>
                <w:rFonts w:ascii="仿宋_GB2312" w:hAnsi="宋体" w:eastAsia="仿宋_GB2312" w:cs="宋体"/>
                <w:kern w:val="0"/>
                <w:sz w:val="22"/>
                <w:szCs w:val="24"/>
              </w:rPr>
              <w:t>75</w:t>
            </w:r>
            <w:r>
              <w:rPr>
                <w:rFonts w:hint="eastAsia" w:ascii="仿宋_GB2312" w:hAnsi="宋体" w:eastAsia="仿宋_GB2312" w:cs="宋体"/>
                <w:kern w:val="0"/>
                <w:sz w:val="22"/>
                <w:szCs w:val="24"/>
              </w:rPr>
              <w:t>%分；</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以上两项</w:t>
            </w:r>
            <w:r>
              <w:rPr>
                <w:rFonts w:hint="eastAsia" w:ascii="仿宋_GB2312" w:hAnsi="宋体" w:eastAsia="仿宋_GB2312" w:cs="宋体"/>
                <w:kern w:val="0"/>
                <w:sz w:val="22"/>
                <w:szCs w:val="24"/>
              </w:rPr>
              <w:t>累积</w:t>
            </w:r>
            <w:r>
              <w:rPr>
                <w:rFonts w:ascii="仿宋_GB2312" w:hAnsi="宋体" w:eastAsia="仿宋_GB2312" w:cs="宋体"/>
                <w:kern w:val="0"/>
                <w:sz w:val="22"/>
                <w:szCs w:val="24"/>
              </w:rPr>
              <w:t>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p>
            <w:pPr>
              <w:widowControl/>
              <w:ind w:left="-108"/>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（1）要求提供通过投标人缴纳的项目负责人2021年</w:t>
            </w:r>
            <w:r>
              <w:rPr>
                <w:rFonts w:ascii="仿宋_GB2312" w:hAnsi="宋体" w:eastAsia="仿宋_GB2312" w:cs="宋体"/>
                <w:kern w:val="0"/>
                <w:sz w:val="22"/>
                <w:szCs w:val="24"/>
              </w:rPr>
              <w:t>8</w:t>
            </w:r>
            <w:r>
              <w:rPr>
                <w:rFonts w:hint="eastAsia" w:ascii="仿宋_GB2312" w:hAnsi="宋体" w:eastAsia="仿宋_GB2312" w:cs="宋体"/>
                <w:kern w:val="0"/>
                <w:sz w:val="22"/>
                <w:szCs w:val="24"/>
              </w:rPr>
              <w:t>月至2021年</w:t>
            </w:r>
            <w:r>
              <w:rPr>
                <w:rFonts w:ascii="仿宋_GB2312" w:hAnsi="宋体" w:eastAsia="仿宋_GB2312" w:cs="宋体"/>
                <w:kern w:val="0"/>
                <w:sz w:val="22"/>
                <w:szCs w:val="24"/>
              </w:rPr>
              <w:t>10</w:t>
            </w:r>
            <w:r>
              <w:rPr>
                <w:rFonts w:hint="eastAsia" w:ascii="仿宋_GB2312" w:hAnsi="宋体" w:eastAsia="仿宋_GB2312" w:cs="宋体"/>
                <w:kern w:val="0"/>
                <w:sz w:val="22"/>
                <w:szCs w:val="24"/>
              </w:rPr>
              <w:t>月的连续三个月社保证明，因社保部门原因无法提供</w:t>
            </w:r>
            <w:r>
              <w:rPr>
                <w:rFonts w:ascii="仿宋_GB2312" w:hAnsi="宋体" w:eastAsia="仿宋_GB2312" w:cs="宋体"/>
                <w:kern w:val="0"/>
                <w:sz w:val="22"/>
                <w:szCs w:val="24"/>
              </w:rPr>
              <w:t>10</w:t>
            </w:r>
            <w:r>
              <w:rPr>
                <w:rFonts w:hint="eastAsia" w:ascii="仿宋_GB2312" w:hAnsi="宋体" w:eastAsia="仿宋_GB2312" w:cs="宋体"/>
                <w:kern w:val="0"/>
                <w:sz w:val="22"/>
                <w:szCs w:val="24"/>
              </w:rPr>
              <w:t>月份社保的，可以往前倒推一个月；</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（2）要求提供投标人相关证明资料作为得分依据；</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（3）以上资料均要求提供扫描件（或官方网站截图），原件备查。评分中出现无证明资料或专家无法凭所提供资料判断是否得分的情况，一律作不得分处理；</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（4）如涉及考察人员工作经验，要求提供项目合同关键信息作为得分依据，通过合同关键信息无法判断是否得分的，还须同时提供如项目报告或合同甲方出具的证明文件；</w:t>
            </w:r>
          </w:p>
          <w:p>
            <w:pPr>
              <w:widowControl/>
              <w:ind w:left="-108"/>
              <w:rPr>
                <w:rFonts w:ascii="仿宋_GB2312" w:hAnsi="宋体" w:eastAsia="仿宋_GB2312" w:cs="宋体"/>
                <w:kern w:val="0"/>
                <w:sz w:val="22"/>
                <w:szCs w:val="24"/>
                <w:highlight w:val="yellow"/>
              </w:rPr>
            </w:pPr>
            <w:r>
              <w:rPr>
                <w:rFonts w:hint="eastAsia" w:ascii="仿宋_GB2312" w:hAnsi="宋体" w:eastAsia="仿宋_GB2312" w:cs="宋体"/>
                <w:kern w:val="0"/>
                <w:sz w:val="22"/>
                <w:szCs w:val="24"/>
              </w:rPr>
              <w:t>（5）上述项目开展时间必须在近</w:t>
            </w:r>
            <w:r>
              <w:rPr>
                <w:rFonts w:ascii="仿宋_GB2312" w:hAnsi="宋体" w:eastAsia="仿宋_GB2312" w:cs="宋体"/>
                <w:kern w:val="0"/>
                <w:sz w:val="22"/>
                <w:szCs w:val="24"/>
              </w:rPr>
              <w:t>3</w:t>
            </w:r>
            <w:r>
              <w:rPr>
                <w:rFonts w:hint="eastAsia" w:ascii="仿宋_GB2312" w:hAnsi="宋体" w:eastAsia="仿宋_GB2312" w:cs="宋体"/>
                <w:kern w:val="0"/>
                <w:sz w:val="22"/>
                <w:szCs w:val="24"/>
              </w:rPr>
              <w:t>年以内（即20</w:t>
            </w:r>
            <w:r>
              <w:rPr>
                <w:rFonts w:ascii="仿宋_GB2312" w:hAnsi="宋体" w:eastAsia="仿宋_GB2312" w:cs="宋体"/>
                <w:kern w:val="0"/>
                <w:sz w:val="22"/>
                <w:szCs w:val="24"/>
              </w:rPr>
              <w:t>19</w:t>
            </w:r>
            <w:r>
              <w:rPr>
                <w:rFonts w:hint="eastAsia" w:ascii="仿宋_GB2312" w:hAnsi="宋体" w:eastAsia="仿宋_GB2312" w:cs="宋体"/>
                <w:kern w:val="0"/>
                <w:sz w:val="22"/>
                <w:szCs w:val="24"/>
              </w:rPr>
              <w:t>年1月1日起至投标截止日期），以合同签订日期为准。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15</w:t>
            </w:r>
          </w:p>
        </w:tc>
        <w:tc>
          <w:tcPr>
            <w:tcW w:w="851" w:type="dxa"/>
            <w:tcBorders>
              <w:lef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仿宋_GB2312" w:hAnsi="宋体" w:eastAsia="仿宋_GB2312"/>
                <w:sz w:val="22"/>
                <w:szCs w:val="24"/>
              </w:rPr>
            </w:pPr>
          </w:p>
        </w:tc>
        <w:tc>
          <w:tcPr>
            <w:tcW w:w="1344" w:type="dxa"/>
            <w:vAlign w:val="center"/>
          </w:tcPr>
          <w:p>
            <w:pPr>
              <w:jc w:val="center"/>
              <w:rPr>
                <w:rFonts w:ascii="仿宋_GB2312" w:hAnsi="宋体" w:eastAsia="仿宋_GB2312"/>
                <w:sz w:val="22"/>
                <w:szCs w:val="24"/>
              </w:rPr>
            </w:pPr>
            <w:r>
              <w:rPr>
                <w:rFonts w:hint="eastAsia" w:ascii="仿宋_GB2312" w:hAnsi="宋体" w:eastAsia="仿宋_GB2312"/>
                <w:sz w:val="22"/>
                <w:szCs w:val="24"/>
              </w:rPr>
              <w:t>拟安排的项目主要团队成员情况（项目负责人除外）</w:t>
            </w:r>
          </w:p>
        </w:tc>
        <w:tc>
          <w:tcPr>
            <w:tcW w:w="4677" w:type="dxa"/>
          </w:tcPr>
          <w:p>
            <w:pPr>
              <w:widowControl/>
              <w:ind w:left="-108"/>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项目团队成员人数需6人以上，且必须为本科以上学历，否则此项不得分。</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项目团队成员（项目负责人除外）中：</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（1）具有副高级（或以上）职称的，每人得</w:t>
            </w:r>
            <w:r>
              <w:rPr>
                <w:rFonts w:ascii="仿宋_GB2312" w:hAnsi="宋体" w:eastAsia="仿宋_GB2312" w:cs="宋体"/>
                <w:kern w:val="0"/>
                <w:sz w:val="22"/>
                <w:szCs w:val="24"/>
              </w:rPr>
              <w:t>10%分；具有中级职称的，每人得</w:t>
            </w:r>
            <w:r>
              <w:rPr>
                <w:rFonts w:hint="eastAsia" w:ascii="仿宋_GB2312" w:hAnsi="宋体" w:eastAsia="仿宋_GB2312" w:cs="宋体"/>
                <w:kern w:val="0"/>
                <w:sz w:val="22"/>
                <w:szCs w:val="24"/>
              </w:rPr>
              <w:t>5%分；</w:t>
            </w:r>
            <w:r>
              <w:rPr>
                <w:rFonts w:ascii="仿宋_GB2312" w:hAnsi="宋体" w:eastAsia="仿宋_GB2312" w:cs="宋体"/>
                <w:kern w:val="0"/>
                <w:sz w:val="22"/>
                <w:szCs w:val="24"/>
              </w:rPr>
              <w:t>最高30%分；</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）具有博士学历的，每人得</w:t>
            </w:r>
            <w:r>
              <w:rPr>
                <w:rFonts w:hint="eastAsia" w:ascii="仿宋_GB2312" w:hAnsi="宋体" w:eastAsia="仿宋_GB2312" w:cs="宋体"/>
                <w:kern w:val="0"/>
                <w:sz w:val="22"/>
                <w:szCs w:val="24"/>
              </w:rPr>
              <w:t>1</w:t>
            </w:r>
            <w:r>
              <w:rPr>
                <w:rFonts w:ascii="仿宋_GB2312" w:hAnsi="宋体" w:eastAsia="仿宋_GB2312" w:cs="宋体"/>
                <w:kern w:val="0"/>
                <w:sz w:val="22"/>
                <w:szCs w:val="24"/>
              </w:rPr>
              <w:t>0%分，最高</w:t>
            </w:r>
            <w:r>
              <w:rPr>
                <w:rFonts w:hint="eastAsia" w:ascii="仿宋_GB2312" w:hAnsi="宋体" w:eastAsia="仿宋_GB2312" w:cs="宋体"/>
                <w:kern w:val="0"/>
                <w:sz w:val="22"/>
                <w:szCs w:val="24"/>
              </w:rPr>
              <w:t>2</w:t>
            </w:r>
            <w:r>
              <w:rPr>
                <w:rFonts w:ascii="仿宋_GB2312" w:hAnsi="宋体" w:eastAsia="仿宋_GB2312" w:cs="宋体"/>
                <w:kern w:val="0"/>
                <w:sz w:val="22"/>
                <w:szCs w:val="24"/>
              </w:rPr>
              <w:t>0%分；</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（3）具备副省级及以上城市的交通基础设施投融资等相关项目，每人得</w:t>
            </w:r>
            <w:r>
              <w:rPr>
                <w:rFonts w:ascii="仿宋_GB2312" w:hAnsi="宋体" w:eastAsia="仿宋_GB2312" w:cs="宋体"/>
                <w:kern w:val="0"/>
                <w:sz w:val="22"/>
                <w:szCs w:val="24"/>
              </w:rPr>
              <w:t>10</w:t>
            </w:r>
            <w:r>
              <w:rPr>
                <w:rFonts w:hint="eastAsia" w:ascii="仿宋_GB2312" w:hAnsi="宋体" w:eastAsia="仿宋_GB2312" w:cs="宋体"/>
                <w:kern w:val="0"/>
                <w:sz w:val="22"/>
                <w:szCs w:val="24"/>
              </w:rPr>
              <w:t>%分，最高</w:t>
            </w:r>
            <w:r>
              <w:rPr>
                <w:rFonts w:ascii="仿宋_GB2312" w:hAnsi="宋体" w:eastAsia="仿宋_GB2312" w:cs="宋体"/>
                <w:kern w:val="0"/>
                <w:sz w:val="22"/>
                <w:szCs w:val="24"/>
              </w:rPr>
              <w:t>50</w:t>
            </w:r>
            <w:r>
              <w:rPr>
                <w:rFonts w:hint="eastAsia" w:ascii="仿宋_GB2312" w:hAnsi="宋体" w:eastAsia="仿宋_GB2312" w:cs="宋体"/>
                <w:kern w:val="0"/>
                <w:sz w:val="22"/>
                <w:szCs w:val="24"/>
              </w:rPr>
              <w:t>%分；</w:t>
            </w:r>
          </w:p>
          <w:p>
            <w:pPr>
              <w:widowControl/>
              <w:ind w:left="-108"/>
              <w:rPr>
                <w:rFonts w:ascii="仿宋_GB2312" w:hAnsi="宋体" w:eastAsia="仿宋_GB2312" w:cs="宋体"/>
                <w:kern w:val="0"/>
                <w:sz w:val="22"/>
                <w:szCs w:val="24"/>
              </w:rPr>
            </w:pPr>
            <w:r>
              <w:rPr>
                <w:rFonts w:ascii="仿宋_GB2312" w:hAnsi="宋体" w:eastAsia="仿宋_GB2312" w:cs="宋体"/>
                <w:kern w:val="0"/>
                <w:sz w:val="22"/>
                <w:szCs w:val="24"/>
              </w:rPr>
              <w:t>以上三项</w:t>
            </w:r>
            <w:r>
              <w:rPr>
                <w:rFonts w:hint="eastAsia" w:ascii="仿宋_GB2312" w:hAnsi="宋体" w:eastAsia="仿宋_GB2312" w:cs="宋体"/>
                <w:kern w:val="0"/>
                <w:sz w:val="22"/>
                <w:szCs w:val="24"/>
              </w:rPr>
              <w:t>累积</w:t>
            </w:r>
            <w:r>
              <w:rPr>
                <w:rFonts w:ascii="仿宋_GB2312" w:hAnsi="宋体" w:eastAsia="仿宋_GB2312" w:cs="宋体"/>
                <w:kern w:val="0"/>
                <w:sz w:val="22"/>
                <w:szCs w:val="24"/>
              </w:rPr>
              <w:t>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p>
            <w:pPr>
              <w:widowControl/>
              <w:ind w:left="-108"/>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（1）要求提供通过投标人缴纳的项目主要团队成员2021年</w:t>
            </w:r>
            <w:r>
              <w:rPr>
                <w:rFonts w:ascii="仿宋_GB2312" w:hAnsi="宋体" w:eastAsia="仿宋_GB2312" w:cs="宋体"/>
                <w:kern w:val="0"/>
                <w:sz w:val="22"/>
                <w:szCs w:val="24"/>
              </w:rPr>
              <w:t>8</w:t>
            </w:r>
            <w:r>
              <w:rPr>
                <w:rFonts w:hint="eastAsia" w:ascii="仿宋_GB2312" w:hAnsi="宋体" w:eastAsia="仿宋_GB2312" w:cs="宋体"/>
                <w:kern w:val="0"/>
                <w:sz w:val="22"/>
                <w:szCs w:val="24"/>
              </w:rPr>
              <w:t>月至2021年</w:t>
            </w:r>
            <w:r>
              <w:rPr>
                <w:rFonts w:ascii="仿宋_GB2312" w:hAnsi="宋体" w:eastAsia="仿宋_GB2312" w:cs="宋体"/>
                <w:kern w:val="0"/>
                <w:sz w:val="22"/>
                <w:szCs w:val="24"/>
              </w:rPr>
              <w:t>10</w:t>
            </w:r>
            <w:r>
              <w:rPr>
                <w:rFonts w:hint="eastAsia" w:ascii="仿宋_GB2312" w:hAnsi="宋体" w:eastAsia="仿宋_GB2312" w:cs="宋体"/>
                <w:kern w:val="0"/>
                <w:sz w:val="22"/>
                <w:szCs w:val="24"/>
              </w:rPr>
              <w:t>月的连续三个月社保证明，因社保部门原因无法提供</w:t>
            </w:r>
            <w:r>
              <w:rPr>
                <w:rFonts w:ascii="仿宋_GB2312" w:hAnsi="宋体" w:eastAsia="仿宋_GB2312" w:cs="宋体"/>
                <w:kern w:val="0"/>
                <w:sz w:val="22"/>
                <w:szCs w:val="24"/>
              </w:rPr>
              <w:t>10</w:t>
            </w:r>
            <w:r>
              <w:rPr>
                <w:rFonts w:hint="eastAsia" w:ascii="仿宋_GB2312" w:hAnsi="宋体" w:eastAsia="仿宋_GB2312" w:cs="宋体"/>
                <w:kern w:val="0"/>
                <w:sz w:val="22"/>
                <w:szCs w:val="24"/>
              </w:rPr>
              <w:t>月份社保的，可以往前倒推一个月；</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（2）要求提供投标人相关证明资料作为得分依据；</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（3）以上资料均要求提供扫描件（或官方网站截图），原件备查。评分中出现无证明资料或专家无法凭所提供资料判断是否得分的情况，一律作不得分处理；</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（4）如涉及考察人员工作经验，要求提供项目合同关键信息作为得分依据，通过合同关键信息无法判断是否得分的，还须同时提供如项目报告或合同甲方出具的证明文件；</w:t>
            </w:r>
          </w:p>
          <w:p>
            <w:pPr>
              <w:widowControl/>
              <w:ind w:left="-108"/>
              <w:rPr>
                <w:rFonts w:ascii="仿宋_GB2312" w:hAnsi="宋体" w:eastAsia="仿宋_GB2312" w:cs="宋体"/>
                <w:kern w:val="0"/>
                <w:sz w:val="22"/>
                <w:szCs w:val="24"/>
              </w:rPr>
            </w:pPr>
            <w:r>
              <w:rPr>
                <w:rFonts w:hint="eastAsia" w:ascii="仿宋_GB2312" w:hAnsi="宋体" w:eastAsia="仿宋_GB2312" w:cs="宋体"/>
                <w:kern w:val="0"/>
                <w:sz w:val="22"/>
                <w:szCs w:val="24"/>
              </w:rPr>
              <w:t>（5）上述项目开展时间必须在近</w:t>
            </w:r>
            <w:r>
              <w:rPr>
                <w:rFonts w:ascii="仿宋_GB2312" w:hAnsi="宋体" w:eastAsia="仿宋_GB2312" w:cs="宋体"/>
                <w:kern w:val="0"/>
                <w:sz w:val="22"/>
                <w:szCs w:val="24"/>
              </w:rPr>
              <w:t>3</w:t>
            </w:r>
            <w:r>
              <w:rPr>
                <w:rFonts w:hint="eastAsia" w:ascii="仿宋_GB2312" w:hAnsi="宋体" w:eastAsia="仿宋_GB2312" w:cs="宋体"/>
                <w:kern w:val="0"/>
                <w:sz w:val="22"/>
                <w:szCs w:val="24"/>
              </w:rPr>
              <w:t>年以内（即20</w:t>
            </w:r>
            <w:r>
              <w:rPr>
                <w:rFonts w:ascii="仿宋_GB2312" w:hAnsi="宋体" w:eastAsia="仿宋_GB2312" w:cs="宋体"/>
                <w:kern w:val="0"/>
                <w:sz w:val="22"/>
                <w:szCs w:val="24"/>
              </w:rPr>
              <w:t>19</w:t>
            </w:r>
            <w:r>
              <w:rPr>
                <w:rFonts w:hint="eastAsia" w:ascii="仿宋_GB2312" w:hAnsi="宋体" w:eastAsia="仿宋_GB2312" w:cs="宋体"/>
                <w:kern w:val="0"/>
                <w:sz w:val="22"/>
                <w:szCs w:val="24"/>
              </w:rPr>
              <w:t>年1月1日起至投标截止日期），以合同签订日期为准；</w:t>
            </w:r>
          </w:p>
          <w:p>
            <w:pPr>
              <w:widowControl/>
              <w:ind w:left="-108"/>
              <w:rPr>
                <w:rFonts w:ascii="仿宋_GB2312" w:hAnsi="宋体" w:eastAsia="仿宋_GB2312" w:cs="宋体"/>
                <w:kern w:val="0"/>
                <w:sz w:val="22"/>
                <w:szCs w:val="24"/>
                <w:highlight w:val="yellow"/>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6</w:t>
            </w:r>
            <w:r>
              <w:rPr>
                <w:rFonts w:ascii="仿宋_GB2312" w:hAnsi="宋体" w:eastAsia="仿宋_GB2312" w:cs="宋体"/>
                <w:kern w:val="0"/>
                <w:sz w:val="22"/>
                <w:szCs w:val="24"/>
              </w:rPr>
              <w:t>）同一人员同时满足不同项得分要求时，可累加计算得分。</w:t>
            </w:r>
          </w:p>
        </w:tc>
        <w:tc>
          <w:tcPr>
            <w:tcW w:w="709" w:type="dxa"/>
            <w:tcBorders>
              <w:right w:val="single" w:color="auto" w:sz="4" w:space="0"/>
            </w:tcBorders>
            <w:vAlign w:val="center"/>
          </w:tcPr>
          <w:p>
            <w:pPr>
              <w:jc w:val="center"/>
              <w:rPr>
                <w:rFonts w:hint="default" w:ascii="仿宋_GB2312" w:hAnsi="宋体" w:eastAsia="仿宋_GB2312"/>
                <w:sz w:val="22"/>
                <w:szCs w:val="24"/>
                <w:lang w:val="en-US" w:eastAsia="zh-CN"/>
              </w:rPr>
            </w:pPr>
            <w:r>
              <w:rPr>
                <w:rFonts w:hint="eastAsia" w:ascii="仿宋_GB2312" w:hAnsi="宋体" w:eastAsia="仿宋_GB2312"/>
                <w:sz w:val="22"/>
                <w:szCs w:val="24"/>
                <w:lang w:val="en-US" w:eastAsia="zh-CN"/>
              </w:rPr>
              <w:t>15</w:t>
            </w:r>
          </w:p>
        </w:tc>
        <w:tc>
          <w:tcPr>
            <w:tcW w:w="851" w:type="dxa"/>
            <w:tcBorders>
              <w:left w:val="single" w:color="auto" w:sz="4" w:space="0"/>
            </w:tcBorders>
            <w:vAlign w:val="center"/>
          </w:tcPr>
          <w:p>
            <w:pPr>
              <w:jc w:val="center"/>
              <w:rPr>
                <w:rFonts w:hint="default" w:ascii="仿宋_GB2312" w:hAnsi="宋体" w:eastAsia="仿宋_GB2312"/>
                <w:sz w:val="22"/>
                <w:szCs w:val="24"/>
                <w:lang w:val="en-US" w:eastAsia="zh-CN"/>
              </w:rPr>
            </w:pPr>
            <w:r>
              <w:rPr>
                <w:rFonts w:hint="eastAsia" w:ascii="仿宋_GB2312" w:hAnsi="宋体" w:eastAsia="仿宋_GB2312"/>
                <w:sz w:val="22"/>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仿宋_GB2312" w:hAnsi="宋体" w:eastAsia="仿宋_GB2312"/>
                <w:b/>
                <w:sz w:val="22"/>
                <w:szCs w:val="24"/>
              </w:rPr>
            </w:pPr>
            <w:r>
              <w:rPr>
                <w:rFonts w:hint="eastAsia" w:ascii="仿宋_GB2312" w:hAnsi="宋体" w:eastAsia="仿宋_GB2312"/>
                <w:b/>
                <w:sz w:val="22"/>
                <w:szCs w:val="24"/>
              </w:rPr>
              <w:t>三</w:t>
            </w:r>
          </w:p>
        </w:tc>
        <w:tc>
          <w:tcPr>
            <w:tcW w:w="7581" w:type="dxa"/>
            <w:gridSpan w:val="4"/>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b/>
                <w:sz w:val="22"/>
                <w:szCs w:val="24"/>
              </w:rPr>
              <w:t>价格部分（合计1</w:t>
            </w:r>
            <w:r>
              <w:rPr>
                <w:rFonts w:ascii="仿宋_GB2312" w:hAnsi="宋体" w:eastAsia="仿宋_GB2312"/>
                <w:b/>
                <w:sz w:val="22"/>
                <w:szCs w:val="24"/>
              </w:rPr>
              <w:t>0</w:t>
            </w:r>
            <w:r>
              <w:rPr>
                <w:rFonts w:hint="eastAsia" w:ascii="仿宋_GB2312" w:hAnsi="宋体" w:eastAsia="仿宋_GB2312"/>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59" w:hRule="atLeast"/>
        </w:trPr>
        <w:tc>
          <w:tcPr>
            <w:tcW w:w="680" w:type="dxa"/>
            <w:vAlign w:val="center"/>
          </w:tcPr>
          <w:p>
            <w:pPr>
              <w:numPr>
                <w:ilvl w:val="0"/>
                <w:numId w:val="7"/>
              </w:numPr>
              <w:jc w:val="center"/>
              <w:rPr>
                <w:rFonts w:ascii="仿宋_GB2312" w:hAnsi="宋体" w:eastAsia="仿宋_GB2312"/>
                <w:sz w:val="22"/>
                <w:szCs w:val="24"/>
              </w:rPr>
            </w:pPr>
          </w:p>
        </w:tc>
        <w:tc>
          <w:tcPr>
            <w:tcW w:w="1344" w:type="dxa"/>
            <w:vAlign w:val="center"/>
          </w:tcPr>
          <w:p>
            <w:pPr>
              <w:rPr>
                <w:rFonts w:ascii="仿宋_GB2312" w:hAnsi="宋体" w:eastAsia="仿宋_GB2312"/>
                <w:sz w:val="22"/>
                <w:szCs w:val="24"/>
              </w:rPr>
            </w:pPr>
            <w:r>
              <w:rPr>
                <w:rFonts w:hint="eastAsia" w:ascii="仿宋_GB2312" w:hAnsi="宋体" w:eastAsia="仿宋_GB2312"/>
                <w:sz w:val="22"/>
                <w:szCs w:val="24"/>
              </w:rPr>
              <w:t>投标报价</w:t>
            </w:r>
          </w:p>
        </w:tc>
        <w:tc>
          <w:tcPr>
            <w:tcW w:w="4677" w:type="dxa"/>
            <w:vAlign w:val="center"/>
          </w:tcPr>
          <w:p>
            <w:pPr>
              <w:autoSpaceDE w:val="0"/>
              <w:autoSpaceDN w:val="0"/>
              <w:adjustRightInd w:val="0"/>
              <w:snapToGrid w:val="0"/>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价格分应当采用低价优先法计算，即满足招标文件要求且投标价格最低的投标报价为评标基准价，其价格分为满分。其他投标人的价格分统一按照下列公式计算：</w:t>
            </w:r>
          </w:p>
          <w:p>
            <w:pPr>
              <w:widowControl/>
              <w:ind w:left="-107" w:leftChars="-51"/>
              <w:rPr>
                <w:rFonts w:ascii="仿宋_GB2312" w:hAnsi="宋体" w:eastAsia="仿宋_GB2312" w:cs="宋体"/>
                <w:kern w:val="0"/>
                <w:sz w:val="22"/>
                <w:szCs w:val="24"/>
              </w:rPr>
            </w:pPr>
            <w:r>
              <w:rPr>
                <w:rFonts w:hint="eastAsia" w:ascii="仿宋_GB2312" w:hAnsi="宋体" w:eastAsia="仿宋_GB2312" w:cs="宋体"/>
                <w:kern w:val="0"/>
                <w:sz w:val="22"/>
                <w:szCs w:val="24"/>
              </w:rPr>
              <w:t>投标报价得分=(评标基准价／投标报价)×100×权重</w:t>
            </w:r>
          </w:p>
          <w:p>
            <w:pPr>
              <w:widowControl/>
              <w:ind w:left="-107" w:leftChars="-51"/>
              <w:rPr>
                <w:rFonts w:ascii="仿宋_GB2312" w:hAnsi="宋体" w:eastAsia="仿宋_GB2312" w:cs="宋体"/>
                <w:sz w:val="22"/>
                <w:szCs w:val="24"/>
              </w:rPr>
            </w:pPr>
            <w:r>
              <w:rPr>
                <w:rFonts w:hint="eastAsia" w:ascii="仿宋_GB2312" w:hAnsi="宋体" w:eastAsia="仿宋_GB2312"/>
                <w:bCs/>
                <w:sz w:val="22"/>
                <w:szCs w:val="24"/>
              </w:rPr>
              <w:t>1.因落实政府采购政策进行价格调整的，以调整后的价格计算评标基准价和投标报价</w:t>
            </w:r>
            <w:r>
              <w:rPr>
                <w:rFonts w:hint="eastAsia" w:ascii="仿宋_GB2312" w:hAnsi="宋体" w:eastAsia="仿宋_GB2312" w:cs="宋体"/>
                <w:sz w:val="22"/>
                <w:szCs w:val="24"/>
              </w:rPr>
              <w:t>,详见“价格扣除”。</w:t>
            </w:r>
          </w:p>
          <w:p>
            <w:pPr>
              <w:ind w:left="-107" w:leftChars="-51"/>
              <w:rPr>
                <w:rFonts w:ascii="仿宋_GB2312" w:hAnsi="宋体" w:eastAsia="仿宋_GB2312"/>
                <w:b/>
                <w:bCs/>
                <w:sz w:val="22"/>
                <w:szCs w:val="24"/>
                <w:u w:val="double"/>
              </w:rPr>
            </w:pPr>
            <w:r>
              <w:rPr>
                <w:rFonts w:hint="eastAsia" w:ascii="仿宋_GB2312" w:hAnsi="宋体" w:eastAsia="仿宋_GB2312"/>
                <w:bCs/>
                <w:sz w:val="22"/>
                <w:szCs w:val="24"/>
              </w:rPr>
              <w:t>2.投标报价得分四舍五入后，</w:t>
            </w:r>
            <w:r>
              <w:rPr>
                <w:rFonts w:hint="eastAsia" w:ascii="仿宋_GB2312" w:hAnsi="宋体" w:eastAsia="仿宋_GB2312" w:cs="Arial"/>
                <w:sz w:val="22"/>
                <w:szCs w:val="24"/>
              </w:rPr>
              <w:t>小数点后保留两位有效数</w:t>
            </w:r>
            <w:r>
              <w:rPr>
                <w:rFonts w:hint="eastAsia" w:ascii="仿宋_GB2312" w:hAnsi="宋体" w:eastAsia="仿宋_GB2312"/>
                <w:bCs/>
                <w:sz w:val="22"/>
                <w:szCs w:val="24"/>
              </w:rPr>
              <w:t>。</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w:t>
            </w:r>
            <w:r>
              <w:rPr>
                <w:rFonts w:ascii="仿宋_GB2312" w:hAnsi="宋体" w:eastAsia="仿宋_GB2312" w:cs="宋体"/>
                <w:sz w:val="22"/>
                <w:szCs w:val="24"/>
              </w:rPr>
              <w:t>0</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sz w:val="22"/>
                <w:szCs w:val="24"/>
              </w:rPr>
              <w:t>1</w:t>
            </w:r>
            <w:r>
              <w:rPr>
                <w:rFonts w:ascii="仿宋_GB2312" w:hAnsi="宋体" w:eastAsia="仿宋_GB2312"/>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3" w:hRule="atLeast"/>
        </w:trPr>
        <w:tc>
          <w:tcPr>
            <w:tcW w:w="6701" w:type="dxa"/>
            <w:gridSpan w:val="3"/>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sz w:val="22"/>
                <w:szCs w:val="24"/>
              </w:rPr>
              <w:t>合计</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100</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100</w:t>
            </w:r>
          </w:p>
        </w:tc>
      </w:tr>
    </w:tbl>
    <w:p>
      <w:pPr>
        <w:outlineLvl w:val="0"/>
        <w:rPr>
          <w:rFonts w:ascii="仿宋_GB2312" w:hAnsi="宋体" w:eastAsia="仿宋_GB2312"/>
          <w:b/>
          <w:sz w:val="24"/>
          <w:szCs w:val="24"/>
        </w:rPr>
      </w:pPr>
      <w:r>
        <w:rPr>
          <w:rFonts w:hint="eastAsia" w:ascii="仿宋_GB2312" w:hAnsi="宋体" w:eastAsia="仿宋_GB2312"/>
          <w:b/>
          <w:sz w:val="24"/>
          <w:szCs w:val="24"/>
        </w:rPr>
        <w:t>备注：</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1.评标信息内评分方法的说明：</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（1）权重：按百分比进行设置；</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（2）评分准则：按照评标系统设置要求，每项“评分准则”皆按百分制打分；</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（3）每项“评分因素”的得分=对应“评分准则”的分值×对应权重（%）。</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2.价格扣除</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（1）根据财政部、工业和信息化部印发的《政府采购促进中小企业发展管理办法》（财库〔2020〕46号）的规定，对小型和微型企业产品的价格给予6%的扣除，用扣除后的价格参与评审。</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（2）组成联合体（如允许）或者接受分包的小微企业与联合体内其他企业、分包企业之间存在直接控股、管理关系的，不享受价格扣除优惠政策。</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（3）监狱企业产品价格扣除：监狱企业视同小微企业，按上述第（1）、（2）条款享受评审中价格扣除。</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附件：投标及履约承诺函</w:t>
      </w:r>
    </w:p>
    <w:p>
      <w:pPr>
        <w:widowControl/>
        <w:jc w:val="left"/>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spacing w:line="560" w:lineRule="exact"/>
        <w:jc w:val="left"/>
        <w:rPr>
          <w:rFonts w:ascii="黑体" w:hAnsi="黑体" w:eastAsia="黑体" w:cs="仿宋_GB2312"/>
          <w:sz w:val="32"/>
          <w:szCs w:val="32"/>
        </w:rPr>
      </w:pPr>
      <w:r>
        <w:rPr>
          <w:rFonts w:hint="eastAsia" w:ascii="黑体" w:hAnsi="黑体" w:eastAsia="黑体" w:cs="仿宋_GB2312"/>
          <w:spacing w:val="10"/>
          <w:kern w:val="0"/>
          <w:sz w:val="32"/>
          <w:szCs w:val="32"/>
          <w:lang w:val="zh-CN"/>
        </w:rPr>
        <w:t>附件</w:t>
      </w:r>
    </w:p>
    <w:p>
      <w:pPr>
        <w:adjustRightInd w:val="0"/>
        <w:snapToGrid w:val="0"/>
        <w:spacing w:line="480" w:lineRule="exact"/>
        <w:jc w:val="center"/>
        <w:rPr>
          <w:rFonts w:ascii="宋体" w:hAnsi="宋体" w:cs="宋体"/>
          <w:b/>
          <w:bCs/>
          <w:sz w:val="44"/>
          <w:szCs w:val="44"/>
        </w:rPr>
      </w:pPr>
    </w:p>
    <w:p>
      <w:pPr>
        <w:adjustRightInd w:val="0"/>
        <w:snapToGrid w:val="0"/>
        <w:spacing w:line="480" w:lineRule="exact"/>
        <w:jc w:val="center"/>
        <w:outlineLvl w:val="0"/>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480" w:lineRule="exact"/>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 xml:space="preserve">.我单位已认真阅读本项目需求，我单位承诺按时递交标书。 </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cs="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承诺投标人：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871" w:right="1474" w:bottom="1758"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微软雅黑"/>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0"/>
      </w:rPr>
      <w:id w:val="2032149217"/>
    </w:sdtPr>
    <w:sdtEndPr>
      <w:rPr>
        <w:rFonts w:ascii="宋体" w:hAnsi="宋体"/>
        <w:sz w:val="20"/>
      </w:rPr>
    </w:sdtEndPr>
    <w:sdtContent>
      <w:p>
        <w:pPr>
          <w:pStyle w:val="27"/>
          <w:jc w:val="center"/>
          <w:rPr>
            <w:rFonts w:ascii="宋体" w:hAnsi="宋体"/>
            <w:sz w:val="20"/>
          </w:rPr>
        </w:pPr>
        <w:r>
          <w:rPr>
            <w:rFonts w:ascii="宋体" w:hAnsi="宋体"/>
            <w:sz w:val="20"/>
          </w:rPr>
          <w:fldChar w:fldCharType="begin"/>
        </w:r>
        <w:r>
          <w:rPr>
            <w:rFonts w:ascii="宋体" w:hAnsi="宋体"/>
            <w:sz w:val="20"/>
          </w:rPr>
          <w:instrText xml:space="preserve">PAGE   \* MERGEFORMAT</w:instrText>
        </w:r>
        <w:r>
          <w:rPr>
            <w:rFonts w:ascii="宋体" w:hAnsi="宋体"/>
            <w:sz w:val="20"/>
          </w:rPr>
          <w:fldChar w:fldCharType="separate"/>
        </w:r>
        <w:r>
          <w:rPr>
            <w:rFonts w:ascii="宋体" w:hAnsi="宋体"/>
            <w:sz w:val="20"/>
            <w:lang w:val="zh-CN"/>
          </w:rPr>
          <w:t>9</w:t>
        </w:r>
        <w:r>
          <w:rPr>
            <w:rFonts w:ascii="宋体" w:hAnsi="宋体"/>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0"/>
      </w:rPr>
      <w:id w:val="1840345557"/>
    </w:sdtPr>
    <w:sdtEndPr>
      <w:rPr>
        <w:rFonts w:ascii="宋体" w:hAnsi="宋体"/>
        <w:sz w:val="20"/>
      </w:rPr>
    </w:sdtEndPr>
    <w:sdtContent>
      <w:p>
        <w:pPr>
          <w:pStyle w:val="27"/>
          <w:jc w:val="center"/>
          <w:rPr>
            <w:rFonts w:ascii="宋体" w:hAnsi="宋体"/>
            <w:sz w:val="20"/>
          </w:rPr>
        </w:pPr>
        <w:r>
          <w:rPr>
            <w:rFonts w:ascii="宋体" w:hAnsi="宋体"/>
            <w:sz w:val="20"/>
          </w:rPr>
          <w:fldChar w:fldCharType="begin"/>
        </w:r>
        <w:r>
          <w:rPr>
            <w:rFonts w:ascii="宋体" w:hAnsi="宋体"/>
            <w:sz w:val="20"/>
          </w:rPr>
          <w:instrText xml:space="preserve">PAGE   \* MERGEFORMAT</w:instrText>
        </w:r>
        <w:r>
          <w:rPr>
            <w:rFonts w:ascii="宋体" w:hAnsi="宋体"/>
            <w:sz w:val="20"/>
          </w:rPr>
          <w:fldChar w:fldCharType="separate"/>
        </w:r>
        <w:r>
          <w:rPr>
            <w:rFonts w:ascii="宋体" w:hAnsi="宋体"/>
            <w:sz w:val="20"/>
            <w:lang w:val="zh-CN"/>
          </w:rPr>
          <w:t>1</w:t>
        </w:r>
        <w:r>
          <w:rPr>
            <w:rFonts w:ascii="宋体" w:hAnsi="宋体"/>
            <w:sz w:val="20"/>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15BC4"/>
    <w:rsid w:val="00021F8A"/>
    <w:rsid w:val="00026FDC"/>
    <w:rsid w:val="00041678"/>
    <w:rsid w:val="0005286F"/>
    <w:rsid w:val="00057629"/>
    <w:rsid w:val="0007094F"/>
    <w:rsid w:val="000754C4"/>
    <w:rsid w:val="00077538"/>
    <w:rsid w:val="00087B33"/>
    <w:rsid w:val="0009025E"/>
    <w:rsid w:val="000943CB"/>
    <w:rsid w:val="00094808"/>
    <w:rsid w:val="000A122F"/>
    <w:rsid w:val="000A2ECD"/>
    <w:rsid w:val="000A460A"/>
    <w:rsid w:val="000B0357"/>
    <w:rsid w:val="000C24E4"/>
    <w:rsid w:val="000C4C90"/>
    <w:rsid w:val="000C72A3"/>
    <w:rsid w:val="000E057C"/>
    <w:rsid w:val="000E7D03"/>
    <w:rsid w:val="000F7ABB"/>
    <w:rsid w:val="000F7AD1"/>
    <w:rsid w:val="00102E73"/>
    <w:rsid w:val="00104E04"/>
    <w:rsid w:val="001124E6"/>
    <w:rsid w:val="00121A5C"/>
    <w:rsid w:val="001275A8"/>
    <w:rsid w:val="00142DE7"/>
    <w:rsid w:val="0014446E"/>
    <w:rsid w:val="001540CC"/>
    <w:rsid w:val="001544E0"/>
    <w:rsid w:val="00155FBC"/>
    <w:rsid w:val="001569AE"/>
    <w:rsid w:val="00161E92"/>
    <w:rsid w:val="00163B37"/>
    <w:rsid w:val="0017605A"/>
    <w:rsid w:val="0017760C"/>
    <w:rsid w:val="00180298"/>
    <w:rsid w:val="0018063F"/>
    <w:rsid w:val="001816F2"/>
    <w:rsid w:val="00184B9F"/>
    <w:rsid w:val="00197FDE"/>
    <w:rsid w:val="001B19B9"/>
    <w:rsid w:val="001B20D4"/>
    <w:rsid w:val="001B35A8"/>
    <w:rsid w:val="001C71B0"/>
    <w:rsid w:val="001D3DDB"/>
    <w:rsid w:val="001D4BCF"/>
    <w:rsid w:val="001E3A97"/>
    <w:rsid w:val="001E510D"/>
    <w:rsid w:val="001E607C"/>
    <w:rsid w:val="001F2F3C"/>
    <w:rsid w:val="001F5348"/>
    <w:rsid w:val="001F6A98"/>
    <w:rsid w:val="001F7840"/>
    <w:rsid w:val="0021135C"/>
    <w:rsid w:val="002121C1"/>
    <w:rsid w:val="00212BC7"/>
    <w:rsid w:val="00214514"/>
    <w:rsid w:val="00226951"/>
    <w:rsid w:val="00236C21"/>
    <w:rsid w:val="00247CC0"/>
    <w:rsid w:val="00264B57"/>
    <w:rsid w:val="00264F3F"/>
    <w:rsid w:val="002726A4"/>
    <w:rsid w:val="00275B1E"/>
    <w:rsid w:val="00280085"/>
    <w:rsid w:val="0029255E"/>
    <w:rsid w:val="002933DE"/>
    <w:rsid w:val="002A4184"/>
    <w:rsid w:val="002A692D"/>
    <w:rsid w:val="002B2371"/>
    <w:rsid w:val="002B5A7D"/>
    <w:rsid w:val="002C23E7"/>
    <w:rsid w:val="002C410B"/>
    <w:rsid w:val="002C75A1"/>
    <w:rsid w:val="002D3E7B"/>
    <w:rsid w:val="002E3180"/>
    <w:rsid w:val="002F0A38"/>
    <w:rsid w:val="002F7D66"/>
    <w:rsid w:val="00302C1D"/>
    <w:rsid w:val="0030460A"/>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7512D"/>
    <w:rsid w:val="00386203"/>
    <w:rsid w:val="00387586"/>
    <w:rsid w:val="00390BC7"/>
    <w:rsid w:val="00397D57"/>
    <w:rsid w:val="003A5EBE"/>
    <w:rsid w:val="003A71FE"/>
    <w:rsid w:val="003B47C2"/>
    <w:rsid w:val="003B4C0C"/>
    <w:rsid w:val="003C0F0F"/>
    <w:rsid w:val="003C550C"/>
    <w:rsid w:val="003C7DC7"/>
    <w:rsid w:val="003D0615"/>
    <w:rsid w:val="003D57C1"/>
    <w:rsid w:val="003E1FF6"/>
    <w:rsid w:val="003E74A2"/>
    <w:rsid w:val="003E7BEF"/>
    <w:rsid w:val="003F7347"/>
    <w:rsid w:val="0040141D"/>
    <w:rsid w:val="00401F33"/>
    <w:rsid w:val="0040409B"/>
    <w:rsid w:val="00405519"/>
    <w:rsid w:val="00407B71"/>
    <w:rsid w:val="00424A7B"/>
    <w:rsid w:val="0043284A"/>
    <w:rsid w:val="0043443C"/>
    <w:rsid w:val="004346D9"/>
    <w:rsid w:val="004527CD"/>
    <w:rsid w:val="00455A2D"/>
    <w:rsid w:val="00461339"/>
    <w:rsid w:val="0046505B"/>
    <w:rsid w:val="004700BB"/>
    <w:rsid w:val="004747A9"/>
    <w:rsid w:val="00482C77"/>
    <w:rsid w:val="00490843"/>
    <w:rsid w:val="004A018F"/>
    <w:rsid w:val="004A1948"/>
    <w:rsid w:val="004A4844"/>
    <w:rsid w:val="004A5B12"/>
    <w:rsid w:val="004B3EFF"/>
    <w:rsid w:val="004B4044"/>
    <w:rsid w:val="004B72E2"/>
    <w:rsid w:val="004C23C1"/>
    <w:rsid w:val="004D140F"/>
    <w:rsid w:val="004D2A09"/>
    <w:rsid w:val="004D46DF"/>
    <w:rsid w:val="004D647F"/>
    <w:rsid w:val="004D69E2"/>
    <w:rsid w:val="004D7C84"/>
    <w:rsid w:val="004E6DC8"/>
    <w:rsid w:val="004F27B3"/>
    <w:rsid w:val="004F4EEB"/>
    <w:rsid w:val="00502316"/>
    <w:rsid w:val="00512272"/>
    <w:rsid w:val="005212B1"/>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66FD7"/>
    <w:rsid w:val="00571748"/>
    <w:rsid w:val="005742E2"/>
    <w:rsid w:val="00574E9C"/>
    <w:rsid w:val="0057642D"/>
    <w:rsid w:val="005770EC"/>
    <w:rsid w:val="00581043"/>
    <w:rsid w:val="00582D82"/>
    <w:rsid w:val="00583E4C"/>
    <w:rsid w:val="00591F8A"/>
    <w:rsid w:val="00592178"/>
    <w:rsid w:val="0059695D"/>
    <w:rsid w:val="005B045A"/>
    <w:rsid w:val="005B1504"/>
    <w:rsid w:val="005C1EA1"/>
    <w:rsid w:val="005C6FBE"/>
    <w:rsid w:val="005D06B7"/>
    <w:rsid w:val="005D2DBD"/>
    <w:rsid w:val="005D5595"/>
    <w:rsid w:val="005F1001"/>
    <w:rsid w:val="005F42B7"/>
    <w:rsid w:val="00603F35"/>
    <w:rsid w:val="00606C77"/>
    <w:rsid w:val="00614414"/>
    <w:rsid w:val="0061590B"/>
    <w:rsid w:val="00625492"/>
    <w:rsid w:val="00626F53"/>
    <w:rsid w:val="00633239"/>
    <w:rsid w:val="00633C39"/>
    <w:rsid w:val="00636543"/>
    <w:rsid w:val="00642642"/>
    <w:rsid w:val="00667D11"/>
    <w:rsid w:val="0067100B"/>
    <w:rsid w:val="00675528"/>
    <w:rsid w:val="00680EC3"/>
    <w:rsid w:val="00685745"/>
    <w:rsid w:val="00693E4E"/>
    <w:rsid w:val="006A2133"/>
    <w:rsid w:val="006B6C77"/>
    <w:rsid w:val="006C170C"/>
    <w:rsid w:val="006C4AD8"/>
    <w:rsid w:val="006D34ED"/>
    <w:rsid w:val="006D43DB"/>
    <w:rsid w:val="006D5828"/>
    <w:rsid w:val="006D7442"/>
    <w:rsid w:val="006E5EC1"/>
    <w:rsid w:val="006E64BB"/>
    <w:rsid w:val="006F52CF"/>
    <w:rsid w:val="00705593"/>
    <w:rsid w:val="00707689"/>
    <w:rsid w:val="0071108F"/>
    <w:rsid w:val="00713126"/>
    <w:rsid w:val="00713D58"/>
    <w:rsid w:val="007261F8"/>
    <w:rsid w:val="007271F7"/>
    <w:rsid w:val="007316C9"/>
    <w:rsid w:val="00737455"/>
    <w:rsid w:val="00741452"/>
    <w:rsid w:val="007414C6"/>
    <w:rsid w:val="00755554"/>
    <w:rsid w:val="00756219"/>
    <w:rsid w:val="00763343"/>
    <w:rsid w:val="00772977"/>
    <w:rsid w:val="00776FB1"/>
    <w:rsid w:val="00781E6C"/>
    <w:rsid w:val="0078257A"/>
    <w:rsid w:val="00785916"/>
    <w:rsid w:val="00792503"/>
    <w:rsid w:val="00796037"/>
    <w:rsid w:val="007962FF"/>
    <w:rsid w:val="007A27DD"/>
    <w:rsid w:val="007B3AC8"/>
    <w:rsid w:val="007C68AE"/>
    <w:rsid w:val="007D0575"/>
    <w:rsid w:val="007D629B"/>
    <w:rsid w:val="007D7579"/>
    <w:rsid w:val="007E4380"/>
    <w:rsid w:val="007E7E79"/>
    <w:rsid w:val="007F12AF"/>
    <w:rsid w:val="00800F5B"/>
    <w:rsid w:val="0080186E"/>
    <w:rsid w:val="00803DE1"/>
    <w:rsid w:val="008111D2"/>
    <w:rsid w:val="008166EE"/>
    <w:rsid w:val="008346B8"/>
    <w:rsid w:val="0084013A"/>
    <w:rsid w:val="00843442"/>
    <w:rsid w:val="00843C62"/>
    <w:rsid w:val="00855665"/>
    <w:rsid w:val="00856555"/>
    <w:rsid w:val="00870EC3"/>
    <w:rsid w:val="00876D92"/>
    <w:rsid w:val="008836FE"/>
    <w:rsid w:val="00883B31"/>
    <w:rsid w:val="008907C7"/>
    <w:rsid w:val="00893717"/>
    <w:rsid w:val="00897A19"/>
    <w:rsid w:val="008A79FD"/>
    <w:rsid w:val="008B4CAF"/>
    <w:rsid w:val="008D2D34"/>
    <w:rsid w:val="008D783E"/>
    <w:rsid w:val="008E2DAC"/>
    <w:rsid w:val="008F443C"/>
    <w:rsid w:val="00903308"/>
    <w:rsid w:val="009107D4"/>
    <w:rsid w:val="00912182"/>
    <w:rsid w:val="00913B55"/>
    <w:rsid w:val="00917723"/>
    <w:rsid w:val="00920BB7"/>
    <w:rsid w:val="009245E2"/>
    <w:rsid w:val="009274B6"/>
    <w:rsid w:val="00933256"/>
    <w:rsid w:val="009351C9"/>
    <w:rsid w:val="00935C24"/>
    <w:rsid w:val="00937757"/>
    <w:rsid w:val="009417F2"/>
    <w:rsid w:val="0094689E"/>
    <w:rsid w:val="009515C6"/>
    <w:rsid w:val="009619E6"/>
    <w:rsid w:val="009634AF"/>
    <w:rsid w:val="009719CF"/>
    <w:rsid w:val="00976494"/>
    <w:rsid w:val="00977802"/>
    <w:rsid w:val="009910FD"/>
    <w:rsid w:val="009920B2"/>
    <w:rsid w:val="0099270C"/>
    <w:rsid w:val="0099769F"/>
    <w:rsid w:val="009A0980"/>
    <w:rsid w:val="009B1BCF"/>
    <w:rsid w:val="009B37E4"/>
    <w:rsid w:val="009B4668"/>
    <w:rsid w:val="009C378C"/>
    <w:rsid w:val="009C556B"/>
    <w:rsid w:val="009C5990"/>
    <w:rsid w:val="009D0E3F"/>
    <w:rsid w:val="009D44D5"/>
    <w:rsid w:val="009D520A"/>
    <w:rsid w:val="009E0008"/>
    <w:rsid w:val="009F39C4"/>
    <w:rsid w:val="009F6E16"/>
    <w:rsid w:val="00A002CE"/>
    <w:rsid w:val="00A03C2D"/>
    <w:rsid w:val="00A305F8"/>
    <w:rsid w:val="00A31463"/>
    <w:rsid w:val="00A44DD8"/>
    <w:rsid w:val="00A47B41"/>
    <w:rsid w:val="00A500D4"/>
    <w:rsid w:val="00A51B21"/>
    <w:rsid w:val="00A60F56"/>
    <w:rsid w:val="00A716A3"/>
    <w:rsid w:val="00A73054"/>
    <w:rsid w:val="00A75EAC"/>
    <w:rsid w:val="00A9093A"/>
    <w:rsid w:val="00A94D28"/>
    <w:rsid w:val="00A97A05"/>
    <w:rsid w:val="00AA62E8"/>
    <w:rsid w:val="00AA6594"/>
    <w:rsid w:val="00AB432C"/>
    <w:rsid w:val="00AB5B09"/>
    <w:rsid w:val="00AC012B"/>
    <w:rsid w:val="00AC5C00"/>
    <w:rsid w:val="00AD11F7"/>
    <w:rsid w:val="00AE74B1"/>
    <w:rsid w:val="00B01134"/>
    <w:rsid w:val="00B067EE"/>
    <w:rsid w:val="00B06E7E"/>
    <w:rsid w:val="00B0798D"/>
    <w:rsid w:val="00B101C7"/>
    <w:rsid w:val="00B10467"/>
    <w:rsid w:val="00B25245"/>
    <w:rsid w:val="00B31182"/>
    <w:rsid w:val="00B36FF2"/>
    <w:rsid w:val="00B56D2F"/>
    <w:rsid w:val="00B57708"/>
    <w:rsid w:val="00B61BFE"/>
    <w:rsid w:val="00B67D61"/>
    <w:rsid w:val="00B74AC0"/>
    <w:rsid w:val="00B764AD"/>
    <w:rsid w:val="00B7696A"/>
    <w:rsid w:val="00B82F55"/>
    <w:rsid w:val="00B86F7E"/>
    <w:rsid w:val="00B9388B"/>
    <w:rsid w:val="00BA050C"/>
    <w:rsid w:val="00BA3111"/>
    <w:rsid w:val="00BA3A8C"/>
    <w:rsid w:val="00BB4B80"/>
    <w:rsid w:val="00BB4DA6"/>
    <w:rsid w:val="00BB7155"/>
    <w:rsid w:val="00BC680A"/>
    <w:rsid w:val="00BC6A39"/>
    <w:rsid w:val="00BC7786"/>
    <w:rsid w:val="00BD03C9"/>
    <w:rsid w:val="00BE3F02"/>
    <w:rsid w:val="00BF7D35"/>
    <w:rsid w:val="00C13C74"/>
    <w:rsid w:val="00C14F4C"/>
    <w:rsid w:val="00C16B85"/>
    <w:rsid w:val="00C173E6"/>
    <w:rsid w:val="00C23DC8"/>
    <w:rsid w:val="00C3092A"/>
    <w:rsid w:val="00C366AF"/>
    <w:rsid w:val="00C44FAE"/>
    <w:rsid w:val="00C5185F"/>
    <w:rsid w:val="00C51FB9"/>
    <w:rsid w:val="00C52D4D"/>
    <w:rsid w:val="00C53BC7"/>
    <w:rsid w:val="00C54474"/>
    <w:rsid w:val="00C57C32"/>
    <w:rsid w:val="00C655DD"/>
    <w:rsid w:val="00C9382F"/>
    <w:rsid w:val="00CB02DC"/>
    <w:rsid w:val="00CB7CA8"/>
    <w:rsid w:val="00CD16CE"/>
    <w:rsid w:val="00CE0F8E"/>
    <w:rsid w:val="00CE1F1E"/>
    <w:rsid w:val="00CF2012"/>
    <w:rsid w:val="00CF6F23"/>
    <w:rsid w:val="00D0062E"/>
    <w:rsid w:val="00D06210"/>
    <w:rsid w:val="00D12A2B"/>
    <w:rsid w:val="00D1589D"/>
    <w:rsid w:val="00D21EE2"/>
    <w:rsid w:val="00D24698"/>
    <w:rsid w:val="00D25868"/>
    <w:rsid w:val="00D25C47"/>
    <w:rsid w:val="00D26425"/>
    <w:rsid w:val="00D2660C"/>
    <w:rsid w:val="00D30E9B"/>
    <w:rsid w:val="00D316F6"/>
    <w:rsid w:val="00D36B82"/>
    <w:rsid w:val="00D45768"/>
    <w:rsid w:val="00D45F2D"/>
    <w:rsid w:val="00D52A2E"/>
    <w:rsid w:val="00D55F1E"/>
    <w:rsid w:val="00D6072F"/>
    <w:rsid w:val="00D64D20"/>
    <w:rsid w:val="00D75ED0"/>
    <w:rsid w:val="00D76346"/>
    <w:rsid w:val="00D7776E"/>
    <w:rsid w:val="00D9607B"/>
    <w:rsid w:val="00DB45D2"/>
    <w:rsid w:val="00DB7BEE"/>
    <w:rsid w:val="00DC0350"/>
    <w:rsid w:val="00DC1D8B"/>
    <w:rsid w:val="00DC41A4"/>
    <w:rsid w:val="00DC543E"/>
    <w:rsid w:val="00DC5DAC"/>
    <w:rsid w:val="00DD0471"/>
    <w:rsid w:val="00DE41D0"/>
    <w:rsid w:val="00DE5F7D"/>
    <w:rsid w:val="00DF1F58"/>
    <w:rsid w:val="00DF466C"/>
    <w:rsid w:val="00E01A6E"/>
    <w:rsid w:val="00E03217"/>
    <w:rsid w:val="00E055A3"/>
    <w:rsid w:val="00E05EDB"/>
    <w:rsid w:val="00E07E9C"/>
    <w:rsid w:val="00E100EA"/>
    <w:rsid w:val="00E11A28"/>
    <w:rsid w:val="00E20EC4"/>
    <w:rsid w:val="00E22750"/>
    <w:rsid w:val="00E22EFA"/>
    <w:rsid w:val="00E239F3"/>
    <w:rsid w:val="00E250BB"/>
    <w:rsid w:val="00E30705"/>
    <w:rsid w:val="00E51826"/>
    <w:rsid w:val="00E5351E"/>
    <w:rsid w:val="00E64158"/>
    <w:rsid w:val="00E65C2A"/>
    <w:rsid w:val="00E67748"/>
    <w:rsid w:val="00E70DE8"/>
    <w:rsid w:val="00E720B5"/>
    <w:rsid w:val="00E764AB"/>
    <w:rsid w:val="00E820A7"/>
    <w:rsid w:val="00E83BC8"/>
    <w:rsid w:val="00E850EA"/>
    <w:rsid w:val="00E909BD"/>
    <w:rsid w:val="00E96829"/>
    <w:rsid w:val="00EA373C"/>
    <w:rsid w:val="00EB2AB7"/>
    <w:rsid w:val="00EB3F38"/>
    <w:rsid w:val="00EC0CD3"/>
    <w:rsid w:val="00EC337A"/>
    <w:rsid w:val="00EE0506"/>
    <w:rsid w:val="00EE2341"/>
    <w:rsid w:val="00EE23B4"/>
    <w:rsid w:val="00EE244A"/>
    <w:rsid w:val="00EE4616"/>
    <w:rsid w:val="00EF20EC"/>
    <w:rsid w:val="00F01E8C"/>
    <w:rsid w:val="00F02BFB"/>
    <w:rsid w:val="00F03D5C"/>
    <w:rsid w:val="00F07DB6"/>
    <w:rsid w:val="00F17CBD"/>
    <w:rsid w:val="00F20658"/>
    <w:rsid w:val="00F222DE"/>
    <w:rsid w:val="00F34F92"/>
    <w:rsid w:val="00F35096"/>
    <w:rsid w:val="00F3720F"/>
    <w:rsid w:val="00F51166"/>
    <w:rsid w:val="00F55583"/>
    <w:rsid w:val="00F55B09"/>
    <w:rsid w:val="00F56478"/>
    <w:rsid w:val="00F64707"/>
    <w:rsid w:val="00F749D4"/>
    <w:rsid w:val="00F82281"/>
    <w:rsid w:val="00F824C9"/>
    <w:rsid w:val="00FA2F56"/>
    <w:rsid w:val="00FA6B2D"/>
    <w:rsid w:val="00FB2C4D"/>
    <w:rsid w:val="00FB2E08"/>
    <w:rsid w:val="00FC012F"/>
    <w:rsid w:val="00FC043D"/>
    <w:rsid w:val="00FD002B"/>
    <w:rsid w:val="00FD0E06"/>
    <w:rsid w:val="00FD3295"/>
    <w:rsid w:val="01FB42C6"/>
    <w:rsid w:val="02E52B28"/>
    <w:rsid w:val="03633F51"/>
    <w:rsid w:val="03D32EAA"/>
    <w:rsid w:val="06905EF8"/>
    <w:rsid w:val="0F1C3C95"/>
    <w:rsid w:val="12F96422"/>
    <w:rsid w:val="154C74B7"/>
    <w:rsid w:val="164963A5"/>
    <w:rsid w:val="16978452"/>
    <w:rsid w:val="195553E9"/>
    <w:rsid w:val="1D6614F4"/>
    <w:rsid w:val="227D1127"/>
    <w:rsid w:val="25ED7CFF"/>
    <w:rsid w:val="2616027D"/>
    <w:rsid w:val="2CE83633"/>
    <w:rsid w:val="2D560907"/>
    <w:rsid w:val="2E452FC9"/>
    <w:rsid w:val="2F2E417E"/>
    <w:rsid w:val="31EE4784"/>
    <w:rsid w:val="36587F7A"/>
    <w:rsid w:val="3B530682"/>
    <w:rsid w:val="3C6F180D"/>
    <w:rsid w:val="3CAA0266"/>
    <w:rsid w:val="40760AAC"/>
    <w:rsid w:val="473C25A1"/>
    <w:rsid w:val="48934F74"/>
    <w:rsid w:val="4C1676C1"/>
    <w:rsid w:val="4D4D1E47"/>
    <w:rsid w:val="571E4E32"/>
    <w:rsid w:val="5CEA8C89"/>
    <w:rsid w:val="5F7F84DF"/>
    <w:rsid w:val="68AC4A92"/>
    <w:rsid w:val="6BF02543"/>
    <w:rsid w:val="6CB64147"/>
    <w:rsid w:val="71C22B21"/>
    <w:rsid w:val="729C4002"/>
    <w:rsid w:val="73271770"/>
    <w:rsid w:val="734C7658"/>
    <w:rsid w:val="73DDE568"/>
    <w:rsid w:val="744051D9"/>
    <w:rsid w:val="7562283E"/>
    <w:rsid w:val="76141AED"/>
    <w:rsid w:val="76B65054"/>
    <w:rsid w:val="771C49A5"/>
    <w:rsid w:val="77B55F05"/>
    <w:rsid w:val="79856CB1"/>
    <w:rsid w:val="7A3D8B25"/>
    <w:rsid w:val="7B3B14E7"/>
    <w:rsid w:val="7BCF8700"/>
    <w:rsid w:val="7C0B4E07"/>
    <w:rsid w:val="7CEB3072"/>
    <w:rsid w:val="7D4B7D80"/>
    <w:rsid w:val="7DE7B626"/>
    <w:rsid w:val="7F5B63E7"/>
    <w:rsid w:val="BFDF9638"/>
    <w:rsid w:val="CCF719FA"/>
    <w:rsid w:val="DEDC1B9D"/>
    <w:rsid w:val="E5FF27C7"/>
    <w:rsid w:val="EABE3C99"/>
    <w:rsid w:val="FAFE6976"/>
    <w:rsid w:val="FD5D02B2"/>
    <w:rsid w:val="FDB3827F"/>
    <w:rsid w:val="FF3F6991"/>
    <w:rsid w:val="FF6F97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99"/>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Char"/>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Char"/>
    <w:basedOn w:val="45"/>
    <w:link w:val="28"/>
    <w:qFormat/>
    <w:uiPriority w:val="0"/>
    <w:rPr>
      <w:rFonts w:ascii="Calibri" w:hAnsi="Calibri" w:eastAsia="宋体" w:cs="Times New Roman"/>
      <w:sz w:val="18"/>
      <w:szCs w:val="18"/>
    </w:rPr>
  </w:style>
  <w:style w:type="character" w:customStyle="1" w:styleId="58">
    <w:name w:val="页脚 Char"/>
    <w:basedOn w:val="45"/>
    <w:link w:val="27"/>
    <w:qFormat/>
    <w:uiPriority w:val="99"/>
    <w:rPr>
      <w:rFonts w:ascii="Calibri" w:hAnsi="Calibri" w:eastAsia="宋体" w:cs="Times New Roman"/>
      <w:sz w:val="18"/>
      <w:szCs w:val="18"/>
    </w:rPr>
  </w:style>
  <w:style w:type="character" w:customStyle="1" w:styleId="59">
    <w:name w:val="标题 3 Char"/>
    <w:basedOn w:val="45"/>
    <w:link w:val="3"/>
    <w:qFormat/>
    <w:uiPriority w:val="0"/>
    <w:rPr>
      <w:rFonts w:ascii="Calibri" w:hAnsi="Calibri" w:eastAsia="宋体" w:cs="Times New Roman"/>
      <w:b/>
      <w:bCs/>
      <w:sz w:val="32"/>
      <w:szCs w:val="32"/>
    </w:rPr>
  </w:style>
  <w:style w:type="character" w:customStyle="1" w:styleId="60">
    <w:name w:val="标题 1 Char"/>
    <w:basedOn w:val="45"/>
    <w:link w:val="2"/>
    <w:qFormat/>
    <w:uiPriority w:val="0"/>
    <w:rPr>
      <w:rFonts w:ascii="宋体" w:hAnsi="宋体" w:eastAsia="黑体" w:cs="Times New Roman"/>
      <w:b/>
      <w:bCs/>
      <w:kern w:val="44"/>
      <w:sz w:val="28"/>
      <w:szCs w:val="44"/>
    </w:rPr>
  </w:style>
  <w:style w:type="character" w:customStyle="1" w:styleId="61">
    <w:name w:val="标题 4 Char"/>
    <w:basedOn w:val="45"/>
    <w:link w:val="5"/>
    <w:qFormat/>
    <w:uiPriority w:val="0"/>
    <w:rPr>
      <w:rFonts w:ascii="Arial" w:hAnsi="Arial" w:eastAsia="黑体" w:cs="Times New Roman"/>
      <w:b/>
      <w:bCs/>
      <w:sz w:val="28"/>
      <w:szCs w:val="28"/>
    </w:rPr>
  </w:style>
  <w:style w:type="character" w:customStyle="1" w:styleId="62">
    <w:name w:val="标题 5 Char"/>
    <w:basedOn w:val="45"/>
    <w:link w:val="6"/>
    <w:qFormat/>
    <w:uiPriority w:val="0"/>
    <w:rPr>
      <w:rFonts w:ascii="Times New Roman" w:hAnsi="Times New Roman" w:eastAsia="宋体" w:cs="Times New Roman"/>
      <w:b/>
      <w:sz w:val="28"/>
      <w:szCs w:val="20"/>
    </w:rPr>
  </w:style>
  <w:style w:type="character" w:customStyle="1" w:styleId="63">
    <w:name w:val="标题 6 Char"/>
    <w:basedOn w:val="45"/>
    <w:link w:val="8"/>
    <w:qFormat/>
    <w:uiPriority w:val="0"/>
    <w:rPr>
      <w:rFonts w:ascii="Arial" w:hAnsi="Arial" w:eastAsia="黑体" w:cs="Times New Roman"/>
      <w:b/>
      <w:sz w:val="24"/>
      <w:szCs w:val="20"/>
    </w:rPr>
  </w:style>
  <w:style w:type="character" w:customStyle="1" w:styleId="64">
    <w:name w:val="标题 7 Char"/>
    <w:basedOn w:val="45"/>
    <w:link w:val="9"/>
    <w:qFormat/>
    <w:uiPriority w:val="0"/>
    <w:rPr>
      <w:rFonts w:ascii="Times New Roman" w:hAnsi="Times New Roman" w:eastAsia="宋体" w:cs="Times New Roman"/>
      <w:b/>
      <w:sz w:val="24"/>
      <w:szCs w:val="20"/>
    </w:rPr>
  </w:style>
  <w:style w:type="character" w:customStyle="1" w:styleId="65">
    <w:name w:val="标题 8 Char"/>
    <w:basedOn w:val="45"/>
    <w:link w:val="10"/>
    <w:qFormat/>
    <w:uiPriority w:val="0"/>
    <w:rPr>
      <w:rFonts w:ascii="Arial" w:hAnsi="Arial" w:eastAsia="黑体" w:cs="Times New Roman"/>
      <w:sz w:val="24"/>
      <w:szCs w:val="20"/>
    </w:rPr>
  </w:style>
  <w:style w:type="character" w:customStyle="1" w:styleId="66">
    <w:name w:val="标题 9 Char"/>
    <w:basedOn w:val="45"/>
    <w:link w:val="11"/>
    <w:qFormat/>
    <w:uiPriority w:val="0"/>
    <w:rPr>
      <w:rFonts w:ascii="Arial" w:hAnsi="Arial" w:eastAsia="黑体" w:cs="Times New Roman"/>
      <w:szCs w:val="20"/>
    </w:rPr>
  </w:style>
  <w:style w:type="character" w:customStyle="1" w:styleId="67">
    <w:name w:val="批注文字 Char"/>
    <w:basedOn w:val="45"/>
    <w:link w:val="16"/>
    <w:semiHidden/>
    <w:qFormat/>
    <w:uiPriority w:val="0"/>
    <w:rPr>
      <w:rFonts w:ascii="Calibri" w:hAnsi="Calibri" w:eastAsia="宋体" w:cs="Times New Roman"/>
      <w:szCs w:val="21"/>
    </w:rPr>
  </w:style>
  <w:style w:type="character" w:customStyle="1" w:styleId="68">
    <w:name w:val="批注主题 Char"/>
    <w:basedOn w:val="67"/>
    <w:link w:val="41"/>
    <w:qFormat/>
    <w:uiPriority w:val="0"/>
    <w:rPr>
      <w:rFonts w:ascii="宋体" w:hAnsi="Times New Roman" w:eastAsia="宋体" w:cs="Times New Roman"/>
      <w:kern w:val="0"/>
      <w:sz w:val="34"/>
      <w:szCs w:val="20"/>
    </w:rPr>
  </w:style>
  <w:style w:type="character" w:customStyle="1" w:styleId="69">
    <w:name w:val="正文文本 Char"/>
    <w:basedOn w:val="45"/>
    <w:link w:val="18"/>
    <w:qFormat/>
    <w:uiPriority w:val="0"/>
    <w:rPr>
      <w:rFonts w:ascii="Calibri" w:hAnsi="Calibri" w:eastAsia="宋体" w:cs="Times New Roman"/>
      <w:szCs w:val="21"/>
    </w:rPr>
  </w:style>
  <w:style w:type="character" w:customStyle="1" w:styleId="70">
    <w:name w:val="正文首行缩进 Char"/>
    <w:basedOn w:val="69"/>
    <w:link w:val="42"/>
    <w:qFormat/>
    <w:uiPriority w:val="0"/>
    <w:rPr>
      <w:rFonts w:ascii="Times New Roman" w:hAnsi="Times New Roman" w:eastAsia="宋体" w:cs="Times New Roman"/>
      <w:b/>
      <w:bCs/>
      <w:szCs w:val="24"/>
    </w:rPr>
  </w:style>
  <w:style w:type="character" w:customStyle="1" w:styleId="71">
    <w:name w:val="文档结构图 Char"/>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Char"/>
    <w:basedOn w:val="45"/>
    <w:link w:val="17"/>
    <w:qFormat/>
    <w:uiPriority w:val="0"/>
    <w:rPr>
      <w:rFonts w:ascii="Times New Roman" w:hAnsi="Times New Roman" w:eastAsia="宋体" w:cs="Times New Roman"/>
      <w:sz w:val="16"/>
      <w:szCs w:val="16"/>
    </w:rPr>
  </w:style>
  <w:style w:type="character" w:customStyle="1" w:styleId="73">
    <w:name w:val="正文文本缩进 Char"/>
    <w:basedOn w:val="45"/>
    <w:link w:val="19"/>
    <w:qFormat/>
    <w:uiPriority w:val="0"/>
    <w:rPr>
      <w:rFonts w:ascii="Times New Roman" w:hAnsi="Times New Roman" w:eastAsia="宋体" w:cs="Times New Roman"/>
      <w:szCs w:val="24"/>
    </w:rPr>
  </w:style>
  <w:style w:type="character" w:customStyle="1" w:styleId="74">
    <w:name w:val="纯文本 Char"/>
    <w:basedOn w:val="45"/>
    <w:link w:val="22"/>
    <w:qFormat/>
    <w:uiPriority w:val="0"/>
    <w:rPr>
      <w:rFonts w:ascii="宋体" w:hAnsi="Courier New" w:eastAsia="宋体" w:cs="Times New Roman"/>
      <w:szCs w:val="20"/>
    </w:rPr>
  </w:style>
  <w:style w:type="character" w:customStyle="1" w:styleId="75">
    <w:name w:val="日期 Char"/>
    <w:basedOn w:val="45"/>
    <w:link w:val="24"/>
    <w:qFormat/>
    <w:uiPriority w:val="0"/>
    <w:rPr>
      <w:rFonts w:ascii="宋体" w:hAnsi="Courier New" w:eastAsia="宋体" w:cs="Times New Roman"/>
      <w:sz w:val="32"/>
      <w:szCs w:val="20"/>
    </w:rPr>
  </w:style>
  <w:style w:type="character" w:customStyle="1" w:styleId="76">
    <w:name w:val="正文文本缩进 2 Char"/>
    <w:basedOn w:val="45"/>
    <w:link w:val="25"/>
    <w:qFormat/>
    <w:uiPriority w:val="0"/>
    <w:rPr>
      <w:rFonts w:ascii="宋体" w:hAnsi="宋体" w:eastAsia="宋体" w:cs="Times New Roman"/>
      <w:szCs w:val="24"/>
    </w:rPr>
  </w:style>
  <w:style w:type="character" w:customStyle="1" w:styleId="77">
    <w:name w:val="批注框文本 Char"/>
    <w:basedOn w:val="45"/>
    <w:link w:val="26"/>
    <w:semiHidden/>
    <w:qFormat/>
    <w:uiPriority w:val="0"/>
    <w:rPr>
      <w:rFonts w:ascii="Times New Roman" w:hAnsi="Times New Roman" w:eastAsia="宋体" w:cs="Times New Roman"/>
      <w:sz w:val="18"/>
      <w:szCs w:val="18"/>
    </w:rPr>
  </w:style>
  <w:style w:type="character" w:customStyle="1" w:styleId="78">
    <w:name w:val="正文文本缩进 3 Char"/>
    <w:basedOn w:val="45"/>
    <w:link w:val="33"/>
    <w:qFormat/>
    <w:uiPriority w:val="0"/>
    <w:rPr>
      <w:rFonts w:ascii="宋体" w:hAnsi="Times New Roman" w:eastAsia="宋体" w:cs="Times New Roman"/>
      <w:b/>
      <w:bCs/>
      <w:sz w:val="24"/>
      <w:szCs w:val="24"/>
    </w:rPr>
  </w:style>
  <w:style w:type="character" w:customStyle="1" w:styleId="79">
    <w:name w:val="正文文本 2 Char"/>
    <w:basedOn w:val="45"/>
    <w:link w:val="36"/>
    <w:qFormat/>
    <w:uiPriority w:val="0"/>
    <w:rPr>
      <w:rFonts w:ascii="Times New Roman" w:hAnsi="Times New Roman" w:eastAsia="宋体" w:cs="Times New Roman"/>
      <w:sz w:val="24"/>
      <w:szCs w:val="24"/>
    </w:rPr>
  </w:style>
  <w:style w:type="character" w:customStyle="1" w:styleId="80">
    <w:name w:val="HTML 预设格式 Char"/>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Char"/>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Char"/>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出段落 Char"/>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11</Pages>
  <Words>811</Words>
  <Characters>4628</Characters>
  <Lines>38</Lines>
  <Paragraphs>10</Paragraphs>
  <TotalTime>19</TotalTime>
  <ScaleCrop>false</ScaleCrop>
  <LinksUpToDate>false</LinksUpToDate>
  <CharactersWithSpaces>5429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2021-10-28T08:36:00Z</dcterms:created>
  <dc:creator>李刚</dc:creator>
  <cp:lastModifiedBy>SZDRC-BYJ</cp:lastModifiedBy>
  <cp:lastPrinted>2019-04-26T01:57:00Z</cp:lastPrinted>
  <dcterms:modified xsi:type="dcterms:W3CDTF">2021-11-09T06:33:23Z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