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深圳市发展和改革委员会20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重大行政决策事项目录</w:t>
      </w:r>
      <w:r>
        <w:rPr>
          <w:rFonts w:hint="eastAsia" w:ascii="宋体" w:hAnsi="宋体"/>
          <w:b/>
          <w:sz w:val="44"/>
          <w:szCs w:val="44"/>
          <w:lang w:eastAsia="zh-CN"/>
        </w:rPr>
        <w:t>（更新）</w:t>
      </w:r>
    </w:p>
    <w:p>
      <w:pPr>
        <w:widowControl/>
        <w:adjustRightInd w:val="0"/>
        <w:snapToGrid w:val="0"/>
        <w:jc w:val="center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 w:bidi="ar-SA"/>
        </w:rPr>
      </w:pPr>
    </w:p>
    <w:bookmarkEnd w:id="0"/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384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384" w:type="dxa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决策事项名称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</w:t>
            </w:r>
            <w:r>
              <w:rPr>
                <w:rFonts w:hint="eastAsia" w:ascii="仿宋_GB2312" w:eastAsia="仿宋_GB2312"/>
                <w:bCs/>
              </w:rPr>
              <w:t>关于进一步加强政府投资项目工程结算、竣工决算工作的实施意见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投资处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制定《深圳市政府和社会资本合作实施细则》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投资处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深圳市公共资源交易管理办法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法规监督处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编制《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深圳市人口与社会事业发展“十四五”规划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  <w:t>社会发展处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制定《深圳市民办义务教育收费管理办法》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  <w:t>价格处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重大行政决策听证事项目录</w:t>
      </w:r>
      <w:r>
        <w:rPr>
          <w:rFonts w:hint="eastAsia" w:ascii="宋体" w:hAnsi="宋体"/>
          <w:b/>
          <w:sz w:val="44"/>
          <w:szCs w:val="44"/>
          <w:lang w:eastAsia="zh-CN"/>
        </w:rPr>
        <w:t>（更新）</w:t>
      </w:r>
    </w:p>
    <w:tbl>
      <w:tblPr>
        <w:tblStyle w:val="3"/>
        <w:tblpPr w:leftFromText="180" w:rightFromText="180" w:vertAnchor="text" w:horzAnchor="page" w:tblpX="1792" w:tblpY="566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449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pStyle w:val="2"/>
              <w:ind w:firstLine="560"/>
              <w:jc w:val="center"/>
              <w:rPr>
                <w:b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决策听证事项名称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1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制定《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深圳市公共资源交易管理办法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法规监督处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2021-10-29T08:07:56Z</dcterms:created>
  <dc:creator>SZDRC-BYJ</dc:creator>
  <cp:lastModifiedBy>SZDRC-BYJ</cp:lastModifiedBy>
  <dcterms:modified xsi:type="dcterms:W3CDTF">2021-10-29T08:08:22Z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