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spacing w:line="360" w:lineRule="auto"/>
        <w:rPr>
          <w:rFonts w:ascii="黑体" w:hAnsi="黑体" w:eastAsia="黑体"/>
          <w:sz w:val="32"/>
          <w:szCs w:val="32"/>
        </w:rPr>
      </w:pPr>
    </w:p>
    <w:p>
      <w:pPr>
        <w:widowControl/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深圳市发展和改革委员会20</w:t>
      </w:r>
      <w:r>
        <w:rPr>
          <w:rFonts w:ascii="宋体" w:hAnsi="宋体"/>
          <w:b/>
          <w:sz w:val="44"/>
          <w:szCs w:val="44"/>
        </w:rPr>
        <w:t>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sz w:val="44"/>
          <w:szCs w:val="44"/>
        </w:rPr>
        <w:t>年度</w:t>
      </w:r>
    </w:p>
    <w:p>
      <w:pPr>
        <w:widowControl/>
        <w:adjustRightInd w:val="0"/>
        <w:snapToGrid w:val="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重大行政决策事项目录</w:t>
      </w:r>
    </w:p>
    <w:bookmarkEnd w:id="0"/>
    <w:p>
      <w:pPr>
        <w:widowControl/>
        <w:adjustRightInd w:val="0"/>
        <w:snapToGrid w:val="0"/>
        <w:jc w:val="center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  <w:lang w:val="en-US" w:eastAsia="zh-CN" w:bidi="ar-SA"/>
        </w:rPr>
      </w:pPr>
    </w:p>
    <w:tbl>
      <w:tblPr>
        <w:tblStyle w:val="3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5384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41" w:type="dxa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5384" w:type="dxa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决策事项名称</w:t>
            </w:r>
          </w:p>
        </w:tc>
        <w:tc>
          <w:tcPr>
            <w:tcW w:w="2415" w:type="dxa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组织承办部门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1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5384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制定《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深圳市政府关于进一步加强政府投资项目工程结算、竣工决算工作的实施意见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15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投资处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2</w:t>
            </w:r>
          </w:p>
        </w:tc>
        <w:tc>
          <w:tcPr>
            <w:tcW w:w="53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制定《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深圳市政府和社会资本合作项目实施办法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1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  <w:lang w:eastAsia="zh-CN"/>
              </w:rPr>
              <w:t>投资处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  <w:lang w:eastAsia="zh-CN"/>
              </w:rPr>
              <w:t>修订</w:t>
            </w:r>
            <w:r>
              <w:rPr>
                <w:rFonts w:hint="eastAsia" w:ascii="仿宋_GB2312" w:eastAsia="仿宋_GB2312" w:cs="宋体"/>
                <w:bCs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  <w:lang w:eastAsia="zh-CN"/>
              </w:rPr>
              <w:t>深圳市产业结构调整优化和产业导向目录</w:t>
            </w:r>
            <w:r>
              <w:rPr>
                <w:rFonts w:hint="eastAsia" w:ascii="仿宋_GB2312" w:eastAsia="仿宋_GB2312" w:cs="宋体"/>
                <w:bCs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1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  <w:lang w:eastAsia="zh-CN"/>
              </w:rPr>
              <w:t>发展规划处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制定</w:t>
            </w:r>
            <w:r>
              <w:rPr>
                <w:rFonts w:hint="eastAsia" w:ascii="仿宋_GB2312" w:eastAsia="仿宋_GB2312" w:cs="宋体"/>
                <w:bCs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深圳市公共资源交易管理办法</w:t>
            </w:r>
            <w:r>
              <w:rPr>
                <w:rFonts w:hint="eastAsia" w:ascii="仿宋_GB2312" w:eastAsia="仿宋_GB2312" w:cs="宋体"/>
                <w:bCs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1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法规监督处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41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编制《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  <w:lang w:eastAsia="zh-CN"/>
              </w:rPr>
              <w:t>深圳市人口与社会事业发展“十四五”规划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1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  <w:lang w:eastAsia="zh-CN"/>
              </w:rPr>
              <w:t>社会发展处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widowControl/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深圳市发展和改革委员会</w:t>
      </w:r>
      <w:r>
        <w:rPr>
          <w:rFonts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sz w:val="44"/>
          <w:szCs w:val="44"/>
        </w:rPr>
        <w:t>年度</w:t>
      </w:r>
    </w:p>
    <w:p>
      <w:pPr>
        <w:widowControl/>
        <w:adjustRightInd w:val="0"/>
        <w:snapToGrid w:val="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重大行政决策听证事项目录</w:t>
      </w:r>
    </w:p>
    <w:tbl>
      <w:tblPr>
        <w:tblStyle w:val="3"/>
        <w:tblpPr w:leftFromText="180" w:rightFromText="180" w:vertAnchor="text" w:horzAnchor="page" w:tblpX="1792" w:tblpY="566"/>
        <w:tblOverlap w:val="never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5449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3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5449" w:type="dxa"/>
            <w:vAlign w:val="center"/>
          </w:tcPr>
          <w:p>
            <w:pPr>
              <w:pStyle w:val="2"/>
              <w:ind w:firstLine="560"/>
              <w:jc w:val="center"/>
              <w:rPr>
                <w:b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决策听证事项名称</w:t>
            </w:r>
          </w:p>
        </w:tc>
        <w:tc>
          <w:tcPr>
            <w:tcW w:w="2448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组织承办部门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2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1</w:t>
            </w:r>
          </w:p>
        </w:tc>
        <w:tc>
          <w:tcPr>
            <w:tcW w:w="544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制定《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深圳市公共资源交易管理办法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4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法规监督处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3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2021-03-26T10:09:55Z</dcterms:created>
  <dc:creator>SZDRC-BYJ</dc:creator>
  <cp:lastModifiedBy>SZDRC-BYJ</cp:lastModifiedBy>
  <dcterms:modified xsi:type="dcterms:W3CDTF">2021-03-26T10:10:30Z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