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w:t>
      </w:r>
    </w:p>
    <w:p>
      <w:pPr>
        <w:ind w:firstLine="0"/>
        <w:jc w:val="center"/>
        <w:rPr>
          <w:rFonts w:ascii="仿宋_GB2312" w:eastAsia="仿宋_GB2312"/>
          <w:sz w:val="32"/>
          <w:szCs w:val="32"/>
        </w:rPr>
      </w:pPr>
      <w:bookmarkStart w:id="0" w:name="_GoBack"/>
      <w:r>
        <w:rPr>
          <w:rFonts w:hint="eastAsia" w:ascii="宋体" w:hAnsi="宋体"/>
          <w:b/>
          <w:sz w:val="44"/>
          <w:szCs w:val="44"/>
        </w:rPr>
        <w:t>规范性文件清理目录</w:t>
      </w:r>
    </w:p>
    <w:bookmarkEnd w:id="0"/>
    <w:p>
      <w:pPr>
        <w:jc w:val="center"/>
        <w:rPr>
          <w:rFonts w:ascii="宋体" w:hAnsi="宋体"/>
          <w:b w:val="0"/>
          <w:sz w:val="32"/>
          <w:szCs w:val="32"/>
        </w:rPr>
      </w:pPr>
    </w:p>
    <w:p>
      <w:pPr>
        <w:snapToGrid w:val="0"/>
        <w:rPr>
          <w:rFonts w:ascii="黑体" w:hAnsi="黑体" w:eastAsia="黑体" w:cs="黑体"/>
          <w:sz w:val="32"/>
          <w:szCs w:val="32"/>
          <w:lang w:val="zh-CN"/>
        </w:rPr>
      </w:pPr>
      <w:r>
        <w:rPr>
          <w:rFonts w:hint="eastAsia" w:ascii="黑体" w:hAnsi="黑体" w:eastAsia="黑体" w:cs="黑体"/>
          <w:sz w:val="32"/>
          <w:szCs w:val="32"/>
          <w:lang w:val="zh-CN"/>
        </w:rPr>
        <w:t>一、拟保留的规范性文件目录</w:t>
      </w:r>
    </w:p>
    <w:tbl>
      <w:tblPr>
        <w:tblStyle w:val="3"/>
        <w:tblpPr w:leftFromText="180" w:rightFromText="180" w:vertAnchor="text" w:horzAnchor="page" w:tblpXSpec="center" w:tblpY="259"/>
        <w:tblOverlap w:val="never"/>
        <w:tblW w:w="13761" w:type="dxa"/>
        <w:jc w:val="center"/>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4699"/>
        <w:gridCol w:w="2158"/>
        <w:gridCol w:w="2021"/>
        <w:gridCol w:w="4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blHeader/>
          <w:jc w:val="center"/>
        </w:trPr>
        <w:tc>
          <w:tcPr>
            <w:tcW w:w="529" w:type="dxa"/>
            <w:vAlign w:val="center"/>
          </w:tcPr>
          <w:p>
            <w:pPr>
              <w:adjustRightInd w:val="0"/>
              <w:snapToGrid w:val="0"/>
              <w:jc w:val="center"/>
              <w:rPr>
                <w:rFonts w:ascii="宋体" w:hAnsi="宋体"/>
                <w:b/>
                <w:szCs w:val="21"/>
              </w:rPr>
            </w:pPr>
            <w:r>
              <w:rPr>
                <w:rFonts w:hint="eastAsia" w:ascii="宋体" w:hAnsi="宋体"/>
                <w:b/>
                <w:szCs w:val="21"/>
              </w:rPr>
              <w:t>序号</w:t>
            </w:r>
          </w:p>
        </w:tc>
        <w:tc>
          <w:tcPr>
            <w:tcW w:w="4699" w:type="dxa"/>
            <w:vAlign w:val="center"/>
          </w:tcPr>
          <w:p>
            <w:pPr>
              <w:adjustRightInd w:val="0"/>
              <w:snapToGrid w:val="0"/>
              <w:jc w:val="center"/>
              <w:rPr>
                <w:rFonts w:ascii="宋体" w:hAnsi="宋体"/>
                <w:b/>
                <w:szCs w:val="21"/>
              </w:rPr>
            </w:pPr>
            <w:r>
              <w:rPr>
                <w:rFonts w:hint="eastAsia" w:ascii="宋体" w:hAnsi="宋体"/>
                <w:b/>
                <w:szCs w:val="21"/>
              </w:rPr>
              <w:t>文件名称</w:t>
            </w:r>
          </w:p>
        </w:tc>
        <w:tc>
          <w:tcPr>
            <w:tcW w:w="2158" w:type="dxa"/>
            <w:vAlign w:val="center"/>
          </w:tcPr>
          <w:p>
            <w:pPr>
              <w:adjustRightInd w:val="0"/>
              <w:snapToGrid w:val="0"/>
              <w:jc w:val="center"/>
              <w:rPr>
                <w:rFonts w:ascii="宋体" w:hAnsi="宋体"/>
                <w:b/>
                <w:szCs w:val="21"/>
              </w:rPr>
            </w:pPr>
            <w:r>
              <w:rPr>
                <w:rFonts w:hint="eastAsia" w:ascii="宋体" w:hAnsi="宋体"/>
                <w:b/>
                <w:szCs w:val="21"/>
              </w:rPr>
              <w:t>实施部门</w:t>
            </w:r>
          </w:p>
        </w:tc>
        <w:tc>
          <w:tcPr>
            <w:tcW w:w="2021" w:type="dxa"/>
            <w:vAlign w:val="center"/>
          </w:tcPr>
          <w:p>
            <w:pPr>
              <w:adjustRightInd w:val="0"/>
              <w:snapToGrid w:val="0"/>
              <w:jc w:val="center"/>
              <w:rPr>
                <w:rFonts w:asciiTheme="minorEastAsia" w:hAnsiTheme="minorEastAsia" w:cstheme="minorEastAsia"/>
                <w:b/>
                <w:szCs w:val="21"/>
              </w:rPr>
            </w:pPr>
            <w:r>
              <w:rPr>
                <w:rFonts w:hint="eastAsia" w:asciiTheme="minorEastAsia" w:hAnsiTheme="minorEastAsia" w:cstheme="minorEastAsia"/>
                <w:b/>
                <w:szCs w:val="21"/>
              </w:rPr>
              <w:t>实施时间</w:t>
            </w:r>
          </w:p>
        </w:tc>
        <w:tc>
          <w:tcPr>
            <w:tcW w:w="4354" w:type="dxa"/>
            <w:vAlign w:val="center"/>
          </w:tcPr>
          <w:p>
            <w:pPr>
              <w:adjustRightInd w:val="0"/>
              <w:snapToGrid w:val="0"/>
              <w:jc w:val="center"/>
              <w:rPr>
                <w:rFonts w:ascii="宋体" w:hAnsi="宋体"/>
                <w:b/>
                <w:szCs w:val="21"/>
              </w:rPr>
            </w:pPr>
            <w:r>
              <w:rPr>
                <w:rFonts w:hint="eastAsia" w:ascii="宋体" w:hAnsi="宋体"/>
                <w:b/>
                <w:szCs w:val="21"/>
              </w:rPr>
              <w:t>保留理由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6" w:hRule="atLeast"/>
          <w:jc w:val="center"/>
        </w:trPr>
        <w:tc>
          <w:tcPr>
            <w:tcW w:w="529" w:type="dxa"/>
            <w:vAlign w:val="center"/>
          </w:tcPr>
          <w:p>
            <w:pPr>
              <w:adjustRightInd w:val="0"/>
              <w:snapToGrid w:val="0"/>
              <w:rPr>
                <w:rFonts w:ascii="宋体" w:hAnsi="宋体"/>
                <w:szCs w:val="21"/>
                <w:lang w:val="zh-CN"/>
              </w:rPr>
            </w:pPr>
            <w:r>
              <w:rPr>
                <w:rFonts w:hint="eastAsia" w:ascii="宋体" w:hAnsi="宋体"/>
                <w:szCs w:val="21"/>
              </w:rPr>
              <w:t>1</w:t>
            </w:r>
          </w:p>
        </w:tc>
        <w:tc>
          <w:tcPr>
            <w:tcW w:w="4699" w:type="dxa"/>
            <w:vAlign w:val="center"/>
          </w:tcPr>
          <w:p>
            <w:pPr>
              <w:adjustRightInd w:val="0"/>
              <w:snapToGrid w:val="0"/>
              <w:rPr>
                <w:rFonts w:ascii="宋体" w:hAnsi="宋体"/>
                <w:szCs w:val="21"/>
              </w:rPr>
            </w:pPr>
            <w:r>
              <w:rPr>
                <w:rFonts w:ascii="宋体" w:hAnsi="宋体"/>
                <w:szCs w:val="21"/>
              </w:rPr>
              <w:fldChar w:fldCharType="begin"/>
            </w:r>
            <w:r>
              <w:rPr>
                <w:rFonts w:ascii="宋体" w:hAnsi="宋体"/>
                <w:szCs w:val="21"/>
              </w:rPr>
              <w:instrText xml:space="preserve"> HYPERLINK "http://fgw.sz.gov.cn/zwgk/zcfg/gfxwjcx/201910/t20191015_18324069.htm" \t "_blank" </w:instrText>
            </w:r>
            <w:r>
              <w:rPr>
                <w:rFonts w:ascii="宋体" w:hAnsi="宋体"/>
                <w:szCs w:val="21"/>
              </w:rPr>
              <w:fldChar w:fldCharType="separate"/>
            </w:r>
            <w:r>
              <w:rPr>
                <w:rStyle w:val="2"/>
                <w:rFonts w:hint="eastAsia" w:ascii="宋体" w:hAnsi="宋体"/>
              </w:rPr>
              <w:t>深圳市发展和改革委员会关于印发《深圳市发展和改革委员会专项资金新兴产业扶持计划项目验收管理办法》的通知</w:t>
            </w:r>
            <w:r>
              <w:rPr>
                <w:rFonts w:ascii="宋体" w:hAnsi="宋体"/>
                <w:szCs w:val="21"/>
              </w:rPr>
              <w:fldChar w:fldCharType="end"/>
            </w:r>
            <w:r>
              <w:rPr>
                <w:rFonts w:hint="eastAsia" w:ascii="宋体" w:hAnsi="宋体"/>
                <w:szCs w:val="21"/>
              </w:rPr>
              <w:t>（深发改</w:t>
            </w:r>
            <w:r>
              <w:rPr>
                <w:rFonts w:hint="eastAsia" w:ascii="宋体" w:hAnsi="宋体" w:eastAsiaTheme="minorEastAsia"/>
                <w:color w:val="auto"/>
                <w:szCs w:val="21"/>
              </w:rPr>
              <w:t>规〔</w:t>
            </w:r>
            <w:r>
              <w:rPr>
                <w:rFonts w:ascii="宋体" w:hAnsi="宋体" w:eastAsiaTheme="minorEastAsia"/>
                <w:color w:val="auto"/>
                <w:szCs w:val="21"/>
              </w:rPr>
              <w:t>2019〕3号</w:t>
            </w:r>
            <w:r>
              <w:rPr>
                <w:rFonts w:hint="eastAsia" w:ascii="宋体" w:hAnsi="宋体"/>
                <w:szCs w:val="21"/>
              </w:rPr>
              <w:t>）</w:t>
            </w:r>
          </w:p>
        </w:tc>
        <w:tc>
          <w:tcPr>
            <w:tcW w:w="2158" w:type="dxa"/>
            <w:vAlign w:val="center"/>
          </w:tcPr>
          <w:p>
            <w:pPr>
              <w:adjustRightInd w:val="0"/>
              <w:snapToGrid w:val="0"/>
              <w:rPr>
                <w:rFonts w:ascii="宋体" w:hAnsi="宋体"/>
                <w:szCs w:val="21"/>
              </w:rPr>
            </w:pPr>
            <w:r>
              <w:rPr>
                <w:rFonts w:hint="eastAsia" w:ascii="宋体" w:hAnsi="宋体"/>
                <w:szCs w:val="21"/>
              </w:rPr>
              <w:t>深圳市发展和改革委员会</w:t>
            </w:r>
          </w:p>
        </w:tc>
        <w:tc>
          <w:tcPr>
            <w:tcW w:w="2021" w:type="dxa"/>
            <w:vAlign w:val="center"/>
          </w:tcPr>
          <w:p>
            <w:pPr>
              <w:adjustRightInd w:val="0"/>
              <w:snapToGrid w:val="0"/>
              <w:rPr>
                <w:rFonts w:ascii="宋体" w:hAnsi="宋体" w:cstheme="minorBidi"/>
                <w:szCs w:val="21"/>
              </w:rPr>
            </w:pPr>
            <w:r>
              <w:rPr>
                <w:rFonts w:ascii="宋体" w:hAnsi="宋体" w:cstheme="minorBidi"/>
                <w:szCs w:val="21"/>
              </w:rPr>
              <w:t>2019年10月10日</w:t>
            </w:r>
          </w:p>
        </w:tc>
        <w:tc>
          <w:tcPr>
            <w:tcW w:w="4354" w:type="dxa"/>
            <w:vAlign w:val="center"/>
          </w:tcPr>
          <w:p>
            <w:pPr>
              <w:adjustRightInd w:val="0"/>
              <w:snapToGrid w:val="0"/>
              <w:rPr>
                <w:rFonts w:ascii="宋体" w:hAnsi="宋体"/>
                <w:szCs w:val="21"/>
              </w:rPr>
            </w:pPr>
            <w:r>
              <w:rPr>
                <w:rFonts w:hint="eastAsia" w:ascii="宋体" w:hAnsi="宋体"/>
                <w:szCs w:val="21"/>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4" w:hRule="atLeast"/>
          <w:jc w:val="center"/>
        </w:trPr>
        <w:tc>
          <w:tcPr>
            <w:tcW w:w="529" w:type="dxa"/>
            <w:vAlign w:val="center"/>
          </w:tcPr>
          <w:p>
            <w:pPr>
              <w:adjustRightInd w:val="0"/>
              <w:snapToGrid w:val="0"/>
              <w:rPr>
                <w:rFonts w:ascii="宋体" w:hAnsi="宋体"/>
                <w:szCs w:val="21"/>
              </w:rPr>
            </w:pPr>
            <w:r>
              <w:rPr>
                <w:rFonts w:hint="eastAsia" w:ascii="宋体" w:hAnsi="宋体"/>
                <w:szCs w:val="21"/>
              </w:rPr>
              <w:t>2</w:t>
            </w:r>
          </w:p>
        </w:tc>
        <w:tc>
          <w:tcPr>
            <w:tcW w:w="4699" w:type="dxa"/>
            <w:vAlign w:val="center"/>
          </w:tcPr>
          <w:p>
            <w:pPr>
              <w:adjustRightInd w:val="0"/>
              <w:snapToGrid w:val="0"/>
              <w:rPr>
                <w:rFonts w:ascii="宋体" w:hAnsi="宋体"/>
                <w:szCs w:val="21"/>
              </w:rPr>
            </w:pPr>
            <w:r>
              <w:rPr>
                <w:rFonts w:ascii="宋体" w:hAnsi="宋体" w:eastAsiaTheme="minorEastAsia"/>
                <w:color w:val="auto"/>
                <w:szCs w:val="21"/>
              </w:rPr>
              <w:fldChar w:fldCharType="begin"/>
            </w:r>
            <w:r>
              <w:rPr>
                <w:rFonts w:ascii="宋体" w:hAnsi="宋体" w:eastAsiaTheme="minorEastAsia"/>
                <w:color w:val="auto"/>
                <w:szCs w:val="21"/>
              </w:rPr>
              <w:instrText xml:space="preserve"> HYPERLINK "http://fgw.sz.gov.cn/zwgk/zcfg/gfxwjcx/201910/t20191015_18323929.htm" \t "_blank" </w:instrText>
            </w:r>
            <w:r>
              <w:rPr>
                <w:rFonts w:ascii="宋体" w:hAnsi="宋体" w:eastAsiaTheme="minorEastAsia"/>
                <w:color w:val="auto"/>
                <w:szCs w:val="21"/>
              </w:rPr>
              <w:fldChar w:fldCharType="separate"/>
            </w:r>
            <w:r>
              <w:rPr>
                <w:rStyle w:val="2"/>
                <w:rFonts w:hint="eastAsia" w:ascii="宋体" w:hAnsi="宋体"/>
              </w:rPr>
              <w:t>深圳市发展和改革委员会</w:t>
            </w:r>
            <w:r>
              <w:rPr>
                <w:rStyle w:val="2"/>
                <w:rFonts w:ascii="宋体" w:hAnsi="宋体"/>
              </w:rPr>
              <w:t xml:space="preserve"> </w:t>
            </w:r>
            <w:r>
              <w:rPr>
                <w:rStyle w:val="2"/>
                <w:rFonts w:hint="eastAsia" w:ascii="宋体" w:hAnsi="宋体"/>
              </w:rPr>
              <w:t>深圳市财政局关于印发《深圳市发展和改革委员会专项资金管理办法》的通知</w:t>
            </w:r>
            <w:r>
              <w:rPr>
                <w:rFonts w:ascii="宋体" w:hAnsi="宋体" w:eastAsiaTheme="minorEastAsia"/>
                <w:color w:val="auto"/>
                <w:szCs w:val="21"/>
              </w:rPr>
              <w:fldChar w:fldCharType="end"/>
            </w:r>
            <w:r>
              <w:rPr>
                <w:rFonts w:hint="eastAsia" w:ascii="宋体" w:hAnsi="宋体"/>
                <w:szCs w:val="21"/>
              </w:rPr>
              <w:t>（深发改</w:t>
            </w:r>
            <w:r>
              <w:rPr>
                <w:rFonts w:hint="eastAsia" w:ascii="宋体" w:hAnsi="宋体" w:eastAsiaTheme="minorEastAsia"/>
                <w:color w:val="auto"/>
                <w:szCs w:val="21"/>
              </w:rPr>
              <w:t>规〔</w:t>
            </w:r>
            <w:r>
              <w:rPr>
                <w:rFonts w:ascii="宋体" w:hAnsi="宋体" w:eastAsiaTheme="minorEastAsia"/>
                <w:color w:val="auto"/>
                <w:szCs w:val="21"/>
              </w:rPr>
              <w:t>2019〕2</w:t>
            </w:r>
            <w:r>
              <w:rPr>
                <w:rFonts w:hint="eastAsia" w:ascii="宋体" w:hAnsi="宋体" w:eastAsiaTheme="minorEastAsia"/>
                <w:color w:val="auto"/>
                <w:szCs w:val="21"/>
              </w:rPr>
              <w:t>号）</w:t>
            </w:r>
          </w:p>
        </w:tc>
        <w:tc>
          <w:tcPr>
            <w:tcW w:w="2158" w:type="dxa"/>
            <w:vAlign w:val="center"/>
          </w:tcPr>
          <w:p>
            <w:pPr>
              <w:adjustRightInd w:val="0"/>
              <w:snapToGrid w:val="0"/>
              <w:rPr>
                <w:rFonts w:ascii="宋体" w:hAnsi="宋体"/>
                <w:szCs w:val="21"/>
              </w:rPr>
            </w:pPr>
            <w:r>
              <w:rPr>
                <w:rFonts w:hint="eastAsia" w:ascii="宋体" w:hAnsi="宋体"/>
                <w:szCs w:val="21"/>
              </w:rPr>
              <w:t>深圳市发展和改革委员会</w:t>
            </w:r>
          </w:p>
        </w:tc>
        <w:tc>
          <w:tcPr>
            <w:tcW w:w="2021" w:type="dxa"/>
            <w:vAlign w:val="center"/>
          </w:tcPr>
          <w:p>
            <w:pPr>
              <w:adjustRightInd w:val="0"/>
              <w:snapToGrid w:val="0"/>
              <w:rPr>
                <w:rFonts w:ascii="宋体" w:hAnsi="宋体" w:cstheme="minorBidi"/>
                <w:szCs w:val="21"/>
              </w:rPr>
            </w:pPr>
            <w:r>
              <w:rPr>
                <w:rFonts w:hint="eastAsia" w:ascii="宋体" w:hAnsi="宋体"/>
                <w:szCs w:val="21"/>
              </w:rPr>
              <w:t>2019年7月22日</w:t>
            </w:r>
          </w:p>
        </w:tc>
        <w:tc>
          <w:tcPr>
            <w:tcW w:w="4354" w:type="dxa"/>
            <w:vAlign w:val="center"/>
          </w:tcPr>
          <w:p>
            <w:pPr>
              <w:adjustRightInd w:val="0"/>
              <w:snapToGrid w:val="0"/>
              <w:rPr>
                <w:rFonts w:ascii="宋体" w:hAnsi="宋体"/>
                <w:szCs w:val="21"/>
              </w:rPr>
            </w:pPr>
            <w:r>
              <w:rPr>
                <w:rFonts w:hint="eastAsia" w:ascii="宋体" w:hAnsi="宋体"/>
                <w:szCs w:val="21"/>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jc w:val="center"/>
        </w:trPr>
        <w:tc>
          <w:tcPr>
            <w:tcW w:w="529" w:type="dxa"/>
            <w:vAlign w:val="center"/>
          </w:tcPr>
          <w:p>
            <w:pPr>
              <w:adjustRightInd w:val="0"/>
              <w:snapToGrid w:val="0"/>
              <w:rPr>
                <w:rFonts w:ascii="宋体" w:hAnsi="宋体"/>
                <w:szCs w:val="21"/>
              </w:rPr>
            </w:pPr>
            <w:r>
              <w:rPr>
                <w:rFonts w:hint="eastAsia" w:ascii="宋体" w:hAnsi="宋体"/>
                <w:szCs w:val="21"/>
              </w:rPr>
              <w:t>3</w:t>
            </w:r>
          </w:p>
        </w:tc>
        <w:tc>
          <w:tcPr>
            <w:tcW w:w="4699" w:type="dxa"/>
            <w:vAlign w:val="center"/>
          </w:tcPr>
          <w:p>
            <w:pPr>
              <w:adjustRightInd w:val="0"/>
              <w:snapToGrid w:val="0"/>
              <w:rPr>
                <w:rFonts w:ascii="宋体" w:hAnsi="宋体"/>
                <w:szCs w:val="21"/>
              </w:rPr>
            </w:pPr>
            <w:r>
              <w:rPr>
                <w:rFonts w:ascii="宋体" w:hAnsi="宋体" w:eastAsiaTheme="minorEastAsia"/>
                <w:color w:val="auto"/>
                <w:szCs w:val="21"/>
              </w:rPr>
              <w:fldChar w:fldCharType="begin"/>
            </w:r>
            <w:r>
              <w:rPr>
                <w:rFonts w:ascii="宋体" w:hAnsi="宋体" w:eastAsiaTheme="minorEastAsia"/>
                <w:color w:val="auto"/>
                <w:szCs w:val="21"/>
              </w:rPr>
              <w:instrText xml:space="preserve"> HYPERLINK "http://fgw.sz.gov.cn/zwgk/zcfg/gfxwjcx/201905/t20190531_17858055.htm" \t "_blank" </w:instrText>
            </w:r>
            <w:r>
              <w:rPr>
                <w:rFonts w:ascii="宋体" w:hAnsi="宋体" w:eastAsiaTheme="minorEastAsia"/>
                <w:color w:val="auto"/>
                <w:szCs w:val="21"/>
              </w:rPr>
              <w:fldChar w:fldCharType="separate"/>
            </w:r>
            <w:r>
              <w:rPr>
                <w:rStyle w:val="2"/>
                <w:rFonts w:hint="eastAsia" w:ascii="宋体" w:hAnsi="宋体"/>
              </w:rPr>
              <w:t>深圳市发展和改革委员会关于印发《深圳市发展和改革委员会战略性新兴产业发展专项资金扶持计划操作规程》的通知</w:t>
            </w:r>
            <w:r>
              <w:rPr>
                <w:rFonts w:ascii="宋体" w:hAnsi="宋体" w:eastAsiaTheme="minorEastAsia"/>
                <w:color w:val="auto"/>
                <w:szCs w:val="21"/>
              </w:rPr>
              <w:fldChar w:fldCharType="end"/>
            </w:r>
            <w:r>
              <w:rPr>
                <w:rFonts w:hint="eastAsia" w:ascii="宋体" w:hAnsi="宋体"/>
                <w:szCs w:val="21"/>
              </w:rPr>
              <w:t>（深发改</w:t>
            </w:r>
            <w:r>
              <w:rPr>
                <w:rFonts w:hint="eastAsia" w:ascii="宋体" w:hAnsi="宋体" w:eastAsiaTheme="minorEastAsia"/>
                <w:color w:val="auto"/>
                <w:szCs w:val="21"/>
              </w:rPr>
              <w:t>规〔</w:t>
            </w:r>
            <w:r>
              <w:rPr>
                <w:rFonts w:ascii="宋体" w:hAnsi="宋体" w:eastAsiaTheme="minorEastAsia"/>
                <w:color w:val="auto"/>
                <w:szCs w:val="21"/>
              </w:rPr>
              <w:t>2019〕1</w:t>
            </w:r>
            <w:r>
              <w:rPr>
                <w:rFonts w:hint="eastAsia" w:ascii="宋体" w:hAnsi="宋体" w:eastAsiaTheme="minorEastAsia"/>
                <w:color w:val="auto"/>
                <w:szCs w:val="21"/>
              </w:rPr>
              <w:t>号）</w:t>
            </w:r>
          </w:p>
        </w:tc>
        <w:tc>
          <w:tcPr>
            <w:tcW w:w="2158" w:type="dxa"/>
            <w:vAlign w:val="center"/>
          </w:tcPr>
          <w:p>
            <w:pPr>
              <w:adjustRightInd w:val="0"/>
              <w:snapToGrid w:val="0"/>
              <w:rPr>
                <w:rFonts w:ascii="宋体" w:hAnsi="宋体"/>
                <w:szCs w:val="21"/>
              </w:rPr>
            </w:pPr>
            <w:r>
              <w:rPr>
                <w:rFonts w:hint="eastAsia" w:ascii="宋体" w:hAnsi="宋体"/>
                <w:szCs w:val="21"/>
              </w:rPr>
              <w:t>深圳市发展和改革委员会</w:t>
            </w:r>
          </w:p>
        </w:tc>
        <w:tc>
          <w:tcPr>
            <w:tcW w:w="2021" w:type="dxa"/>
            <w:vAlign w:val="center"/>
          </w:tcPr>
          <w:p>
            <w:pPr>
              <w:adjustRightInd w:val="0"/>
              <w:snapToGrid w:val="0"/>
              <w:rPr>
                <w:rFonts w:ascii="宋体" w:hAnsi="宋体" w:cstheme="minorBidi"/>
                <w:szCs w:val="21"/>
              </w:rPr>
            </w:pPr>
            <w:r>
              <w:rPr>
                <w:rFonts w:ascii="宋体" w:hAnsi="宋体" w:eastAsiaTheme="minorEastAsia"/>
                <w:color w:val="auto"/>
                <w:szCs w:val="21"/>
                <w:shd w:val="clear" w:color="auto" w:fill="auto"/>
              </w:rPr>
              <w:t>2019年2月15日</w:t>
            </w:r>
          </w:p>
        </w:tc>
        <w:tc>
          <w:tcPr>
            <w:tcW w:w="4354" w:type="dxa"/>
            <w:vAlign w:val="center"/>
          </w:tcPr>
          <w:p>
            <w:pPr>
              <w:adjustRightInd w:val="0"/>
              <w:snapToGrid w:val="0"/>
              <w:rPr>
                <w:rFonts w:ascii="宋体" w:hAnsi="宋体"/>
                <w:szCs w:val="21"/>
              </w:rPr>
            </w:pPr>
            <w:r>
              <w:rPr>
                <w:rFonts w:hint="eastAsia" w:ascii="宋体" w:hAnsi="宋体"/>
                <w:szCs w:val="21"/>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jc w:val="center"/>
        </w:trPr>
        <w:tc>
          <w:tcPr>
            <w:tcW w:w="529" w:type="dxa"/>
            <w:vAlign w:val="center"/>
          </w:tcPr>
          <w:p>
            <w:pPr>
              <w:adjustRightInd w:val="0"/>
              <w:snapToGrid w:val="0"/>
              <w:rPr>
                <w:rFonts w:ascii="宋体" w:hAnsi="宋体"/>
                <w:szCs w:val="21"/>
              </w:rPr>
            </w:pPr>
            <w:r>
              <w:rPr>
                <w:rFonts w:hint="eastAsia" w:ascii="宋体" w:hAnsi="宋体"/>
                <w:szCs w:val="21"/>
              </w:rPr>
              <w:t>4</w:t>
            </w:r>
          </w:p>
        </w:tc>
        <w:tc>
          <w:tcPr>
            <w:tcW w:w="4699" w:type="dxa"/>
            <w:vAlign w:val="center"/>
          </w:tcPr>
          <w:p>
            <w:pPr>
              <w:adjustRightInd w:val="0"/>
              <w:snapToGrid w:val="0"/>
              <w:rPr>
                <w:rFonts w:ascii="宋体" w:hAnsi="宋体"/>
                <w:szCs w:val="21"/>
              </w:rPr>
            </w:pPr>
            <w:r>
              <w:rPr>
                <w:rFonts w:hint="eastAsia" w:ascii="宋体" w:hAnsi="宋体"/>
                <w:szCs w:val="21"/>
                <w:lang w:val="zh-CN"/>
              </w:rPr>
              <w:t>深圳市发展和改革委员会 深圳市交通运输委员会 深圳市财政委员会关于印发《深圳市纯电动泥头车超额减排奖励实施办法》的通知</w:t>
            </w:r>
            <w:r>
              <w:rPr>
                <w:rFonts w:hint="eastAsia" w:ascii="宋体" w:hAnsi="宋体"/>
                <w:szCs w:val="21"/>
              </w:rPr>
              <w:t>（深发改规﹝2018﹞4号）</w:t>
            </w:r>
          </w:p>
        </w:tc>
        <w:tc>
          <w:tcPr>
            <w:tcW w:w="2158" w:type="dxa"/>
            <w:vAlign w:val="center"/>
          </w:tcPr>
          <w:p>
            <w:pPr>
              <w:adjustRightInd w:val="0"/>
              <w:snapToGrid w:val="0"/>
              <w:rPr>
                <w:rFonts w:ascii="宋体" w:hAnsi="宋体"/>
                <w:szCs w:val="21"/>
              </w:rPr>
            </w:pPr>
            <w:r>
              <w:rPr>
                <w:rFonts w:hint="eastAsia" w:ascii="宋体" w:hAnsi="宋体"/>
                <w:szCs w:val="21"/>
              </w:rPr>
              <w:t>深圳市发展和改革委员会</w:t>
            </w:r>
          </w:p>
        </w:tc>
        <w:tc>
          <w:tcPr>
            <w:tcW w:w="2021" w:type="dxa"/>
            <w:vAlign w:val="center"/>
          </w:tcPr>
          <w:p>
            <w:pPr>
              <w:adjustRightInd w:val="0"/>
              <w:snapToGrid w:val="0"/>
              <w:rPr>
                <w:rFonts w:asciiTheme="minorEastAsia" w:hAnsiTheme="minorEastAsia" w:cstheme="minorEastAsia"/>
                <w:szCs w:val="21"/>
              </w:rPr>
            </w:pPr>
            <w:r>
              <w:rPr>
                <w:rFonts w:hint="eastAsia" w:asciiTheme="minorEastAsia" w:hAnsiTheme="minorEastAsia" w:cstheme="minorEastAsia"/>
                <w:szCs w:val="21"/>
              </w:rPr>
              <w:t>2018年11月14日</w:t>
            </w:r>
          </w:p>
        </w:tc>
        <w:tc>
          <w:tcPr>
            <w:tcW w:w="4354" w:type="dxa"/>
            <w:vAlign w:val="center"/>
          </w:tcPr>
          <w:p>
            <w:pPr>
              <w:adjustRightInd w:val="0"/>
              <w:snapToGrid w:val="0"/>
              <w:rPr>
                <w:rFonts w:ascii="宋体" w:hAnsi="宋体"/>
                <w:szCs w:val="21"/>
              </w:rPr>
            </w:pPr>
            <w:r>
              <w:rPr>
                <w:rFonts w:hint="eastAsia" w:ascii="宋体" w:hAnsi="宋体"/>
                <w:szCs w:val="21"/>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5" w:hRule="atLeast"/>
          <w:jc w:val="center"/>
        </w:trPr>
        <w:tc>
          <w:tcPr>
            <w:tcW w:w="529" w:type="dxa"/>
            <w:vAlign w:val="center"/>
          </w:tcPr>
          <w:p>
            <w:pPr>
              <w:adjustRightInd w:val="0"/>
              <w:snapToGrid w:val="0"/>
              <w:rPr>
                <w:rFonts w:ascii="宋体" w:hAnsi="宋体"/>
                <w:szCs w:val="21"/>
              </w:rPr>
            </w:pPr>
            <w:r>
              <w:rPr>
                <w:rFonts w:hint="eastAsia" w:ascii="宋体" w:hAnsi="宋体"/>
                <w:szCs w:val="21"/>
                <w:lang w:val="en-US" w:eastAsia="zh-CN"/>
              </w:rPr>
              <w:t>5</w:t>
            </w:r>
          </w:p>
        </w:tc>
        <w:tc>
          <w:tcPr>
            <w:tcW w:w="4699" w:type="dxa"/>
            <w:vAlign w:val="center"/>
          </w:tcPr>
          <w:p>
            <w:pPr>
              <w:adjustRightInd w:val="0"/>
              <w:snapToGrid w:val="0"/>
              <w:rPr>
                <w:rFonts w:ascii="宋体" w:hAnsi="宋体"/>
                <w:szCs w:val="21"/>
              </w:rPr>
            </w:pPr>
            <w:r>
              <w:rPr>
                <w:rFonts w:hint="eastAsia" w:ascii="宋体" w:hAnsi="宋体"/>
                <w:szCs w:val="21"/>
                <w:lang w:val="zh-CN"/>
              </w:rPr>
              <w:t>深圳市发展和改革委员会关于印发《深圳市新能源汽车充电设施管理暂行办法》的通知（深发改规﹝2018﹞3号）</w:t>
            </w:r>
          </w:p>
        </w:tc>
        <w:tc>
          <w:tcPr>
            <w:tcW w:w="2158" w:type="dxa"/>
            <w:vAlign w:val="center"/>
          </w:tcPr>
          <w:p>
            <w:pPr>
              <w:adjustRightInd w:val="0"/>
              <w:snapToGrid w:val="0"/>
              <w:rPr>
                <w:rFonts w:ascii="宋体" w:hAnsi="宋体"/>
                <w:szCs w:val="21"/>
              </w:rPr>
            </w:pPr>
            <w:r>
              <w:rPr>
                <w:rFonts w:hint="eastAsia" w:ascii="宋体" w:hAnsi="宋体"/>
                <w:szCs w:val="21"/>
              </w:rPr>
              <w:t>深圳市发展和改革委员会</w:t>
            </w:r>
          </w:p>
        </w:tc>
        <w:tc>
          <w:tcPr>
            <w:tcW w:w="2021" w:type="dxa"/>
            <w:vAlign w:val="center"/>
          </w:tcPr>
          <w:p>
            <w:pPr>
              <w:adjustRightInd w:val="0"/>
              <w:snapToGrid w:val="0"/>
              <w:rPr>
                <w:rFonts w:asciiTheme="minorEastAsia" w:hAnsiTheme="minorEastAsia" w:cstheme="minorEastAsia"/>
                <w:szCs w:val="21"/>
              </w:rPr>
            </w:pPr>
            <w:r>
              <w:rPr>
                <w:rFonts w:hint="eastAsia" w:asciiTheme="minorEastAsia" w:hAnsiTheme="minorEastAsia" w:cstheme="minorEastAsia"/>
                <w:szCs w:val="21"/>
              </w:rPr>
              <w:t>2018年11月12日</w:t>
            </w:r>
          </w:p>
        </w:tc>
        <w:tc>
          <w:tcPr>
            <w:tcW w:w="4354" w:type="dxa"/>
            <w:vAlign w:val="center"/>
          </w:tcPr>
          <w:p>
            <w:pPr>
              <w:adjustRightInd w:val="0"/>
              <w:snapToGrid w:val="0"/>
              <w:rPr>
                <w:rFonts w:ascii="宋体" w:hAnsi="宋体"/>
                <w:szCs w:val="21"/>
              </w:rPr>
            </w:pPr>
            <w:r>
              <w:rPr>
                <w:rFonts w:hint="eastAsia" w:ascii="宋体" w:hAnsi="宋体"/>
                <w:szCs w:val="21"/>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4" w:hRule="atLeast"/>
          <w:jc w:val="center"/>
        </w:trPr>
        <w:tc>
          <w:tcPr>
            <w:tcW w:w="529" w:type="dxa"/>
            <w:vAlign w:val="center"/>
          </w:tcPr>
          <w:p>
            <w:pPr>
              <w:adjustRightInd w:val="0"/>
              <w:snapToGrid w:val="0"/>
              <w:rPr>
                <w:rFonts w:ascii="宋体" w:hAnsi="宋体"/>
                <w:szCs w:val="21"/>
              </w:rPr>
            </w:pPr>
            <w:r>
              <w:rPr>
                <w:rFonts w:hint="eastAsia" w:ascii="宋体" w:hAnsi="宋体" w:eastAsia="宋体"/>
                <w:szCs w:val="21"/>
                <w:lang w:val="en-US" w:eastAsia="zh-CN"/>
              </w:rPr>
              <w:t>6</w:t>
            </w:r>
          </w:p>
        </w:tc>
        <w:tc>
          <w:tcPr>
            <w:tcW w:w="4699" w:type="dxa"/>
            <w:vAlign w:val="center"/>
          </w:tcPr>
          <w:p>
            <w:pPr>
              <w:adjustRightInd w:val="0"/>
              <w:snapToGrid w:val="0"/>
              <w:rPr>
                <w:rFonts w:ascii="宋体" w:hAnsi="宋体"/>
                <w:szCs w:val="21"/>
              </w:rPr>
            </w:pPr>
            <w:r>
              <w:rPr>
                <w:rFonts w:hint="eastAsia" w:ascii="宋体" w:hAnsi="宋体"/>
                <w:szCs w:val="21"/>
              </w:rPr>
              <w:t>深圳市政府投资项目后评价管理办法（深发改规﹝2018﹞2号）</w:t>
            </w:r>
          </w:p>
        </w:tc>
        <w:tc>
          <w:tcPr>
            <w:tcW w:w="2158" w:type="dxa"/>
            <w:vAlign w:val="center"/>
          </w:tcPr>
          <w:p>
            <w:pPr>
              <w:adjustRightInd w:val="0"/>
              <w:snapToGrid w:val="0"/>
              <w:rPr>
                <w:rFonts w:ascii="宋体" w:hAnsi="宋体"/>
                <w:szCs w:val="21"/>
              </w:rPr>
            </w:pPr>
            <w:r>
              <w:rPr>
                <w:rFonts w:hint="eastAsia" w:ascii="宋体" w:hAnsi="宋体"/>
                <w:szCs w:val="21"/>
              </w:rPr>
              <w:t>深圳市发展和改革委员会</w:t>
            </w:r>
          </w:p>
        </w:tc>
        <w:tc>
          <w:tcPr>
            <w:tcW w:w="2021" w:type="dxa"/>
            <w:vAlign w:val="center"/>
          </w:tcPr>
          <w:p>
            <w:pPr>
              <w:adjustRightInd w:val="0"/>
              <w:snapToGrid w:val="0"/>
              <w:rPr>
                <w:rFonts w:asciiTheme="minorEastAsia" w:hAnsiTheme="minorEastAsia" w:cstheme="minorEastAsia"/>
                <w:szCs w:val="21"/>
              </w:rPr>
            </w:pPr>
            <w:r>
              <w:rPr>
                <w:rFonts w:hint="eastAsia" w:asciiTheme="minorEastAsia" w:hAnsiTheme="minorEastAsia" w:cstheme="minorEastAsia"/>
                <w:szCs w:val="21"/>
              </w:rPr>
              <w:t>2018年10月9日</w:t>
            </w:r>
          </w:p>
        </w:tc>
        <w:tc>
          <w:tcPr>
            <w:tcW w:w="4354" w:type="dxa"/>
            <w:vAlign w:val="center"/>
          </w:tcPr>
          <w:p>
            <w:pPr>
              <w:adjustRightInd w:val="0"/>
              <w:snapToGrid w:val="0"/>
              <w:rPr>
                <w:rFonts w:ascii="宋体" w:hAnsi="宋体"/>
                <w:szCs w:val="21"/>
              </w:rPr>
            </w:pPr>
            <w:r>
              <w:rPr>
                <w:rFonts w:hint="eastAsia" w:ascii="宋体" w:hAnsi="宋体"/>
                <w:szCs w:val="21"/>
              </w:rPr>
              <w:t>该文件仍在执行中，主要内容未与上位依据相抵触，无相关文件要求废止。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1" w:hRule="atLeast"/>
          <w:jc w:val="center"/>
        </w:trPr>
        <w:tc>
          <w:tcPr>
            <w:tcW w:w="529" w:type="dxa"/>
            <w:vAlign w:val="center"/>
          </w:tcPr>
          <w:p>
            <w:pPr>
              <w:adjustRightInd w:val="0"/>
              <w:snapToGrid w:val="0"/>
              <w:rPr>
                <w:rFonts w:ascii="宋体" w:hAnsi="宋体" w:eastAsia="宋体"/>
                <w:szCs w:val="21"/>
              </w:rPr>
            </w:pPr>
            <w:r>
              <w:rPr>
                <w:rFonts w:hint="eastAsia" w:ascii="宋体" w:hAnsi="宋体"/>
                <w:szCs w:val="21"/>
                <w:lang w:val="en-US" w:eastAsia="zh-CN"/>
              </w:rPr>
              <w:t>7</w:t>
            </w:r>
          </w:p>
        </w:tc>
        <w:tc>
          <w:tcPr>
            <w:tcW w:w="4699" w:type="dxa"/>
            <w:vAlign w:val="center"/>
          </w:tcPr>
          <w:p>
            <w:pPr>
              <w:adjustRightInd w:val="0"/>
              <w:snapToGrid w:val="0"/>
              <w:rPr>
                <w:rFonts w:ascii="宋体" w:hAnsi="宋体"/>
                <w:szCs w:val="21"/>
                <w:lang w:val="zh-CN"/>
              </w:rPr>
            </w:pPr>
            <w:r>
              <w:rPr>
                <w:rFonts w:hint="eastAsia" w:ascii="宋体" w:hAnsi="宋体"/>
                <w:szCs w:val="21"/>
                <w:lang w:val="zh-CN"/>
              </w:rPr>
              <w:t>深圳市发展和改革委员会 深圳市财政委员会关于印发《深圳市政府和社会资本合作（PPP）实施细则》的通知（深发改规﹝2018﹞1号）</w:t>
            </w:r>
          </w:p>
        </w:tc>
        <w:tc>
          <w:tcPr>
            <w:tcW w:w="2158" w:type="dxa"/>
            <w:vAlign w:val="center"/>
          </w:tcPr>
          <w:p>
            <w:pPr>
              <w:adjustRightInd w:val="0"/>
              <w:snapToGrid w:val="0"/>
              <w:rPr>
                <w:rFonts w:ascii="宋体" w:hAnsi="宋体"/>
                <w:szCs w:val="21"/>
                <w:lang w:val="zh-CN"/>
              </w:rPr>
            </w:pPr>
            <w:r>
              <w:rPr>
                <w:rFonts w:hint="eastAsia" w:ascii="宋体" w:hAnsi="宋体"/>
                <w:szCs w:val="21"/>
                <w:lang w:val="zh-CN"/>
              </w:rPr>
              <w:t>深圳市发展和改革委员会、深圳市财政委员会</w:t>
            </w:r>
          </w:p>
        </w:tc>
        <w:tc>
          <w:tcPr>
            <w:tcW w:w="2021" w:type="dxa"/>
            <w:vAlign w:val="center"/>
          </w:tcPr>
          <w:p>
            <w:pPr>
              <w:adjustRightInd w:val="0"/>
              <w:snapToGrid w:val="0"/>
              <w:rPr>
                <w:rFonts w:asciiTheme="minorEastAsia" w:hAnsiTheme="minorEastAsia" w:cstheme="minorEastAsia"/>
                <w:szCs w:val="21"/>
                <w:lang w:val="zh-CN"/>
              </w:rPr>
            </w:pPr>
            <w:r>
              <w:rPr>
                <w:rFonts w:hint="eastAsia" w:asciiTheme="minorEastAsia" w:hAnsiTheme="minorEastAsia" w:cstheme="minorEastAsia"/>
                <w:szCs w:val="21"/>
                <w:lang w:val="zh-CN"/>
              </w:rPr>
              <w:t>2018年5月</w:t>
            </w:r>
            <w:r>
              <w:rPr>
                <w:rFonts w:hint="eastAsia" w:asciiTheme="minorEastAsia" w:hAnsiTheme="minorEastAsia" w:cstheme="minorEastAsia"/>
                <w:szCs w:val="21"/>
              </w:rPr>
              <w:t>12日</w:t>
            </w:r>
          </w:p>
        </w:tc>
        <w:tc>
          <w:tcPr>
            <w:tcW w:w="4354" w:type="dxa"/>
            <w:vAlign w:val="center"/>
          </w:tcPr>
          <w:p>
            <w:pPr>
              <w:adjustRightInd w:val="0"/>
              <w:snapToGrid w:val="0"/>
              <w:rPr>
                <w:rFonts w:ascii="宋体" w:hAnsi="宋体"/>
                <w:szCs w:val="21"/>
                <w:lang w:val="zh-CN"/>
              </w:rPr>
            </w:pPr>
            <w:r>
              <w:rPr>
                <w:rFonts w:hint="eastAsia" w:ascii="宋体" w:hAnsi="宋体"/>
                <w:szCs w:val="21"/>
                <w:lang w:val="zh-CN"/>
              </w:rPr>
              <w:t>该文件有效期</w:t>
            </w:r>
            <w:r>
              <w:rPr>
                <w:rFonts w:hint="eastAsia" w:ascii="宋体" w:hAnsi="宋体"/>
                <w:szCs w:val="21"/>
              </w:rPr>
              <w:t>2</w:t>
            </w:r>
            <w:r>
              <w:rPr>
                <w:rFonts w:hint="eastAsia" w:ascii="宋体" w:hAnsi="宋体"/>
                <w:szCs w:val="21"/>
                <w:lang w:val="zh-CN"/>
              </w:rPr>
              <w:t>年，现仍在有效期内。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4" w:hRule="atLeast"/>
          <w:jc w:val="center"/>
        </w:trPr>
        <w:tc>
          <w:tcPr>
            <w:tcW w:w="529" w:type="dxa"/>
            <w:vAlign w:val="center"/>
          </w:tcPr>
          <w:p>
            <w:pPr>
              <w:adjustRightInd w:val="0"/>
              <w:snapToGrid w:val="0"/>
              <w:rPr>
                <w:rFonts w:ascii="宋体" w:hAnsi="宋体" w:eastAsia="宋体"/>
                <w:szCs w:val="21"/>
              </w:rPr>
            </w:pPr>
            <w:r>
              <w:rPr>
                <w:rFonts w:hint="eastAsia" w:ascii="宋体" w:hAnsi="宋体"/>
                <w:szCs w:val="21"/>
                <w:lang w:val="en-US" w:eastAsia="zh-CN"/>
              </w:rPr>
              <w:t>8</w:t>
            </w:r>
          </w:p>
        </w:tc>
        <w:tc>
          <w:tcPr>
            <w:tcW w:w="4699" w:type="dxa"/>
            <w:vAlign w:val="center"/>
          </w:tcPr>
          <w:p>
            <w:pPr>
              <w:adjustRightInd w:val="0"/>
              <w:snapToGrid w:val="0"/>
              <w:rPr>
                <w:rFonts w:ascii="宋体" w:hAnsi="宋体"/>
                <w:szCs w:val="21"/>
                <w:lang w:val="zh-CN"/>
              </w:rPr>
            </w:pPr>
            <w:r>
              <w:rPr>
                <w:rFonts w:hint="eastAsia" w:ascii="宋体" w:hAnsi="宋体"/>
                <w:szCs w:val="21"/>
                <w:lang w:val="zh-CN"/>
              </w:rPr>
              <w:t>深圳市发展和改革委员会关于印发《深圳市产业结构调整优化和产业导向目录（2016年修订）》的通知（深发改〔2016〕1154号）</w:t>
            </w:r>
          </w:p>
        </w:tc>
        <w:tc>
          <w:tcPr>
            <w:tcW w:w="2158" w:type="dxa"/>
            <w:vAlign w:val="center"/>
          </w:tcPr>
          <w:p>
            <w:pPr>
              <w:adjustRightInd w:val="0"/>
              <w:snapToGrid w:val="0"/>
              <w:rPr>
                <w:rFonts w:ascii="宋体" w:hAnsi="宋体"/>
                <w:szCs w:val="21"/>
                <w:lang w:val="zh-CN"/>
              </w:rPr>
            </w:pPr>
            <w:r>
              <w:rPr>
                <w:rFonts w:hint="eastAsia" w:ascii="宋体" w:hAnsi="宋体"/>
                <w:szCs w:val="21"/>
              </w:rPr>
              <w:t>深圳市发展和改革委员会</w:t>
            </w:r>
          </w:p>
        </w:tc>
        <w:tc>
          <w:tcPr>
            <w:tcW w:w="2021" w:type="dxa"/>
            <w:vAlign w:val="center"/>
          </w:tcPr>
          <w:p>
            <w:pPr>
              <w:adjustRightInd w:val="0"/>
              <w:snapToGrid w:val="0"/>
              <w:rPr>
                <w:rFonts w:asciiTheme="minorEastAsia" w:hAnsiTheme="minorEastAsia" w:cstheme="minorEastAsia"/>
                <w:szCs w:val="21"/>
              </w:rPr>
            </w:pPr>
            <w:r>
              <w:rPr>
                <w:rFonts w:hint="eastAsia" w:asciiTheme="minorEastAsia" w:hAnsiTheme="minorEastAsia" w:cstheme="minorEastAsia"/>
                <w:szCs w:val="21"/>
              </w:rPr>
              <w:t>2016年9月21日</w:t>
            </w:r>
          </w:p>
        </w:tc>
        <w:tc>
          <w:tcPr>
            <w:tcW w:w="4354" w:type="dxa"/>
            <w:vAlign w:val="center"/>
          </w:tcPr>
          <w:p>
            <w:pPr>
              <w:adjustRightInd w:val="0"/>
              <w:snapToGrid w:val="0"/>
              <w:rPr>
                <w:rFonts w:ascii="宋体" w:hAnsi="宋体"/>
                <w:szCs w:val="21"/>
                <w:lang w:val="zh-CN"/>
              </w:rPr>
            </w:pPr>
            <w:r>
              <w:rPr>
                <w:rFonts w:hint="eastAsia" w:ascii="宋体" w:hAnsi="宋体"/>
                <w:szCs w:val="21"/>
              </w:rPr>
              <w:t>该文件仍在执行中，</w:t>
            </w:r>
            <w:r>
              <w:rPr>
                <w:rFonts w:hint="eastAsia" w:ascii="宋体" w:hAnsi="宋体"/>
                <w:szCs w:val="21"/>
                <w:lang w:val="zh-CN"/>
              </w:rPr>
              <w:t>建议保留。</w:t>
            </w:r>
          </w:p>
        </w:tc>
      </w:tr>
    </w:tbl>
    <w:p>
      <w:pPr>
        <w:rPr>
          <w:rFonts w:ascii="仿宋_GB2312" w:eastAsia="仿宋_GB2312"/>
          <w:sz w:val="32"/>
          <w:szCs w:val="32"/>
        </w:rPr>
      </w:pPr>
      <w:r>
        <w:rPr>
          <w:rFonts w:ascii="仿宋_GB2312" w:eastAsia="仿宋_GB2312"/>
          <w:sz w:val="32"/>
          <w:szCs w:val="32"/>
        </w:rPr>
        <w:br w:type="page"/>
      </w:r>
    </w:p>
    <w:p>
      <w:pPr>
        <w:snapToGrid w:val="0"/>
        <w:rPr>
          <w:rFonts w:ascii="黑体" w:hAnsi="黑体" w:eastAsia="黑体" w:cs="黑体"/>
          <w:sz w:val="32"/>
          <w:szCs w:val="32"/>
          <w:lang w:val="zh-CN"/>
        </w:rPr>
      </w:pPr>
      <w:r>
        <w:rPr>
          <w:rFonts w:hint="eastAsia" w:ascii="黑体" w:hAnsi="黑体" w:eastAsia="黑体" w:cs="黑体"/>
          <w:sz w:val="32"/>
          <w:szCs w:val="32"/>
          <w:lang w:val="zh-CN"/>
        </w:rPr>
        <w:t>二、拟修订的规范性文件目录</w:t>
      </w:r>
    </w:p>
    <w:tbl>
      <w:tblPr>
        <w:tblStyle w:val="3"/>
        <w:tblW w:w="13632" w:type="dxa"/>
        <w:jc w:val="center"/>
        <w:tblInd w:w="-1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9"/>
        <w:gridCol w:w="4669"/>
        <w:gridCol w:w="2173"/>
        <w:gridCol w:w="2036"/>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jc w:val="center"/>
        </w:trPr>
        <w:tc>
          <w:tcPr>
            <w:tcW w:w="479" w:type="dxa"/>
            <w:vAlign w:val="center"/>
          </w:tcPr>
          <w:p>
            <w:pPr>
              <w:snapToGrid w:val="0"/>
              <w:jc w:val="center"/>
              <w:rPr>
                <w:rFonts w:ascii="宋体" w:hAnsi="宋体"/>
                <w:b/>
                <w:szCs w:val="21"/>
                <w:lang w:val="zh-CN"/>
              </w:rPr>
            </w:pPr>
            <w:r>
              <w:rPr>
                <w:rFonts w:hint="eastAsia" w:ascii="宋体" w:hAnsi="宋体"/>
                <w:b/>
                <w:szCs w:val="21"/>
                <w:lang w:val="zh-CN"/>
              </w:rPr>
              <w:t>序号</w:t>
            </w:r>
          </w:p>
        </w:tc>
        <w:tc>
          <w:tcPr>
            <w:tcW w:w="4669" w:type="dxa"/>
            <w:vAlign w:val="center"/>
          </w:tcPr>
          <w:p>
            <w:pPr>
              <w:snapToGrid w:val="0"/>
              <w:jc w:val="center"/>
              <w:rPr>
                <w:rFonts w:ascii="宋体" w:hAnsi="宋体"/>
                <w:b/>
                <w:szCs w:val="21"/>
                <w:lang w:val="zh-CN"/>
              </w:rPr>
            </w:pPr>
            <w:r>
              <w:rPr>
                <w:rFonts w:hint="eastAsia" w:ascii="宋体" w:hAnsi="宋体"/>
                <w:b/>
                <w:szCs w:val="21"/>
                <w:lang w:val="zh-CN"/>
              </w:rPr>
              <w:t>文件名称</w:t>
            </w:r>
          </w:p>
        </w:tc>
        <w:tc>
          <w:tcPr>
            <w:tcW w:w="2173" w:type="dxa"/>
            <w:vAlign w:val="center"/>
          </w:tcPr>
          <w:p>
            <w:pPr>
              <w:snapToGrid w:val="0"/>
              <w:jc w:val="center"/>
              <w:rPr>
                <w:rFonts w:ascii="宋体" w:hAnsi="宋体"/>
                <w:b/>
                <w:szCs w:val="21"/>
                <w:lang w:val="zh-CN"/>
              </w:rPr>
            </w:pPr>
            <w:r>
              <w:rPr>
                <w:rFonts w:hint="eastAsia" w:ascii="宋体" w:hAnsi="宋体"/>
                <w:b/>
                <w:szCs w:val="21"/>
              </w:rPr>
              <w:t>实施部门</w:t>
            </w:r>
          </w:p>
        </w:tc>
        <w:tc>
          <w:tcPr>
            <w:tcW w:w="2036" w:type="dxa"/>
            <w:vAlign w:val="center"/>
          </w:tcPr>
          <w:p>
            <w:pPr>
              <w:snapToGrid w:val="0"/>
              <w:jc w:val="center"/>
              <w:rPr>
                <w:rFonts w:ascii="宋体" w:hAnsi="宋体"/>
                <w:b/>
                <w:szCs w:val="21"/>
                <w:lang w:val="zh-CN"/>
              </w:rPr>
            </w:pPr>
            <w:r>
              <w:rPr>
                <w:rFonts w:hint="eastAsia" w:ascii="宋体" w:hAnsi="宋体"/>
                <w:b/>
                <w:szCs w:val="21"/>
                <w:lang w:val="zh-CN"/>
              </w:rPr>
              <w:t>实施时间</w:t>
            </w:r>
          </w:p>
        </w:tc>
        <w:tc>
          <w:tcPr>
            <w:tcW w:w="4275" w:type="dxa"/>
            <w:vAlign w:val="center"/>
          </w:tcPr>
          <w:p>
            <w:pPr>
              <w:snapToGrid w:val="0"/>
              <w:jc w:val="center"/>
              <w:rPr>
                <w:rFonts w:ascii="宋体" w:hAnsi="宋体"/>
                <w:b/>
                <w:szCs w:val="21"/>
                <w:lang w:val="zh-CN"/>
              </w:rPr>
            </w:pPr>
            <w:r>
              <w:rPr>
                <w:rFonts w:hint="eastAsia" w:ascii="宋体" w:hAnsi="宋体"/>
                <w:b/>
                <w:szCs w:val="21"/>
                <w:lang w:val="zh-CN"/>
              </w:rPr>
              <w:t>修订理由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78" w:hRule="atLeast"/>
          <w:jc w:val="center"/>
        </w:trPr>
        <w:tc>
          <w:tcPr>
            <w:tcW w:w="479" w:type="dxa"/>
            <w:vAlign w:val="center"/>
          </w:tcPr>
          <w:p>
            <w:pPr>
              <w:rPr>
                <w:rFonts w:ascii="宋体" w:hAnsi="宋体"/>
                <w:szCs w:val="21"/>
              </w:rPr>
            </w:pPr>
            <w:r>
              <w:rPr>
                <w:rFonts w:hint="eastAsia" w:ascii="宋体" w:hAnsi="宋体"/>
                <w:szCs w:val="21"/>
                <w:lang w:val="en-US" w:eastAsia="zh-CN"/>
              </w:rPr>
              <w:t>1</w:t>
            </w:r>
          </w:p>
        </w:tc>
        <w:tc>
          <w:tcPr>
            <w:tcW w:w="4669" w:type="dxa"/>
            <w:vAlign w:val="center"/>
          </w:tcPr>
          <w:p>
            <w:pPr>
              <w:rPr>
                <w:rFonts w:ascii="宋体" w:hAnsi="宋体"/>
                <w:szCs w:val="21"/>
                <w:lang w:val="zh-CN"/>
              </w:rPr>
            </w:pPr>
            <w:r>
              <w:rPr>
                <w:rFonts w:hint="eastAsia" w:ascii="宋体" w:hAnsi="宋体"/>
                <w:szCs w:val="21"/>
                <w:lang w:val="zh-CN"/>
              </w:rPr>
              <w:t>深圳市发展和改革委员会、公安局、人力资源和社会保障局、规划和国土委员会、人口和房屋综合管理办公室、住房和建设局、卫生和计划生育委员会关于印发《深圳市积分入户办法（试行）》的通知（深发改规﹝2017﹞1号</w:t>
            </w:r>
            <w:r>
              <w:rPr>
                <w:rFonts w:hint="eastAsia" w:ascii="宋体" w:hAnsi="宋体"/>
                <w:szCs w:val="21"/>
              </w:rPr>
              <w:t>)</w:t>
            </w:r>
          </w:p>
        </w:tc>
        <w:tc>
          <w:tcPr>
            <w:tcW w:w="2173" w:type="dxa"/>
            <w:vAlign w:val="center"/>
          </w:tcPr>
          <w:p>
            <w:pPr>
              <w:rPr>
                <w:rFonts w:ascii="宋体" w:hAnsi="宋体"/>
                <w:szCs w:val="21"/>
              </w:rPr>
            </w:pPr>
            <w:r>
              <w:rPr>
                <w:rFonts w:hint="eastAsia" w:ascii="宋体" w:hAnsi="宋体"/>
                <w:szCs w:val="21"/>
                <w:lang w:val="zh-CN"/>
              </w:rPr>
              <w:t>深圳市发展和改革委员会、公安局、人力资源和社会保障局、规划和国土委员会、人口和房屋综合管理办公室、住房和建设局、卫生和计划生育委员会</w:t>
            </w:r>
          </w:p>
        </w:tc>
        <w:tc>
          <w:tcPr>
            <w:tcW w:w="2036" w:type="dxa"/>
            <w:vAlign w:val="center"/>
          </w:tcPr>
          <w:p>
            <w:pPr>
              <w:rPr>
                <w:rFonts w:ascii="宋体" w:hAnsi="宋体"/>
                <w:szCs w:val="21"/>
              </w:rPr>
            </w:pPr>
            <w:r>
              <w:rPr>
                <w:rFonts w:hint="eastAsia" w:asciiTheme="minorEastAsia" w:hAnsiTheme="minorEastAsia" w:cstheme="minorEastAsia"/>
                <w:szCs w:val="21"/>
                <w:lang w:val="zh-CN"/>
              </w:rPr>
              <w:t>2017年7月12日</w:t>
            </w:r>
          </w:p>
        </w:tc>
        <w:tc>
          <w:tcPr>
            <w:tcW w:w="4275" w:type="dxa"/>
            <w:vAlign w:val="center"/>
          </w:tcPr>
          <w:p>
            <w:pPr>
              <w:rPr>
                <w:rFonts w:ascii="宋体" w:hAnsi="宋体"/>
                <w:szCs w:val="21"/>
                <w:lang w:val="zh-CN"/>
              </w:rPr>
            </w:pPr>
            <w:r>
              <w:rPr>
                <w:rFonts w:hint="eastAsia" w:ascii="宋体" w:hAnsi="宋体"/>
                <w:szCs w:val="21"/>
                <w:lang w:val="zh-CN"/>
              </w:rPr>
              <w:t>该文件有效期3年，为试行文件，拟修订。</w:t>
            </w:r>
          </w:p>
        </w:tc>
      </w:tr>
    </w:tbl>
    <w:p>
      <w:pPr>
        <w:sectPr>
          <w:pgSz w:w="16838" w:h="11906" w:orient="landscape"/>
          <w:pgMar w:top="1803" w:right="1440" w:bottom="1803" w:left="1440" w:header="851" w:footer="992" w:gutter="0"/>
          <w:cols w:space="0" w:num="1"/>
          <w:rtlGutter w:val="0"/>
          <w:docGrid w:type="lines" w:linePitch="319" w:charSpace="0"/>
        </w:sectPr>
      </w:pPr>
    </w:p>
    <w:p>
      <w:pPr>
        <w:snapToGrid w:val="0"/>
        <w:rPr>
          <w:rFonts w:ascii="黑体" w:hAnsi="黑体" w:eastAsia="黑体" w:cs="黑体"/>
          <w:sz w:val="32"/>
          <w:szCs w:val="32"/>
          <w:lang w:val="zh-CN"/>
        </w:rPr>
      </w:pPr>
      <w:r>
        <w:rPr>
          <w:rFonts w:hint="eastAsia" w:ascii="黑体" w:hAnsi="黑体" w:eastAsia="黑体" w:cs="黑体"/>
          <w:sz w:val="32"/>
          <w:szCs w:val="32"/>
          <w:lang w:val="zh-CN"/>
        </w:rPr>
        <w:t>三、拟废止的规范性文件目录</w:t>
      </w:r>
    </w:p>
    <w:tbl>
      <w:tblPr>
        <w:tblStyle w:val="3"/>
        <w:tblW w:w="13631" w:type="dxa"/>
        <w:jc w:val="center"/>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
        <w:gridCol w:w="4653"/>
        <w:gridCol w:w="2142"/>
        <w:gridCol w:w="2067"/>
        <w:gridCol w:w="43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 w:hRule="atLeast"/>
          <w:jc w:val="center"/>
        </w:trPr>
        <w:tc>
          <w:tcPr>
            <w:tcW w:w="453" w:type="dxa"/>
            <w:vAlign w:val="center"/>
          </w:tcPr>
          <w:p>
            <w:pPr>
              <w:snapToGrid w:val="0"/>
              <w:jc w:val="center"/>
              <w:rPr>
                <w:rFonts w:ascii="宋体" w:hAnsi="宋体"/>
                <w:b/>
                <w:szCs w:val="21"/>
                <w:lang w:val="zh-CN"/>
              </w:rPr>
            </w:pPr>
            <w:r>
              <w:rPr>
                <w:rFonts w:hint="eastAsia" w:ascii="宋体" w:hAnsi="宋体"/>
                <w:b/>
                <w:szCs w:val="21"/>
                <w:lang w:val="zh-CN"/>
              </w:rPr>
              <w:t>序号</w:t>
            </w:r>
          </w:p>
        </w:tc>
        <w:tc>
          <w:tcPr>
            <w:tcW w:w="4653" w:type="dxa"/>
            <w:vAlign w:val="center"/>
          </w:tcPr>
          <w:p>
            <w:pPr>
              <w:snapToGrid w:val="0"/>
              <w:jc w:val="center"/>
              <w:rPr>
                <w:rFonts w:ascii="宋体" w:hAnsi="宋体"/>
                <w:b/>
                <w:szCs w:val="21"/>
                <w:lang w:val="zh-CN"/>
              </w:rPr>
            </w:pPr>
            <w:r>
              <w:rPr>
                <w:rFonts w:hint="eastAsia" w:ascii="宋体" w:hAnsi="宋体"/>
                <w:b/>
                <w:szCs w:val="21"/>
                <w:lang w:val="zh-CN"/>
              </w:rPr>
              <w:t>文件名称</w:t>
            </w:r>
          </w:p>
        </w:tc>
        <w:tc>
          <w:tcPr>
            <w:tcW w:w="2142" w:type="dxa"/>
            <w:vAlign w:val="center"/>
          </w:tcPr>
          <w:p>
            <w:pPr>
              <w:snapToGrid w:val="0"/>
              <w:jc w:val="center"/>
              <w:rPr>
                <w:rFonts w:ascii="宋体" w:hAnsi="宋体"/>
                <w:b/>
                <w:szCs w:val="21"/>
                <w:lang w:val="zh-CN"/>
              </w:rPr>
            </w:pPr>
            <w:r>
              <w:rPr>
                <w:rFonts w:hint="eastAsia" w:ascii="宋体" w:hAnsi="宋体"/>
                <w:b/>
                <w:szCs w:val="21"/>
              </w:rPr>
              <w:t>实施部门</w:t>
            </w:r>
          </w:p>
        </w:tc>
        <w:tc>
          <w:tcPr>
            <w:tcW w:w="2067" w:type="dxa"/>
            <w:vAlign w:val="center"/>
          </w:tcPr>
          <w:p>
            <w:pPr>
              <w:snapToGrid w:val="0"/>
              <w:jc w:val="center"/>
              <w:rPr>
                <w:rFonts w:ascii="宋体" w:hAnsi="宋体"/>
                <w:b/>
                <w:szCs w:val="21"/>
                <w:lang w:val="zh-CN"/>
              </w:rPr>
            </w:pPr>
            <w:r>
              <w:rPr>
                <w:rFonts w:hint="eastAsia" w:ascii="宋体" w:hAnsi="宋体"/>
                <w:b/>
                <w:szCs w:val="21"/>
                <w:lang w:val="zh-CN"/>
              </w:rPr>
              <w:t>实施时间</w:t>
            </w:r>
          </w:p>
        </w:tc>
        <w:tc>
          <w:tcPr>
            <w:tcW w:w="4316" w:type="dxa"/>
            <w:vAlign w:val="center"/>
          </w:tcPr>
          <w:p>
            <w:pPr>
              <w:snapToGrid w:val="0"/>
              <w:jc w:val="center"/>
              <w:rPr>
                <w:rFonts w:ascii="宋体" w:hAnsi="宋体"/>
                <w:b/>
                <w:szCs w:val="21"/>
                <w:lang w:val="zh-CN"/>
              </w:rPr>
            </w:pPr>
            <w:r>
              <w:rPr>
                <w:rFonts w:hint="eastAsia" w:ascii="宋体" w:hAnsi="宋体"/>
                <w:b/>
                <w:szCs w:val="21"/>
                <w:lang w:val="zh-CN"/>
              </w:rPr>
              <w:t>废止理由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3" w:hRule="atLeast"/>
          <w:jc w:val="center"/>
        </w:trPr>
        <w:tc>
          <w:tcPr>
            <w:tcW w:w="453" w:type="dxa"/>
            <w:vAlign w:val="center"/>
          </w:tcPr>
          <w:p>
            <w:pPr>
              <w:jc w:val="center"/>
              <w:rPr>
                <w:rFonts w:ascii="宋体" w:hAnsi="宋体"/>
                <w:szCs w:val="21"/>
              </w:rPr>
            </w:pPr>
            <w:r>
              <w:rPr>
                <w:rFonts w:hint="eastAsia" w:ascii="宋体" w:hAnsi="宋体"/>
                <w:szCs w:val="21"/>
              </w:rPr>
              <w:t>1</w:t>
            </w:r>
          </w:p>
        </w:tc>
        <w:tc>
          <w:tcPr>
            <w:tcW w:w="4653" w:type="dxa"/>
            <w:vAlign w:val="center"/>
          </w:tcPr>
          <w:p>
            <w:pPr>
              <w:rPr>
                <w:rFonts w:ascii="宋体" w:hAnsi="宋体"/>
                <w:szCs w:val="21"/>
              </w:rPr>
            </w:pPr>
            <w:r>
              <w:rPr>
                <w:rFonts w:hint="eastAsia" w:ascii="宋体" w:hAnsi="宋体"/>
                <w:szCs w:val="21"/>
              </w:rPr>
              <w:t>深圳市发展和改革委员会关于印发《深圳市借用中长期国际商业贷款切块管理试点暂行办法》的通知（深发改〔2015〕701号）</w:t>
            </w:r>
          </w:p>
        </w:tc>
        <w:tc>
          <w:tcPr>
            <w:tcW w:w="2142" w:type="dxa"/>
            <w:vAlign w:val="center"/>
          </w:tcPr>
          <w:p>
            <w:pPr>
              <w:rPr>
                <w:rFonts w:ascii="宋体" w:hAnsi="宋体"/>
                <w:szCs w:val="21"/>
              </w:rPr>
            </w:pPr>
            <w:r>
              <w:rPr>
                <w:rFonts w:hint="eastAsia" w:ascii="宋体" w:hAnsi="宋体"/>
                <w:szCs w:val="21"/>
              </w:rPr>
              <w:t>深圳市发展和改革委员会</w:t>
            </w:r>
          </w:p>
        </w:tc>
        <w:tc>
          <w:tcPr>
            <w:tcW w:w="2067" w:type="dxa"/>
            <w:vAlign w:val="center"/>
          </w:tcPr>
          <w:p>
            <w:pPr>
              <w:rPr>
                <w:rFonts w:ascii="宋体" w:hAnsi="宋体"/>
                <w:szCs w:val="21"/>
              </w:rPr>
            </w:pPr>
            <w:r>
              <w:rPr>
                <w:rFonts w:hint="eastAsia" w:ascii="宋体" w:hAnsi="宋体"/>
                <w:szCs w:val="21"/>
              </w:rPr>
              <w:t>2015年6月19日</w:t>
            </w:r>
          </w:p>
        </w:tc>
        <w:tc>
          <w:tcPr>
            <w:tcW w:w="4316" w:type="dxa"/>
            <w:vAlign w:val="center"/>
          </w:tcPr>
          <w:p>
            <w:pPr>
              <w:rPr>
                <w:rFonts w:ascii="宋体" w:hAnsi="宋体"/>
                <w:szCs w:val="21"/>
              </w:rPr>
            </w:pPr>
            <w:r>
              <w:rPr>
                <w:rFonts w:hint="eastAsia" w:ascii="宋体" w:hAnsi="宋体"/>
                <w:szCs w:val="21"/>
              </w:rPr>
              <w:t>1.2015年9月，国家发展改革委下发《国家发展改革委关于推进企业发行外债备案登记制管理改革的通知》（发改外资〔2015〕2044号），该通知明确将中长期商业贷款纳入外债范畴，按照上述通知进行管理。</w:t>
            </w:r>
          </w:p>
          <w:p>
            <w:pPr>
              <w:rPr>
                <w:rFonts w:ascii="宋体" w:hAnsi="宋体"/>
                <w:szCs w:val="21"/>
              </w:rPr>
            </w:pPr>
            <w:r>
              <w:rPr>
                <w:rFonts w:hint="eastAsia" w:ascii="宋体" w:hAnsi="宋体"/>
                <w:szCs w:val="21"/>
              </w:rPr>
              <w:t>2.2017年以来，国家发改委就未再对我市借用中长期国际商业贷款切块管理试点进行批复，暂行办法的依据已失效。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49" w:hRule="atLeast"/>
          <w:jc w:val="center"/>
        </w:trPr>
        <w:tc>
          <w:tcPr>
            <w:tcW w:w="453" w:type="dxa"/>
            <w:vAlign w:val="center"/>
          </w:tcPr>
          <w:p>
            <w:pPr>
              <w:jc w:val="center"/>
              <w:rPr>
                <w:rFonts w:ascii="宋体" w:hAnsi="宋体"/>
                <w:szCs w:val="21"/>
              </w:rPr>
            </w:pPr>
            <w:r>
              <w:rPr>
                <w:rFonts w:hint="eastAsia" w:ascii="宋体" w:hAnsi="宋体"/>
                <w:szCs w:val="21"/>
              </w:rPr>
              <w:t>2</w:t>
            </w:r>
          </w:p>
        </w:tc>
        <w:tc>
          <w:tcPr>
            <w:tcW w:w="4653" w:type="dxa"/>
            <w:vAlign w:val="center"/>
          </w:tcPr>
          <w:p>
            <w:pPr>
              <w:rPr>
                <w:rFonts w:ascii="宋体" w:hAnsi="宋体"/>
                <w:szCs w:val="21"/>
              </w:rPr>
            </w:pPr>
            <w:r>
              <w:rPr>
                <w:rFonts w:hint="eastAsia" w:ascii="宋体" w:hAnsi="宋体"/>
                <w:szCs w:val="21"/>
              </w:rPr>
              <w:t>深圳市发展和改革委员会关于印发《深圳市新能源汽车充电设施运营商备案管理办法》的通知（深发改规〔2015〕1号）</w:t>
            </w:r>
          </w:p>
        </w:tc>
        <w:tc>
          <w:tcPr>
            <w:tcW w:w="2142" w:type="dxa"/>
            <w:vAlign w:val="center"/>
          </w:tcPr>
          <w:p>
            <w:pPr>
              <w:rPr>
                <w:rFonts w:ascii="宋体" w:hAnsi="宋体"/>
                <w:szCs w:val="21"/>
              </w:rPr>
            </w:pPr>
            <w:r>
              <w:rPr>
                <w:rFonts w:hint="eastAsia" w:ascii="宋体" w:hAnsi="宋体"/>
                <w:szCs w:val="21"/>
                <w:lang w:val="zh-CN"/>
              </w:rPr>
              <w:t>深圳市发展和改革委员会</w:t>
            </w:r>
          </w:p>
        </w:tc>
        <w:tc>
          <w:tcPr>
            <w:tcW w:w="2067" w:type="dxa"/>
            <w:vAlign w:val="center"/>
          </w:tcPr>
          <w:p>
            <w:pPr>
              <w:rPr>
                <w:rFonts w:ascii="宋体" w:hAnsi="宋体"/>
                <w:szCs w:val="21"/>
              </w:rPr>
            </w:pPr>
            <w:r>
              <w:rPr>
                <w:rFonts w:hint="eastAsia" w:ascii="宋体" w:hAnsi="宋体"/>
                <w:szCs w:val="21"/>
              </w:rPr>
              <w:t>2015年8月19日</w:t>
            </w:r>
          </w:p>
        </w:tc>
        <w:tc>
          <w:tcPr>
            <w:tcW w:w="4316" w:type="dxa"/>
          </w:tcPr>
          <w:p>
            <w:pPr>
              <w:rPr>
                <w:rFonts w:ascii="宋体" w:hAnsi="宋体"/>
                <w:szCs w:val="21"/>
              </w:rPr>
            </w:pPr>
            <w:r>
              <w:rPr>
                <w:rFonts w:hint="eastAsia" w:ascii="宋体" w:hAnsi="宋体"/>
                <w:szCs w:val="21"/>
              </w:rPr>
              <w:t>根据简政放权、放管结合、优化服务的改革精神，取消新能源汽车充电设施运营商事前备案工作，有利于促进社会各类资本参与充电设施建设的活力。目前送审的《新能源汽车充电设施管理暂行办法》规定充电设施投入运营前应申请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8" w:hRule="atLeast"/>
          <w:jc w:val="center"/>
        </w:trPr>
        <w:tc>
          <w:tcPr>
            <w:tcW w:w="453" w:type="dxa"/>
            <w:vAlign w:val="center"/>
          </w:tcPr>
          <w:p>
            <w:pPr>
              <w:jc w:val="center"/>
              <w:rPr>
                <w:rFonts w:ascii="宋体" w:hAnsi="宋体"/>
                <w:szCs w:val="21"/>
              </w:rPr>
            </w:pPr>
            <w:r>
              <w:rPr>
                <w:rFonts w:hint="eastAsia" w:ascii="宋体" w:hAnsi="宋体"/>
                <w:szCs w:val="21"/>
              </w:rPr>
              <w:t>3</w:t>
            </w:r>
          </w:p>
        </w:tc>
        <w:tc>
          <w:tcPr>
            <w:tcW w:w="4653" w:type="dxa"/>
            <w:vAlign w:val="center"/>
          </w:tcPr>
          <w:p>
            <w:pPr>
              <w:rPr>
                <w:rFonts w:ascii="宋体" w:hAnsi="宋体"/>
                <w:szCs w:val="21"/>
              </w:rPr>
            </w:pPr>
            <w:r>
              <w:rPr>
                <w:rFonts w:hint="eastAsia" w:ascii="宋体" w:hAnsi="宋体"/>
                <w:szCs w:val="21"/>
              </w:rPr>
              <w:t>深圳市发展和改革委员会关于印发《深圳市新能源汽车企业备案管理办法》的通知（深发改规〔2015〕2号）</w:t>
            </w:r>
          </w:p>
        </w:tc>
        <w:tc>
          <w:tcPr>
            <w:tcW w:w="2142" w:type="dxa"/>
            <w:vAlign w:val="center"/>
          </w:tcPr>
          <w:p>
            <w:pPr>
              <w:rPr>
                <w:rFonts w:ascii="宋体" w:hAnsi="宋体"/>
                <w:szCs w:val="21"/>
              </w:rPr>
            </w:pPr>
            <w:r>
              <w:rPr>
                <w:rFonts w:hint="eastAsia" w:ascii="宋体" w:hAnsi="宋体"/>
                <w:szCs w:val="21"/>
                <w:lang w:val="zh-CN"/>
              </w:rPr>
              <w:t>深圳市发展和改革委员会</w:t>
            </w:r>
          </w:p>
        </w:tc>
        <w:tc>
          <w:tcPr>
            <w:tcW w:w="2067" w:type="dxa"/>
            <w:vAlign w:val="center"/>
          </w:tcPr>
          <w:p>
            <w:pPr>
              <w:rPr>
                <w:rFonts w:ascii="宋体" w:hAnsi="宋体"/>
                <w:szCs w:val="21"/>
              </w:rPr>
            </w:pPr>
            <w:r>
              <w:rPr>
                <w:rFonts w:hint="eastAsia" w:ascii="宋体" w:hAnsi="宋体"/>
                <w:szCs w:val="21"/>
              </w:rPr>
              <w:t>2015年11月26日</w:t>
            </w:r>
          </w:p>
        </w:tc>
        <w:tc>
          <w:tcPr>
            <w:tcW w:w="4316" w:type="dxa"/>
            <w:vAlign w:val="center"/>
          </w:tcPr>
          <w:p>
            <w:pPr>
              <w:rPr>
                <w:rFonts w:ascii="宋体" w:hAnsi="宋体"/>
                <w:szCs w:val="21"/>
              </w:rPr>
            </w:pPr>
            <w:r>
              <w:rPr>
                <w:rFonts w:hint="eastAsia" w:ascii="宋体" w:hAnsi="宋体"/>
                <w:szCs w:val="21"/>
              </w:rPr>
              <w:t>根据《财政部工业和信息化部科技部发展改革委关于调整完善新能源汽车推广应用财政补贴政策的通知》（财建〔2018〕18号）要求，各地不得采取任何形式的地方保护措施，包括但不限于设置目录或备案等。</w:t>
            </w:r>
          </w:p>
        </w:tc>
      </w:tr>
    </w:tbl>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9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2019-12-23T09:29:24Z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