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ascii="仿宋_GB2312" w:hAnsi="Calibri" w:eastAsia="仿宋_GB2312" w:cs="宋体"/>
          <w:kern w:val="0"/>
          <w:sz w:val="32"/>
          <w:szCs w:val="32"/>
        </w:rPr>
      </w:pPr>
      <w:r>
        <w:rPr>
          <w:rFonts w:hint="eastAsia" w:ascii="仿宋_GB2312" w:hAnsi="Calibri" w:eastAsia="仿宋_GB2312" w:cs="宋体"/>
          <w:kern w:val="0"/>
          <w:sz w:val="32"/>
          <w:szCs w:val="32"/>
        </w:rPr>
        <w:t>附件</w:t>
      </w:r>
      <w:r>
        <w:rPr>
          <w:rFonts w:hint="eastAsia" w:ascii="仿宋_GB2312" w:hAnsi="Calibri" w:eastAsia="仿宋_GB2312"/>
          <w:kern w:val="0"/>
          <w:sz w:val="32"/>
          <w:szCs w:val="32"/>
        </w:rPr>
        <w:t>2</w:t>
      </w:r>
    </w:p>
    <w:p>
      <w:pPr>
        <w:widowControl/>
        <w:snapToGrid w:val="0"/>
        <w:spacing w:line="580" w:lineRule="exact"/>
        <w:rPr>
          <w:rFonts w:ascii="仿宋_GB2312" w:hAnsi="Calibri" w:eastAsia="仿宋_GB2312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jc w:val="center"/>
        <w:rPr>
          <w:rFonts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</w:rPr>
        <w:t>纳入补贴范围的新能源汽车产品技术要求</w:t>
      </w:r>
    </w:p>
    <w:p>
      <w:pPr>
        <w:widowControl/>
        <w:shd w:val="clear" w:color="auto" w:fill="FFFFFF"/>
        <w:spacing w:line="580" w:lineRule="exact"/>
        <w:jc w:val="center"/>
        <w:rPr>
          <w:rFonts w:ascii="方正小标宋简体" w:hAnsi="Calibri" w:eastAsia="方正小标宋简体"/>
          <w:kern w:val="0"/>
          <w:sz w:val="44"/>
          <w:szCs w:val="44"/>
        </w:rPr>
      </w:pPr>
    </w:p>
    <w:p>
      <w:pPr>
        <w:widowControl/>
        <w:spacing w:line="580" w:lineRule="exact"/>
        <w:ind w:firstLine="640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b/>
          <w:bCs/>
          <w:kern w:val="0"/>
          <w:sz w:val="32"/>
          <w:szCs w:val="32"/>
        </w:rPr>
        <w:t>一、</w:t>
      </w:r>
      <w:r>
        <w:rPr>
          <w:rFonts w:hint="eastAsia" w:ascii="黑体" w:hAnsi="黑体" w:eastAsia="黑体"/>
          <w:kern w:val="0"/>
          <w:sz w:val="32"/>
          <w:szCs w:val="32"/>
        </w:rPr>
        <w:t>新能源乘用车技术要求</w:t>
      </w:r>
    </w:p>
    <w:p>
      <w:pPr>
        <w:widowControl/>
        <w:spacing w:line="580" w:lineRule="exact"/>
        <w:ind w:firstLine="640"/>
        <w:rPr>
          <w:rFonts w:ascii="仿宋_GB2312" w:hAnsi="黑体" w:eastAsia="仿宋_GB2312"/>
          <w:kern w:val="0"/>
          <w:sz w:val="32"/>
          <w:szCs w:val="32"/>
        </w:rPr>
      </w:pPr>
      <w:r>
        <w:rPr>
          <w:rFonts w:hint="eastAsia" w:ascii="仿宋_GB2312" w:hAnsi="黑体" w:eastAsia="仿宋_GB2312"/>
          <w:kern w:val="0"/>
          <w:sz w:val="32"/>
          <w:szCs w:val="32"/>
        </w:rPr>
        <w:t>（一）纯电动乘用车30分钟最高车速不低于100km/h。</w:t>
      </w:r>
    </w:p>
    <w:p>
      <w:pPr>
        <w:widowControl/>
        <w:spacing w:line="580" w:lineRule="exact"/>
        <w:ind w:firstLine="640"/>
        <w:rPr>
          <w:rFonts w:ascii="仿宋_GB2312" w:hAnsi="黑体" w:eastAsia="仿宋_GB2312"/>
          <w:kern w:val="0"/>
          <w:sz w:val="32"/>
          <w:szCs w:val="32"/>
        </w:rPr>
      </w:pPr>
      <w:r>
        <w:rPr>
          <w:rFonts w:hint="eastAsia" w:ascii="仿宋_GB2312" w:hAnsi="黑体" w:eastAsia="仿宋_GB2312"/>
          <w:kern w:val="0"/>
          <w:sz w:val="32"/>
          <w:szCs w:val="32"/>
        </w:rPr>
        <w:t>（二）纯电动乘用车工况法续驶里程不低于150 km。插电式混合动力（含增程式）乘用车工况法续驶里程不低于50 km。</w:t>
      </w:r>
    </w:p>
    <w:p>
      <w:pPr>
        <w:widowControl/>
        <w:spacing w:line="580" w:lineRule="exact"/>
        <w:ind w:firstLine="640"/>
        <w:rPr>
          <w:rFonts w:ascii="仿宋_GB2312" w:hAnsi="黑体" w:eastAsia="仿宋_GB2312"/>
          <w:kern w:val="0"/>
          <w:sz w:val="32"/>
          <w:szCs w:val="32"/>
        </w:rPr>
      </w:pPr>
      <w:r>
        <w:rPr>
          <w:rFonts w:hint="eastAsia" w:ascii="仿宋_GB2312" w:hAnsi="黑体" w:eastAsia="仿宋_GB2312"/>
          <w:kern w:val="0"/>
          <w:sz w:val="32"/>
          <w:szCs w:val="32"/>
        </w:rPr>
        <w:t>（三）纯电动乘用车动力电池系统的质量能量密度不低于105Wh/kg，105（含）-120Wh/kg的车型按0.6倍补贴，120（含）-140Wh/kg的车型按1倍补贴，140（含）-160Wh/kg的车型按1.1倍补贴，160Wh/kg及以上的车型按1.2倍补贴。</w:t>
      </w:r>
    </w:p>
    <w:p>
      <w:pPr>
        <w:widowControl/>
        <w:spacing w:line="580" w:lineRule="exact"/>
        <w:ind w:firstLine="640"/>
        <w:rPr>
          <w:rFonts w:ascii="仿宋_GB2312" w:hAnsi="黑体" w:eastAsia="仿宋_GB2312"/>
          <w:kern w:val="0"/>
          <w:sz w:val="32"/>
          <w:szCs w:val="32"/>
        </w:rPr>
      </w:pPr>
      <w:r>
        <w:rPr>
          <w:rFonts w:hint="eastAsia" w:ascii="仿宋_GB2312" w:hAnsi="黑体" w:eastAsia="仿宋_GB2312"/>
          <w:kern w:val="0"/>
          <w:sz w:val="32"/>
          <w:szCs w:val="32"/>
        </w:rPr>
        <w:t>（四）根据纯电动乘用车能耗水平设置调整系数。按整车整备质量（m）不同，工况条件下百公里耗电量（Y）应满足以下门槛条件：m≤1000kg时，Y≤0.0126×m+0.45；1000&lt;m≤1600kg时, Y≤0.0108×m+2.25；m&gt;1600kg时，Y≤0.0045×m+12.33。百公里耗电量（Y）优于门槛0（含）-5%的车型按0.5倍补贴，优于门槛5（含）-25%的车型按1倍补贴，优于门槛25%（含）以上的车型按1.1倍补贴。</w:t>
      </w:r>
    </w:p>
    <w:p>
      <w:pPr>
        <w:widowControl/>
        <w:spacing w:line="600" w:lineRule="exact"/>
        <w:ind w:firstLine="641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hint="eastAsia" w:ascii="仿宋_GB2312" w:hAnsi="黑体" w:eastAsia="仿宋_GB2312"/>
          <w:kern w:val="0"/>
          <w:sz w:val="32"/>
          <w:szCs w:val="32"/>
        </w:rPr>
        <w:t>（五）工况法纯电续驶里程低于80km的插电式混合动力乘用车B状态燃料消耗量（不含电能转化的燃料消耗量）与现行的常规燃料消耗量国家标准中对应限值相比小于65%，比值介于60%（含）-65%之间的车型按0.5倍补贴，比值小于60%的车型按1倍补贴。工况法纯电续驶里程大于等于80km的插电式混合动力乘用车，其A状态百公里耗电量应满足纯电动乘用车门槛要求。</w:t>
      </w:r>
    </w:p>
    <w:p>
      <w:pPr>
        <w:widowControl/>
        <w:spacing w:line="600" w:lineRule="exact"/>
        <w:ind w:firstLine="64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b/>
          <w:bCs/>
          <w:kern w:val="0"/>
          <w:sz w:val="32"/>
          <w:szCs w:val="32"/>
        </w:rPr>
        <w:t>二、</w:t>
      </w:r>
      <w:r>
        <w:rPr>
          <w:rFonts w:hint="eastAsia" w:ascii="黑体" w:hAnsi="黑体" w:eastAsia="黑体"/>
          <w:kern w:val="0"/>
          <w:sz w:val="32"/>
          <w:szCs w:val="32"/>
        </w:rPr>
        <w:t>纯电动客车技术要求</w:t>
      </w:r>
    </w:p>
    <w:p>
      <w:pPr>
        <w:widowControl/>
        <w:spacing w:line="600" w:lineRule="exact"/>
        <w:ind w:firstLine="641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hint="eastAsia" w:ascii="仿宋_GB2312" w:hAnsi="黑体" w:eastAsia="仿宋_GB2312"/>
          <w:kern w:val="0"/>
          <w:sz w:val="32"/>
          <w:szCs w:val="32"/>
        </w:rPr>
        <w:t>（一）</w:t>
      </w:r>
      <w:r>
        <w:rPr>
          <w:rFonts w:hint="eastAsia" w:ascii="仿宋_GB2312" w:hAnsi="Calibri" w:eastAsia="仿宋_GB2312"/>
          <w:kern w:val="0"/>
          <w:sz w:val="32"/>
          <w:szCs w:val="32"/>
        </w:rPr>
        <w:t>单位载质量能量消耗量（Ekg）不高于0.21Wh/km</w:t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>•</w:t>
      </w:r>
      <w:r>
        <w:rPr>
          <w:rFonts w:hint="eastAsia" w:ascii="仿宋_GB2312" w:hAnsi="Calibri" w:eastAsia="仿宋_GB2312"/>
          <w:kern w:val="0"/>
          <w:sz w:val="32"/>
          <w:szCs w:val="32"/>
        </w:rPr>
        <w:t>kg，0.15-0.21（含）Wh/km</w:t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>•</w:t>
      </w:r>
      <w:r>
        <w:rPr>
          <w:rFonts w:hint="eastAsia" w:ascii="仿宋_GB2312" w:hAnsi="Calibri" w:eastAsia="仿宋_GB2312"/>
          <w:kern w:val="0"/>
          <w:sz w:val="32"/>
          <w:szCs w:val="32"/>
        </w:rPr>
        <w:t>kg的车型按1倍补贴，0.15Wh/km</w:t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>•</w:t>
      </w:r>
      <w:r>
        <w:rPr>
          <w:rFonts w:hint="eastAsia" w:ascii="仿宋_GB2312" w:hAnsi="Calibri" w:eastAsia="仿宋_GB2312"/>
          <w:kern w:val="0"/>
          <w:sz w:val="32"/>
          <w:szCs w:val="32"/>
        </w:rPr>
        <w:t>kg及以下的车型按1.1倍补贴。计算Ekg值所需的附加质量按照《关于2016-2020年新能源汽车推广应用财政支持政策的通知》（财建〔2015〕134号）执行，能量消耗率按《电动汽车能量消耗率和续驶里程试验方法》（GB/T 18386-2017）测试（新能源货车和专用车也按此计算）。</w:t>
      </w:r>
    </w:p>
    <w:p>
      <w:pPr>
        <w:widowControl/>
        <w:spacing w:line="600" w:lineRule="exact"/>
        <w:ind w:firstLine="641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hint="eastAsia" w:ascii="仿宋_GB2312" w:hAnsi="黑体" w:eastAsia="仿宋_GB2312"/>
          <w:kern w:val="0"/>
          <w:sz w:val="32"/>
          <w:szCs w:val="32"/>
        </w:rPr>
        <w:t>（二）</w:t>
      </w:r>
      <w:r>
        <w:rPr>
          <w:rFonts w:hint="eastAsia" w:ascii="仿宋_GB2312" w:hAnsi="Calibri" w:eastAsia="仿宋_GB2312"/>
          <w:kern w:val="0"/>
          <w:sz w:val="32"/>
          <w:szCs w:val="32"/>
        </w:rPr>
        <w:t>纯电动客车（不含快充类纯电动客车）续驶里程不低于200公里（等速法）。</w:t>
      </w:r>
    </w:p>
    <w:p>
      <w:pPr>
        <w:widowControl/>
        <w:spacing w:line="600" w:lineRule="exact"/>
        <w:ind w:firstLine="641"/>
        <w:rPr>
          <w:rFonts w:ascii="Calibri" w:hAnsi="Calibri"/>
          <w:kern w:val="0"/>
          <w:sz w:val="32"/>
          <w:szCs w:val="32"/>
        </w:rPr>
      </w:pPr>
      <w:r>
        <w:rPr>
          <w:rFonts w:hint="eastAsia" w:ascii="仿宋_GB2312" w:hAnsi="黑体" w:eastAsia="仿宋_GB2312"/>
          <w:kern w:val="0"/>
          <w:sz w:val="32"/>
          <w:szCs w:val="32"/>
        </w:rPr>
        <w:t>（三）</w:t>
      </w:r>
      <w:r>
        <w:rPr>
          <w:rFonts w:hint="eastAsia" w:ascii="仿宋_GB2312" w:hAnsi="Calibri" w:eastAsia="仿宋_GB2312"/>
          <w:kern w:val="0"/>
          <w:sz w:val="32"/>
          <w:szCs w:val="32"/>
        </w:rPr>
        <w:t>非快充类纯电动客车电池系统能量密度要高于115Wh/kg，快充类纯电动客车快充倍率要高于3C。</w:t>
      </w:r>
    </w:p>
    <w:p>
      <w:pPr>
        <w:widowControl/>
        <w:spacing w:line="600" w:lineRule="exact"/>
        <w:ind w:firstLine="64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b/>
          <w:bCs/>
          <w:kern w:val="0"/>
          <w:sz w:val="32"/>
          <w:szCs w:val="32"/>
        </w:rPr>
        <w:t>三、</w:t>
      </w:r>
      <w:r>
        <w:rPr>
          <w:rFonts w:hint="eastAsia" w:ascii="黑体" w:hAnsi="黑体" w:eastAsia="黑体"/>
          <w:kern w:val="0"/>
          <w:sz w:val="32"/>
          <w:szCs w:val="32"/>
        </w:rPr>
        <w:t>纯电动货车和专用车技术要求</w:t>
      </w:r>
    </w:p>
    <w:p>
      <w:pPr>
        <w:widowControl/>
        <w:spacing w:line="600" w:lineRule="exact"/>
        <w:ind w:firstLine="641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hint="eastAsia" w:ascii="仿宋_GB2312" w:hAnsi="黑体" w:eastAsia="仿宋_GB2312"/>
          <w:kern w:val="0"/>
          <w:sz w:val="32"/>
          <w:szCs w:val="32"/>
        </w:rPr>
        <w:t>（一）</w:t>
      </w:r>
      <w:r>
        <w:rPr>
          <w:rFonts w:hint="eastAsia" w:ascii="仿宋_GB2312" w:hAnsi="Calibri" w:eastAsia="仿宋_GB2312"/>
          <w:kern w:val="0"/>
          <w:sz w:val="32"/>
          <w:szCs w:val="32"/>
        </w:rPr>
        <w:t>装载动力电池系统能量密度不低于115Wh/kg。</w:t>
      </w:r>
    </w:p>
    <w:p>
      <w:pPr>
        <w:widowControl/>
        <w:spacing w:line="600" w:lineRule="exact"/>
        <w:ind w:firstLine="641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hint="eastAsia" w:ascii="仿宋_GB2312" w:hAnsi="黑体" w:eastAsia="仿宋_GB2312"/>
          <w:kern w:val="0"/>
          <w:sz w:val="32"/>
          <w:szCs w:val="32"/>
        </w:rPr>
        <w:t>（二）</w:t>
      </w:r>
      <w:r>
        <w:rPr>
          <w:rFonts w:hint="eastAsia" w:ascii="仿宋_GB2312" w:hAnsi="Calibri" w:eastAsia="仿宋_GB2312"/>
          <w:kern w:val="0"/>
          <w:sz w:val="32"/>
          <w:szCs w:val="32"/>
        </w:rPr>
        <w:t>纯电动货车、运输类专用车单位载质量能量消耗量（Ekg）不高于0.4Wh/km</w:t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>•</w:t>
      </w:r>
      <w:r>
        <w:rPr>
          <w:rFonts w:hint="eastAsia" w:ascii="仿宋_GB2312" w:hAnsi="Calibri" w:eastAsia="仿宋_GB2312"/>
          <w:kern w:val="0"/>
          <w:sz w:val="32"/>
          <w:szCs w:val="32"/>
        </w:rPr>
        <w:t>kg，对0.35-0.4 Wh/km</w:t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>•</w:t>
      </w:r>
      <w:r>
        <w:rPr>
          <w:rFonts w:hint="eastAsia" w:ascii="仿宋_GB2312" w:hAnsi="Calibri" w:eastAsia="仿宋_GB2312"/>
          <w:kern w:val="0"/>
          <w:sz w:val="32"/>
          <w:szCs w:val="32"/>
        </w:rPr>
        <w:t>kg（含）的按0.2倍补贴，对0.35Wh/km</w:t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>•</w:t>
      </w:r>
      <w:r>
        <w:rPr>
          <w:rFonts w:hint="eastAsia" w:ascii="仿宋_GB2312" w:hAnsi="Calibri" w:eastAsia="仿宋_GB2312"/>
          <w:kern w:val="0"/>
          <w:sz w:val="32"/>
          <w:szCs w:val="32"/>
        </w:rPr>
        <w:t>kg及以下的按1倍补贴。</w:t>
      </w:r>
    </w:p>
    <w:p>
      <w:pPr>
        <w:widowControl/>
        <w:spacing w:line="600" w:lineRule="exact"/>
        <w:ind w:firstLine="641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hint="eastAsia" w:ascii="仿宋_GB2312" w:hAnsi="黑体" w:eastAsia="仿宋_GB2312"/>
          <w:kern w:val="0"/>
          <w:sz w:val="32"/>
          <w:szCs w:val="32"/>
        </w:rPr>
        <w:t>（三）</w:t>
      </w:r>
      <w:r>
        <w:rPr>
          <w:rFonts w:hint="eastAsia" w:ascii="仿宋_GB2312" w:hAnsi="Calibri" w:eastAsia="仿宋_GB2312"/>
          <w:kern w:val="0"/>
          <w:sz w:val="32"/>
          <w:szCs w:val="32"/>
        </w:rPr>
        <w:t>作业类纯电动专用车吨百公里电耗（按试验质量）不超过8kWh。</w:t>
      </w:r>
    </w:p>
    <w:p>
      <w:pPr>
        <w:widowControl/>
        <w:spacing w:line="600" w:lineRule="exact"/>
        <w:ind w:firstLine="64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四、燃料电池汽车技术要求</w:t>
      </w:r>
    </w:p>
    <w:p>
      <w:pPr>
        <w:widowControl/>
        <w:spacing w:line="580" w:lineRule="exact"/>
        <w:ind w:firstLine="640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hint="eastAsia" w:ascii="仿宋_GB2312" w:hAnsi="黑体" w:eastAsia="仿宋_GB2312"/>
          <w:kern w:val="0"/>
          <w:sz w:val="32"/>
          <w:szCs w:val="32"/>
        </w:rPr>
        <w:t>（一）</w:t>
      </w:r>
      <w:r>
        <w:rPr>
          <w:rFonts w:hint="eastAsia" w:ascii="仿宋_GB2312" w:hAnsi="Calibri" w:eastAsia="仿宋_GB2312"/>
          <w:kern w:val="0"/>
          <w:sz w:val="32"/>
          <w:szCs w:val="32"/>
        </w:rPr>
        <w:t>燃料电池系统的额定功率与驱动电机的额定功率比值不低于30%，比值介于0.3（含）-0.4的车型按0.8倍补贴，比值介于0.4（含）-0.5的车型按0.9倍补贴，比值在0.5（含）以上的车型按1倍补贴。</w:t>
      </w:r>
    </w:p>
    <w:p>
      <w:pPr>
        <w:widowControl/>
        <w:spacing w:line="580" w:lineRule="exact"/>
        <w:ind w:firstLine="640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hint="eastAsia" w:ascii="仿宋_GB2312" w:hAnsi="黑体" w:eastAsia="仿宋_GB2312"/>
          <w:kern w:val="0"/>
          <w:sz w:val="32"/>
          <w:szCs w:val="32"/>
        </w:rPr>
        <w:t>（二）</w:t>
      </w:r>
      <w:r>
        <w:rPr>
          <w:rFonts w:hint="eastAsia" w:ascii="仿宋_GB2312" w:hAnsi="Calibri" w:eastAsia="仿宋_GB2312"/>
          <w:kern w:val="0"/>
          <w:sz w:val="32"/>
          <w:szCs w:val="32"/>
        </w:rPr>
        <w:t>乘用车燃料电池系统的额定功率不小于10kW，商用车燃料电池系统的额定功率不小于30kW。</w:t>
      </w:r>
    </w:p>
    <w:p>
      <w:pPr>
        <w:widowControl/>
        <w:spacing w:line="580" w:lineRule="exact"/>
        <w:ind w:firstLine="640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hint="eastAsia" w:ascii="仿宋_GB2312" w:hAnsi="黑体" w:eastAsia="仿宋_GB2312"/>
          <w:kern w:val="0"/>
          <w:sz w:val="32"/>
          <w:szCs w:val="32"/>
        </w:rPr>
        <w:t>（三）</w:t>
      </w:r>
      <w:r>
        <w:rPr>
          <w:rFonts w:hint="eastAsia" w:ascii="仿宋_GB2312" w:hAnsi="Calibri" w:eastAsia="仿宋_GB2312"/>
          <w:kern w:val="0"/>
          <w:sz w:val="32"/>
          <w:szCs w:val="32"/>
        </w:rPr>
        <w:t>燃料电池汽车纯电续驶里程不低于300公里。</w:t>
      </w:r>
    </w:p>
    <w:p>
      <w:pPr>
        <w:widowControl/>
        <w:spacing w:line="580" w:lineRule="exact"/>
        <w:ind w:firstLine="640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hint="eastAsia" w:ascii="仿宋_GB2312" w:hAnsi="黑体" w:eastAsia="仿宋_GB2312"/>
          <w:kern w:val="0"/>
          <w:sz w:val="32"/>
          <w:szCs w:val="32"/>
        </w:rPr>
        <w:t>（四）</w:t>
      </w:r>
      <w:r>
        <w:rPr>
          <w:rFonts w:hint="eastAsia" w:ascii="仿宋_GB2312" w:hAnsi="Calibri" w:eastAsia="仿宋_GB2312"/>
          <w:kern w:val="0"/>
          <w:sz w:val="32"/>
          <w:szCs w:val="32"/>
        </w:rPr>
        <w:t>燃料电池汽车所采用的燃料电池应满足《道路车辆用质子交换膜燃料电池模块》（标准号GB/T 33978-2017）标准中的储存温度要求。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02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2019-01-18T06:46:29Z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