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BC7" w:rsidRPr="005D7759" w:rsidRDefault="00141BC7" w:rsidP="00141BC7">
      <w:pPr>
        <w:spacing w:line="600" w:lineRule="exact"/>
        <w:rPr>
          <w:rFonts w:ascii="黑体" w:eastAsia="黑体" w:hAnsi="黑体"/>
        </w:rPr>
      </w:pPr>
      <w:r w:rsidRPr="005D7759">
        <w:rPr>
          <w:rFonts w:ascii="黑体" w:eastAsia="黑体" w:hAnsi="黑体" w:hint="eastAsia"/>
        </w:rPr>
        <w:t>附件</w:t>
      </w:r>
    </w:p>
    <w:p w:rsidR="00141BC7" w:rsidRDefault="00141BC7" w:rsidP="00141BC7">
      <w:pPr>
        <w:spacing w:line="600" w:lineRule="exact"/>
      </w:pPr>
    </w:p>
    <w:p w:rsidR="00141BC7" w:rsidRDefault="00141BC7" w:rsidP="00141BC7">
      <w:pPr>
        <w:spacing w:line="600" w:lineRule="exact"/>
        <w:ind w:left="-320" w:rightChars="-100" w:right="-320"/>
        <w:jc w:val="center"/>
        <w:rPr>
          <w:rFonts w:ascii="宋体" w:eastAsia="宋体" w:hAnsi="宋体"/>
          <w:b/>
          <w:sz w:val="44"/>
          <w:szCs w:val="44"/>
        </w:rPr>
      </w:pPr>
      <w:r>
        <w:rPr>
          <w:rFonts w:ascii="宋体" w:eastAsia="宋体" w:hAnsi="宋体" w:hint="eastAsia"/>
          <w:b/>
          <w:sz w:val="44"/>
          <w:szCs w:val="44"/>
        </w:rPr>
        <w:t>关于完善我市机动车停放服务收费政策的通知</w:t>
      </w:r>
    </w:p>
    <w:p w:rsidR="00141BC7" w:rsidRPr="005D7759" w:rsidRDefault="00141BC7" w:rsidP="00141BC7">
      <w:pPr>
        <w:spacing w:line="600" w:lineRule="exact"/>
        <w:jc w:val="center"/>
        <w:rPr>
          <w:rFonts w:ascii="楷体_GB2312" w:eastAsia="楷体_GB2312"/>
          <w:color w:val="000000"/>
        </w:rPr>
      </w:pPr>
      <w:r w:rsidRPr="005D7759">
        <w:rPr>
          <w:rFonts w:ascii="楷体_GB2312" w:eastAsia="楷体_GB2312" w:hint="eastAsia"/>
          <w:color w:val="000000"/>
        </w:rPr>
        <w:t>（征求意见稿）</w:t>
      </w:r>
    </w:p>
    <w:p w:rsidR="00141BC7" w:rsidRDefault="00141BC7" w:rsidP="00141BC7">
      <w:pPr>
        <w:spacing w:line="600" w:lineRule="exact"/>
        <w:jc w:val="center"/>
        <w:rPr>
          <w:color w:val="000000"/>
        </w:rPr>
      </w:pPr>
    </w:p>
    <w:p w:rsidR="00141BC7" w:rsidRDefault="00141BC7" w:rsidP="00141BC7">
      <w:pPr>
        <w:spacing w:line="600" w:lineRule="exact"/>
        <w:rPr>
          <w:rFonts w:ascii="仿宋_GB2312"/>
          <w:color w:val="000000"/>
        </w:rPr>
      </w:pPr>
      <w:r>
        <w:rPr>
          <w:rFonts w:ascii="仿宋_GB2312" w:hint="eastAsia"/>
          <w:color w:val="000000"/>
        </w:rPr>
        <w:t>各有关单位，各停车场经营者：</w:t>
      </w:r>
    </w:p>
    <w:p w:rsidR="00141BC7" w:rsidRDefault="00141BC7" w:rsidP="00141BC7">
      <w:pPr>
        <w:spacing w:line="600" w:lineRule="exact"/>
        <w:ind w:firstLineChars="200" w:firstLine="640"/>
        <w:rPr>
          <w:rFonts w:ascii="仿宋_GB2312"/>
          <w:color w:val="000000"/>
        </w:rPr>
      </w:pPr>
      <w:r>
        <w:rPr>
          <w:rFonts w:ascii="仿宋_GB2312" w:hint="eastAsia"/>
          <w:color w:val="000000"/>
        </w:rPr>
        <w:t>为进一步完善机动车停放服务收费形成机制，规范停放服务收费行为，充分发挥价格杠杆作用，提高停车资源配置效率，根据《广东省发展改革委 广东省住房和城乡建设厅 广东省交通运输厅关于进一步完善机动车停放服务收费政策的实施意见》（粤发改</w:t>
      </w:r>
      <w:proofErr w:type="gramStart"/>
      <w:r>
        <w:rPr>
          <w:rFonts w:ascii="仿宋_GB2312" w:hint="eastAsia"/>
          <w:color w:val="000000"/>
        </w:rPr>
        <w:t>规</w:t>
      </w:r>
      <w:proofErr w:type="gramEnd"/>
      <w:r>
        <w:rPr>
          <w:rFonts w:ascii="仿宋_GB2312" w:hint="eastAsia"/>
          <w:color w:val="000000"/>
        </w:rPr>
        <w:t>〔2017〕5号）有关规定，现就进一步完善我市机动车停放服务收费政策有关事项通知如下：</w:t>
      </w:r>
    </w:p>
    <w:p w:rsidR="00141BC7" w:rsidRDefault="00141BC7" w:rsidP="00141BC7">
      <w:pPr>
        <w:spacing w:line="600" w:lineRule="exact"/>
        <w:ind w:firstLineChars="200" w:firstLine="640"/>
        <w:rPr>
          <w:rFonts w:hAnsi="仿宋"/>
        </w:rPr>
      </w:pPr>
      <w:r w:rsidRPr="00EA1591">
        <w:rPr>
          <w:rFonts w:ascii="仿宋" w:eastAsia="仿宋" w:hAnsi="仿宋" w:hint="eastAsia"/>
        </w:rPr>
        <w:t>一、</w:t>
      </w:r>
      <w:r>
        <w:rPr>
          <w:rFonts w:hAnsi="仿宋" w:hint="eastAsia"/>
        </w:rPr>
        <w:t>本通知适用于全市范围内具有经营服务性质的机动车停放服务收费行为，路内停车收费按照行政事业性收费管理有关规定执行。</w:t>
      </w:r>
    </w:p>
    <w:p w:rsidR="00141BC7" w:rsidRDefault="00141BC7" w:rsidP="00141BC7">
      <w:pPr>
        <w:widowControl/>
        <w:spacing w:line="600" w:lineRule="exact"/>
        <w:ind w:firstLineChars="200" w:firstLine="640"/>
        <w:rPr>
          <w:rFonts w:hAnsi="仿宋"/>
          <w:color w:val="000000"/>
        </w:rPr>
      </w:pPr>
      <w:r w:rsidRPr="00EA1591">
        <w:rPr>
          <w:rFonts w:ascii="仿宋" w:eastAsia="仿宋" w:hAnsi="仿宋" w:hint="eastAsia"/>
          <w:color w:val="000000"/>
        </w:rPr>
        <w:t>二、</w:t>
      </w:r>
      <w:r>
        <w:rPr>
          <w:rFonts w:hAnsi="仿宋" w:hint="eastAsia"/>
          <w:color w:val="000000"/>
        </w:rPr>
        <w:t>机动车停放服务收费区别不同情况分别实行政府定价（含政府指导价，下同）和市场调节价。</w:t>
      </w:r>
    </w:p>
    <w:p w:rsidR="00141BC7" w:rsidRDefault="00141BC7" w:rsidP="00141BC7">
      <w:pPr>
        <w:widowControl/>
        <w:spacing w:line="600" w:lineRule="exact"/>
        <w:ind w:firstLineChars="200" w:firstLine="640"/>
        <w:rPr>
          <w:rFonts w:hAnsi="仿宋"/>
          <w:color w:val="000000"/>
        </w:rPr>
      </w:pPr>
      <w:r>
        <w:rPr>
          <w:rFonts w:hAnsi="仿宋" w:hint="eastAsia"/>
          <w:color w:val="000000"/>
        </w:rPr>
        <w:t>以下具有自然垄断性和公共公益性的停车设施机动车停放服务收费实行政府定价：</w:t>
      </w:r>
    </w:p>
    <w:p w:rsidR="00141BC7" w:rsidRDefault="00141BC7" w:rsidP="00141BC7">
      <w:pPr>
        <w:spacing w:line="600" w:lineRule="exact"/>
        <w:ind w:firstLineChars="200" w:firstLine="640"/>
        <w:rPr>
          <w:rFonts w:hAnsi="仿宋"/>
        </w:rPr>
      </w:pPr>
      <w:r>
        <w:rPr>
          <w:rFonts w:hAnsi="仿宋" w:hint="eastAsia"/>
        </w:rPr>
        <w:t>（一）机场、码头、车站、口岸以及城市公共交通枢纽站、换乘站等交通枢纽配套停车设施，旅游景区（点）配套停车设施；</w:t>
      </w:r>
    </w:p>
    <w:p w:rsidR="00141BC7" w:rsidRDefault="00141BC7" w:rsidP="00141BC7">
      <w:pPr>
        <w:widowControl/>
        <w:spacing w:line="600" w:lineRule="exact"/>
        <w:ind w:firstLineChars="223" w:firstLine="714"/>
        <w:rPr>
          <w:rFonts w:hAnsi="仿宋"/>
        </w:rPr>
      </w:pPr>
      <w:r>
        <w:rPr>
          <w:rFonts w:hAnsi="仿宋" w:hint="eastAsia"/>
        </w:rPr>
        <w:lastRenderedPageBreak/>
        <w:t>（二）党政机关、事业单位配套停车设施，非营利性医疗机构、公办学校以及政府全额或参与投资建设的公园、体育馆、图书馆、博物馆、文化宫、青少年宫、音乐厅、书城等社会公共（公益）性单位配套停车设施；</w:t>
      </w:r>
    </w:p>
    <w:p w:rsidR="00141BC7" w:rsidRDefault="00141BC7" w:rsidP="00141BC7">
      <w:pPr>
        <w:widowControl/>
        <w:spacing w:line="600" w:lineRule="exact"/>
        <w:ind w:firstLineChars="200" w:firstLine="640"/>
        <w:rPr>
          <w:rFonts w:hAnsi="仿宋"/>
        </w:rPr>
      </w:pPr>
      <w:r>
        <w:rPr>
          <w:rFonts w:hAnsi="仿宋" w:hint="eastAsia"/>
        </w:rPr>
        <w:t>（三）政府财政性资金、城市建设投资（交通投资）公司投资建设的</w:t>
      </w:r>
      <w:r>
        <w:rPr>
          <w:rFonts w:hAnsi="仿宋" w:hint="eastAsia"/>
          <w:color w:val="000000"/>
        </w:rPr>
        <w:t>室内专业停车设施</w:t>
      </w:r>
      <w:r>
        <w:rPr>
          <w:rFonts w:hAnsi="仿宋" w:hint="eastAsia"/>
        </w:rPr>
        <w:t>。</w:t>
      </w:r>
    </w:p>
    <w:p w:rsidR="00141BC7" w:rsidRDefault="00141BC7" w:rsidP="00141BC7">
      <w:pPr>
        <w:spacing w:line="600" w:lineRule="exact"/>
        <w:ind w:firstLineChars="200" w:firstLine="640"/>
      </w:pPr>
      <w:r>
        <w:rPr>
          <w:rFonts w:hAnsi="仿宋" w:hint="eastAsia"/>
        </w:rPr>
        <w:t>其他类型停车设施实行市场调节价。其中，政府与社会资本合作建设的停车设施，机动车停放服务收费标准由政府出资方、社会投资者遵循市场规律和合理盈利原则协议确定。</w:t>
      </w:r>
    </w:p>
    <w:p w:rsidR="00141BC7" w:rsidRDefault="00141BC7" w:rsidP="00141BC7">
      <w:pPr>
        <w:widowControl/>
        <w:spacing w:line="600" w:lineRule="exact"/>
        <w:ind w:firstLineChars="200" w:firstLine="640"/>
        <w:rPr>
          <w:rFonts w:hAnsi="仿宋"/>
        </w:rPr>
      </w:pPr>
      <w:r w:rsidRPr="00EA1591">
        <w:rPr>
          <w:rFonts w:ascii="仿宋" w:eastAsia="仿宋" w:hAnsi="仿宋" w:hint="eastAsia"/>
        </w:rPr>
        <w:t>三、</w:t>
      </w:r>
      <w:r>
        <w:rPr>
          <w:rFonts w:hAnsi="仿宋" w:hint="eastAsia"/>
        </w:rPr>
        <w:t>实行政府定价的机动车停放服务收费制定和调整应综合考虑经营成本、地理位置、服务条件、供求关系及社会各方面承受能力等因素，运用价格杠杆，调节停车需求，缓解交通拥堵，促进公共交通优先发展与提高停车资源利用效率。</w:t>
      </w:r>
    </w:p>
    <w:p w:rsidR="00141BC7" w:rsidRDefault="00141BC7" w:rsidP="00141BC7">
      <w:pPr>
        <w:widowControl/>
        <w:spacing w:line="600" w:lineRule="exact"/>
        <w:ind w:firstLineChars="200" w:firstLine="640"/>
        <w:rPr>
          <w:rFonts w:hAnsi="仿宋"/>
        </w:rPr>
      </w:pPr>
      <w:r>
        <w:rPr>
          <w:rFonts w:hAnsi="仿宋" w:hint="eastAsia"/>
        </w:rPr>
        <w:t>对不同区域、不同位置、不同车型、不同时段的机动车停放服务实行差别收费；对在机场、车站、口岸等配套停车设施停放超出一定时间的车辆，可实行累进式加价的阶梯式收费。</w:t>
      </w:r>
    </w:p>
    <w:p w:rsidR="00141BC7" w:rsidRDefault="00141BC7" w:rsidP="00141BC7">
      <w:pPr>
        <w:widowControl/>
        <w:spacing w:line="600" w:lineRule="exact"/>
        <w:ind w:firstLineChars="200" w:firstLine="640"/>
        <w:rPr>
          <w:rFonts w:hAnsi="仿宋"/>
        </w:rPr>
      </w:pPr>
      <w:r w:rsidRPr="00EA1591">
        <w:rPr>
          <w:rFonts w:ascii="仿宋" w:eastAsia="仿宋" w:hAnsi="仿宋" w:hint="eastAsia"/>
        </w:rPr>
        <w:t>四、</w:t>
      </w:r>
      <w:r>
        <w:rPr>
          <w:rFonts w:hAnsi="仿宋" w:hint="eastAsia"/>
          <w:color w:val="000000"/>
        </w:rPr>
        <w:t>住宅小区（含城中村、小产权房等，下同）停车设施停车收费原则上实行市场调节价，</w:t>
      </w:r>
      <w:r>
        <w:rPr>
          <w:rFonts w:hAnsi="仿宋" w:hint="eastAsia"/>
        </w:rPr>
        <w:t>其机动车停放服务收费标准的制定和调整，适用以下规定</w:t>
      </w:r>
      <w:r>
        <w:rPr>
          <w:rFonts w:hAnsi="仿宋" w:hint="eastAsia"/>
        </w:rPr>
        <w:t>:</w:t>
      </w:r>
    </w:p>
    <w:p w:rsidR="00141BC7" w:rsidRDefault="00141BC7" w:rsidP="00141BC7">
      <w:pPr>
        <w:widowControl/>
        <w:spacing w:line="600" w:lineRule="exact"/>
        <w:ind w:firstLineChars="200" w:firstLine="640"/>
        <w:rPr>
          <w:rFonts w:hAnsi="仿宋"/>
        </w:rPr>
      </w:pPr>
      <w:r>
        <w:rPr>
          <w:rFonts w:hAnsi="仿宋" w:hint="eastAsia"/>
        </w:rPr>
        <w:t>（一）经产权登记依法取得停车位所有权的，停车场经营者接受委托开展机动车停放服务经营时，制定或者调整机</w:t>
      </w:r>
      <w:r>
        <w:rPr>
          <w:rFonts w:hAnsi="仿宋" w:hint="eastAsia"/>
        </w:rPr>
        <w:lastRenderedPageBreak/>
        <w:t>动车停放服务收费标准应当通过合同等方式与停车位所有权人进行约定；</w:t>
      </w:r>
    </w:p>
    <w:p w:rsidR="00141BC7" w:rsidRDefault="00141BC7" w:rsidP="00141BC7">
      <w:pPr>
        <w:widowControl/>
        <w:spacing w:line="600" w:lineRule="exact"/>
        <w:ind w:firstLineChars="200" w:firstLine="640"/>
        <w:rPr>
          <w:rFonts w:ascii="仿宋_GB2312" w:hAnsi="仿宋_GB2312" w:cs="仿宋_GB2312"/>
          <w:color w:val="000000"/>
          <w:kern w:val="0"/>
          <w:szCs w:val="32"/>
        </w:rPr>
      </w:pPr>
      <w:r>
        <w:rPr>
          <w:rFonts w:hAnsi="仿宋" w:hint="eastAsia"/>
        </w:rPr>
        <w:t>（二）</w:t>
      </w:r>
      <w:r>
        <w:rPr>
          <w:rFonts w:ascii="仿宋_GB2312" w:hint="eastAsia"/>
          <w:szCs w:val="32"/>
        </w:rPr>
        <w:t>停车位未经产权登记的，</w:t>
      </w:r>
      <w:r>
        <w:rPr>
          <w:rFonts w:ascii="仿宋_GB2312" w:hAnsi="仿宋_GB2312" w:cs="仿宋_GB2312" w:hint="eastAsia"/>
          <w:color w:val="000000"/>
          <w:kern w:val="0"/>
          <w:szCs w:val="32"/>
        </w:rPr>
        <w:t>制定或者调整</w:t>
      </w:r>
      <w:r>
        <w:rPr>
          <w:rFonts w:hAnsi="仿宋" w:hint="eastAsia"/>
        </w:rPr>
        <w:t>机动车停放服务收费标准时</w:t>
      </w:r>
      <w:r>
        <w:rPr>
          <w:rFonts w:ascii="仿宋_GB2312" w:hAnsi="仿宋_GB2312" w:cs="仿宋_GB2312" w:hint="eastAsia"/>
          <w:color w:val="000000"/>
          <w:kern w:val="0"/>
          <w:szCs w:val="32"/>
        </w:rPr>
        <w:t>，应作为涉及业主利益的重大事项，按照《物权法》或者物业管理法律法规相关规定由业主大会依法决定。凡未依法履行业主大会程序的，机动车停放服务收费暂按原住宅小区机动车停放服务指导标准收取。</w:t>
      </w:r>
    </w:p>
    <w:p w:rsidR="00141BC7" w:rsidRDefault="00141BC7" w:rsidP="00141BC7">
      <w:pPr>
        <w:widowControl/>
        <w:spacing w:line="600" w:lineRule="exact"/>
        <w:ind w:firstLineChars="100" w:firstLine="320"/>
        <w:rPr>
          <w:rFonts w:ascii="仿宋_GB2312" w:hAnsi="仿宋_GB2312" w:cs="仿宋_GB2312"/>
          <w:color w:val="000000"/>
          <w:kern w:val="0"/>
          <w:szCs w:val="32"/>
        </w:rPr>
      </w:pPr>
      <w:r>
        <w:rPr>
          <w:rFonts w:ascii="仿宋_GB2312" w:hAnsi="仿宋_GB2312" w:cs="仿宋_GB2312" w:hint="eastAsia"/>
          <w:color w:val="000000"/>
          <w:kern w:val="0"/>
          <w:szCs w:val="32"/>
        </w:rPr>
        <w:t xml:space="preserve">  未依法成立业主大会的住宅区，可由区主管部门会同街道办事处，在征求该住宅区业主或使用人意见并取得过半数书面同意后，指定当地社区工作站代行业主大会职责，与停车场经营者协商确定机动车停放服务收费标准。</w:t>
      </w:r>
    </w:p>
    <w:p w:rsidR="00141BC7" w:rsidRDefault="00141BC7" w:rsidP="00141BC7">
      <w:pPr>
        <w:widowControl/>
        <w:spacing w:line="600" w:lineRule="exact"/>
        <w:ind w:firstLineChars="200" w:firstLine="640"/>
        <w:rPr>
          <w:rFonts w:hAnsi="仿宋"/>
        </w:rPr>
      </w:pPr>
      <w:r w:rsidRPr="00EA1591">
        <w:rPr>
          <w:rFonts w:ascii="仿宋" w:eastAsia="仿宋" w:hAnsi="仿宋" w:hint="eastAsia"/>
        </w:rPr>
        <w:t>五、</w:t>
      </w:r>
      <w:r>
        <w:rPr>
          <w:rFonts w:hAnsi="仿宋" w:hint="eastAsia"/>
          <w:color w:val="000000"/>
        </w:rPr>
        <w:t>住宅与非住宅共用的停车设施内，</w:t>
      </w:r>
      <w:r>
        <w:rPr>
          <w:rFonts w:hAnsi="仿宋" w:hint="eastAsia"/>
        </w:rPr>
        <w:t>对住宅业主或非业主房屋使用人的停车收费按照住宅小区停车收费有关政策执行。</w:t>
      </w:r>
    </w:p>
    <w:p w:rsidR="00141BC7" w:rsidRDefault="00141BC7" w:rsidP="00141BC7">
      <w:pPr>
        <w:widowControl/>
        <w:spacing w:line="600" w:lineRule="exact"/>
        <w:ind w:firstLineChars="200" w:firstLine="640"/>
        <w:rPr>
          <w:rFonts w:hAnsi="仿宋"/>
        </w:rPr>
      </w:pPr>
      <w:r w:rsidRPr="00EA1591">
        <w:rPr>
          <w:rFonts w:ascii="仿宋" w:eastAsia="仿宋" w:hAnsi="仿宋" w:hint="eastAsia"/>
        </w:rPr>
        <w:t>六、</w:t>
      </w:r>
      <w:r>
        <w:rPr>
          <w:rFonts w:hAnsi="仿宋" w:hint="eastAsia"/>
        </w:rPr>
        <w:t>下列情形的车辆免收机动车停放服务费：</w:t>
      </w:r>
    </w:p>
    <w:p w:rsidR="00141BC7" w:rsidRDefault="00141BC7" w:rsidP="00141BC7">
      <w:pPr>
        <w:widowControl/>
        <w:spacing w:line="600" w:lineRule="exact"/>
        <w:ind w:firstLineChars="200" w:firstLine="640"/>
        <w:rPr>
          <w:rFonts w:hAnsi="仿宋"/>
        </w:rPr>
      </w:pPr>
      <w:r>
        <w:rPr>
          <w:rFonts w:hAnsi="仿宋" w:hint="eastAsia"/>
        </w:rPr>
        <w:t>（一）执行公务的军警车辆、实施救助的医院救护车辆、收投邮件的邮政车辆以及实施作业的市政工程抢修车辆；</w:t>
      </w:r>
    </w:p>
    <w:p w:rsidR="00141BC7" w:rsidRDefault="00141BC7" w:rsidP="00141BC7">
      <w:pPr>
        <w:widowControl/>
        <w:spacing w:line="600" w:lineRule="exact"/>
        <w:ind w:firstLineChars="200" w:firstLine="640"/>
        <w:rPr>
          <w:rFonts w:hAnsi="仿宋"/>
        </w:rPr>
      </w:pPr>
      <w:r>
        <w:rPr>
          <w:rFonts w:hAnsi="仿宋" w:hint="eastAsia"/>
        </w:rPr>
        <w:t>（二）非营利性医院、公办学校、党政机关、事业单位等公共公益性单位配套停车设施内停车不足</w:t>
      </w:r>
      <w:r>
        <w:rPr>
          <w:rFonts w:hAnsi="仿宋" w:hint="eastAsia"/>
        </w:rPr>
        <w:t>30</w:t>
      </w:r>
      <w:r>
        <w:rPr>
          <w:rFonts w:hAnsi="仿宋" w:hint="eastAsia"/>
        </w:rPr>
        <w:t>分钟（含</w:t>
      </w:r>
      <w:r>
        <w:rPr>
          <w:rFonts w:hAnsi="仿宋" w:hint="eastAsia"/>
        </w:rPr>
        <w:t>30</w:t>
      </w:r>
      <w:r>
        <w:rPr>
          <w:rFonts w:hAnsi="仿宋" w:hint="eastAsia"/>
        </w:rPr>
        <w:t>分钟）的，或者进入其他实行政府定价的停车设施</w:t>
      </w:r>
      <w:r>
        <w:rPr>
          <w:rFonts w:hAnsi="仿宋" w:hint="eastAsia"/>
        </w:rPr>
        <w:t>15</w:t>
      </w:r>
      <w:r>
        <w:rPr>
          <w:rFonts w:hAnsi="仿宋" w:hint="eastAsia"/>
        </w:rPr>
        <w:t>分钟以内（含</w:t>
      </w:r>
      <w:r>
        <w:rPr>
          <w:rFonts w:hAnsi="仿宋" w:hint="eastAsia"/>
        </w:rPr>
        <w:t>15</w:t>
      </w:r>
      <w:r>
        <w:rPr>
          <w:rFonts w:hAnsi="仿宋" w:hint="eastAsia"/>
        </w:rPr>
        <w:t>分钟）的车辆；</w:t>
      </w:r>
    </w:p>
    <w:p w:rsidR="00141BC7" w:rsidRDefault="00141BC7" w:rsidP="00141BC7">
      <w:pPr>
        <w:widowControl/>
        <w:spacing w:line="600" w:lineRule="exact"/>
        <w:ind w:firstLineChars="200" w:firstLine="640"/>
      </w:pPr>
      <w:r>
        <w:rPr>
          <w:rFonts w:hAnsi="仿宋" w:hint="eastAsia"/>
        </w:rPr>
        <w:t>（三）在实行政府定价管理的停车设施内充电（每天首两小时内）的新</w:t>
      </w:r>
      <w:r>
        <w:rPr>
          <w:rFonts w:hint="eastAsia"/>
        </w:rPr>
        <w:t>能源汽车。</w:t>
      </w:r>
    </w:p>
    <w:p w:rsidR="00141BC7" w:rsidRDefault="00141BC7" w:rsidP="00141BC7">
      <w:pPr>
        <w:spacing w:line="600" w:lineRule="exact"/>
        <w:ind w:firstLineChars="200" w:firstLine="640"/>
        <w:rPr>
          <w:rFonts w:hAnsi="仿宋"/>
        </w:rPr>
      </w:pPr>
      <w:r w:rsidRPr="00EA1591">
        <w:rPr>
          <w:rFonts w:ascii="仿宋" w:eastAsia="仿宋" w:hAnsi="仿宋" w:hint="eastAsia"/>
        </w:rPr>
        <w:lastRenderedPageBreak/>
        <w:t>七、</w:t>
      </w:r>
      <w:r>
        <w:rPr>
          <w:rFonts w:hAnsi="仿宋" w:hint="eastAsia"/>
        </w:rPr>
        <w:t>鼓励实行市场调节价管理的停车场所设置一定时间机动车免费停放时间，并对新能源汽车充电时减免机动车停放服务收费。</w:t>
      </w:r>
    </w:p>
    <w:p w:rsidR="00141BC7" w:rsidRDefault="00141BC7" w:rsidP="00141BC7">
      <w:pPr>
        <w:adjustRightInd w:val="0"/>
        <w:snapToGrid w:val="0"/>
        <w:spacing w:line="600" w:lineRule="exact"/>
        <w:ind w:firstLineChars="200" w:firstLine="640"/>
        <w:rPr>
          <w:rFonts w:ascii="仿宋_GB2312" w:hAnsi="华文中宋"/>
          <w:snapToGrid w:val="0"/>
          <w:kern w:val="0"/>
          <w:szCs w:val="32"/>
        </w:rPr>
      </w:pPr>
      <w:r w:rsidRPr="00EA1591">
        <w:rPr>
          <w:rFonts w:ascii="仿宋" w:eastAsia="仿宋" w:hAnsi="仿宋" w:hint="eastAsia"/>
        </w:rPr>
        <w:t>八、</w:t>
      </w:r>
      <w:r>
        <w:rPr>
          <w:rFonts w:ascii="仿宋_GB2312" w:hAnsi="华文中宋" w:hint="eastAsia"/>
          <w:snapToGrid w:val="0"/>
          <w:kern w:val="0"/>
          <w:szCs w:val="32"/>
        </w:rPr>
        <w:t>机动车停放服务收费车型分为小车、大车和超大型车：</w:t>
      </w:r>
    </w:p>
    <w:p w:rsidR="00141BC7" w:rsidRDefault="00141BC7" w:rsidP="00141BC7">
      <w:pPr>
        <w:adjustRightInd w:val="0"/>
        <w:snapToGrid w:val="0"/>
        <w:spacing w:line="600" w:lineRule="exact"/>
        <w:ind w:firstLineChars="200" w:firstLine="640"/>
        <w:rPr>
          <w:rFonts w:ascii="仿宋_GB2312" w:hAnsi="华文中宋"/>
          <w:snapToGrid w:val="0"/>
          <w:kern w:val="0"/>
          <w:szCs w:val="32"/>
        </w:rPr>
      </w:pPr>
      <w:r>
        <w:rPr>
          <w:rFonts w:ascii="仿宋_GB2312" w:hAnsi="华文中宋" w:hint="eastAsia"/>
          <w:snapToGrid w:val="0"/>
          <w:kern w:val="0"/>
          <w:szCs w:val="32"/>
        </w:rPr>
        <w:t>（一）小车指额定载重</w:t>
      </w:r>
      <w:r>
        <w:rPr>
          <w:rFonts w:ascii="仿宋_GB2312" w:hAnsi="华文中宋"/>
          <w:snapToGrid w:val="0"/>
          <w:kern w:val="0"/>
          <w:szCs w:val="32"/>
        </w:rPr>
        <w:t>2吨以下（含2吨）或载客20座以下（含20座）的各种机动车；</w:t>
      </w:r>
    </w:p>
    <w:p w:rsidR="00141BC7" w:rsidRDefault="00141BC7" w:rsidP="00141BC7">
      <w:pPr>
        <w:adjustRightInd w:val="0"/>
        <w:snapToGrid w:val="0"/>
        <w:spacing w:line="600" w:lineRule="exact"/>
        <w:ind w:firstLineChars="200" w:firstLine="640"/>
        <w:rPr>
          <w:rFonts w:ascii="仿宋_GB2312" w:hAnsi="华文中宋"/>
          <w:snapToGrid w:val="0"/>
          <w:kern w:val="0"/>
          <w:szCs w:val="32"/>
        </w:rPr>
      </w:pPr>
      <w:r>
        <w:rPr>
          <w:rFonts w:ascii="仿宋_GB2312" w:hAnsi="华文中宋" w:hint="eastAsia"/>
          <w:snapToGrid w:val="0"/>
          <w:kern w:val="0"/>
          <w:szCs w:val="32"/>
        </w:rPr>
        <w:t>（二）大车指额定载重</w:t>
      </w:r>
      <w:r>
        <w:rPr>
          <w:rFonts w:ascii="仿宋_GB2312" w:hAnsi="华文中宋"/>
          <w:snapToGrid w:val="0"/>
          <w:kern w:val="0"/>
          <w:szCs w:val="32"/>
        </w:rPr>
        <w:t>2吨以上至10吨（含10吨）或载客20座以上的各种机动车；</w:t>
      </w:r>
    </w:p>
    <w:p w:rsidR="00141BC7" w:rsidRDefault="00141BC7" w:rsidP="00141BC7">
      <w:pPr>
        <w:adjustRightInd w:val="0"/>
        <w:snapToGrid w:val="0"/>
        <w:spacing w:line="600" w:lineRule="exact"/>
        <w:ind w:firstLine="645"/>
        <w:rPr>
          <w:rFonts w:ascii="仿宋_GB2312" w:hAnsi="华文中宋"/>
          <w:snapToGrid w:val="0"/>
          <w:kern w:val="0"/>
          <w:szCs w:val="32"/>
        </w:rPr>
      </w:pPr>
      <w:r>
        <w:rPr>
          <w:rFonts w:ascii="仿宋_GB2312" w:hAnsi="华文中宋" w:hint="eastAsia"/>
          <w:snapToGrid w:val="0"/>
          <w:kern w:val="0"/>
          <w:szCs w:val="32"/>
        </w:rPr>
        <w:t>（三）超</w:t>
      </w:r>
      <w:proofErr w:type="gramStart"/>
      <w:r>
        <w:rPr>
          <w:rFonts w:ascii="仿宋_GB2312" w:hAnsi="华文中宋" w:hint="eastAsia"/>
          <w:snapToGrid w:val="0"/>
          <w:kern w:val="0"/>
          <w:szCs w:val="32"/>
        </w:rPr>
        <w:t>大型车指额定</w:t>
      </w:r>
      <w:proofErr w:type="gramEnd"/>
      <w:r>
        <w:rPr>
          <w:rFonts w:ascii="仿宋_GB2312" w:hAnsi="华文中宋" w:hint="eastAsia"/>
          <w:snapToGrid w:val="0"/>
          <w:kern w:val="0"/>
          <w:szCs w:val="32"/>
        </w:rPr>
        <w:t>载重</w:t>
      </w:r>
      <w:r>
        <w:rPr>
          <w:rFonts w:ascii="仿宋_GB2312" w:hAnsi="华文中宋"/>
          <w:snapToGrid w:val="0"/>
          <w:kern w:val="0"/>
          <w:szCs w:val="32"/>
        </w:rPr>
        <w:t>10吨以上的各种货车。</w:t>
      </w:r>
    </w:p>
    <w:p w:rsidR="00141BC7" w:rsidRDefault="00141BC7" w:rsidP="00141BC7">
      <w:pPr>
        <w:spacing w:line="600" w:lineRule="exact"/>
        <w:ind w:firstLineChars="200" w:firstLine="640"/>
      </w:pPr>
      <w:r w:rsidRPr="00EA1591">
        <w:rPr>
          <w:rFonts w:ascii="仿宋" w:eastAsia="仿宋" w:hAnsi="仿宋" w:hint="eastAsia"/>
        </w:rPr>
        <w:t>九、</w:t>
      </w:r>
      <w:r>
        <w:rPr>
          <w:rFonts w:ascii="仿宋_GB2312" w:hAnsi="华文中宋" w:hint="eastAsia"/>
          <w:snapToGrid w:val="0"/>
          <w:kern w:val="0"/>
          <w:szCs w:val="32"/>
        </w:rPr>
        <w:t>机动车停放服务收费可以按次、半小时、小时、日、天、月为单位计费。计费单位为 “半小时”、“小时”、“天”的，停放时间连续计算，不足整数的按整数计；</w:t>
      </w:r>
      <w:r>
        <w:rPr>
          <w:rFonts w:ascii="仿宋_GB2312" w:hAnsi="华文中宋" w:hint="eastAsia"/>
          <w:snapToGrid w:val="0"/>
          <w:color w:val="000000"/>
          <w:kern w:val="0"/>
          <w:szCs w:val="32"/>
        </w:rPr>
        <w:t>“日”指自然日；</w:t>
      </w:r>
      <w:r>
        <w:rPr>
          <w:rFonts w:ascii="仿宋_GB2312" w:hAnsi="华文中宋" w:hint="eastAsia"/>
          <w:snapToGrid w:val="0"/>
          <w:kern w:val="0"/>
          <w:szCs w:val="32"/>
        </w:rPr>
        <w:t>“天”指</w:t>
      </w:r>
      <w:r>
        <w:rPr>
          <w:rFonts w:ascii="仿宋_GB2312" w:hAnsi="华文中宋"/>
          <w:snapToGrid w:val="0"/>
          <w:kern w:val="0"/>
          <w:szCs w:val="32"/>
        </w:rPr>
        <w:t>24小时，由车辆进入停车场起开始计算，</w:t>
      </w:r>
      <w:r>
        <w:rPr>
          <w:rFonts w:ascii="仿宋_GB2312" w:hAnsi="华文中宋" w:hint="eastAsia"/>
          <w:snapToGrid w:val="0"/>
          <w:color w:val="000000"/>
          <w:kern w:val="0"/>
          <w:szCs w:val="32"/>
        </w:rPr>
        <w:t>连续累计</w:t>
      </w:r>
      <w:r>
        <w:rPr>
          <w:rFonts w:ascii="仿宋_GB2312" w:hAnsi="华文中宋"/>
          <w:snapToGrid w:val="0"/>
          <w:color w:val="000000"/>
          <w:kern w:val="0"/>
          <w:szCs w:val="32"/>
        </w:rPr>
        <w:t>24小时为一天</w:t>
      </w:r>
      <w:r>
        <w:rPr>
          <w:rFonts w:ascii="仿宋_GB2312" w:hAnsi="华文中宋" w:hint="eastAsia"/>
          <w:snapToGrid w:val="0"/>
          <w:kern w:val="0"/>
          <w:szCs w:val="32"/>
        </w:rPr>
        <w:t>；</w:t>
      </w:r>
      <w:r>
        <w:rPr>
          <w:rFonts w:ascii="仿宋_GB2312" w:hAnsi="华文中宋"/>
          <w:snapToGrid w:val="0"/>
          <w:kern w:val="0"/>
          <w:szCs w:val="32"/>
        </w:rPr>
        <w:t>“</w:t>
      </w:r>
      <w:r>
        <w:rPr>
          <w:rFonts w:ascii="仿宋_GB2312" w:hAnsi="华文中宋"/>
          <w:snapToGrid w:val="0"/>
          <w:kern w:val="0"/>
          <w:szCs w:val="32"/>
        </w:rPr>
        <w:t>月</w:t>
      </w:r>
      <w:r>
        <w:rPr>
          <w:rFonts w:ascii="仿宋_GB2312" w:hAnsi="华文中宋"/>
          <w:snapToGrid w:val="0"/>
          <w:kern w:val="0"/>
          <w:szCs w:val="32"/>
        </w:rPr>
        <w:t>”</w:t>
      </w:r>
      <w:r>
        <w:rPr>
          <w:rFonts w:ascii="仿宋_GB2312" w:hAnsi="华文中宋"/>
          <w:snapToGrid w:val="0"/>
          <w:kern w:val="0"/>
          <w:szCs w:val="32"/>
        </w:rPr>
        <w:t>按</w:t>
      </w:r>
      <w:r>
        <w:rPr>
          <w:rFonts w:ascii="仿宋_GB2312" w:hAnsi="华文中宋" w:hint="eastAsia"/>
          <w:snapToGrid w:val="0"/>
          <w:color w:val="000000"/>
          <w:kern w:val="0"/>
          <w:szCs w:val="32"/>
        </w:rPr>
        <w:t>连续累计</w:t>
      </w:r>
      <w:r>
        <w:rPr>
          <w:rFonts w:ascii="仿宋_GB2312" w:hAnsi="华文中宋"/>
          <w:snapToGrid w:val="0"/>
          <w:kern w:val="0"/>
          <w:szCs w:val="32"/>
        </w:rPr>
        <w:t>30</w:t>
      </w:r>
      <w:r>
        <w:rPr>
          <w:rFonts w:ascii="仿宋_GB2312" w:hAnsi="华文中宋" w:hint="eastAsia"/>
          <w:snapToGrid w:val="0"/>
          <w:kern w:val="0"/>
          <w:szCs w:val="32"/>
        </w:rPr>
        <w:t>日</w:t>
      </w:r>
      <w:r>
        <w:rPr>
          <w:rFonts w:ascii="仿宋_GB2312" w:hAnsi="华文中宋"/>
          <w:snapToGrid w:val="0"/>
          <w:kern w:val="0"/>
          <w:szCs w:val="32"/>
        </w:rPr>
        <w:t>计算。</w:t>
      </w:r>
    </w:p>
    <w:p w:rsidR="00141BC7" w:rsidRDefault="00141BC7" w:rsidP="00141BC7">
      <w:pPr>
        <w:widowControl/>
        <w:spacing w:line="600" w:lineRule="exact"/>
        <w:ind w:firstLineChars="200" w:firstLine="640"/>
        <w:rPr>
          <w:rFonts w:hAnsi="仿宋"/>
        </w:rPr>
      </w:pPr>
      <w:r w:rsidRPr="00EA1591">
        <w:rPr>
          <w:rFonts w:ascii="仿宋" w:eastAsia="仿宋" w:hAnsi="仿宋" w:hint="eastAsia"/>
        </w:rPr>
        <w:t>十、</w:t>
      </w:r>
      <w:bookmarkStart w:id="0" w:name="_GoBack"/>
      <w:bookmarkEnd w:id="0"/>
      <w:r>
        <w:rPr>
          <w:rFonts w:hAnsi="仿宋" w:hint="eastAsia"/>
        </w:rPr>
        <w:t>所有停车场应在入口处和缴费地点显著位置设置明码标价牌。明码标价牌应标明收费单位名称、定价形式、收费标准、计费方式、服务内容、免费停放时间、经营单位的服务监督电话以及价格举报电话等有关内容，自觉接受社会监督。采用</w:t>
      </w:r>
      <w:r>
        <w:rPr>
          <w:rFonts w:hAnsi="仿宋" w:hint="eastAsia"/>
        </w:rPr>
        <w:t>IC</w:t>
      </w:r>
      <w:r>
        <w:rPr>
          <w:rFonts w:hAnsi="仿宋" w:hint="eastAsia"/>
        </w:rPr>
        <w:t>卡管理的停车场，可按</w:t>
      </w:r>
      <w:r>
        <w:rPr>
          <w:rFonts w:hAnsi="仿宋" w:hint="eastAsia"/>
        </w:rPr>
        <w:t>IC</w:t>
      </w:r>
      <w:r>
        <w:rPr>
          <w:rFonts w:hAnsi="仿宋" w:hint="eastAsia"/>
        </w:rPr>
        <w:t>卡工本费的标准收取押金。</w:t>
      </w:r>
    </w:p>
    <w:p w:rsidR="00141BC7" w:rsidRDefault="00141BC7" w:rsidP="00141BC7">
      <w:pPr>
        <w:widowControl/>
        <w:spacing w:line="600" w:lineRule="exact"/>
        <w:ind w:firstLineChars="200" w:firstLine="640"/>
        <w:rPr>
          <w:rFonts w:hAnsi="仿宋"/>
        </w:rPr>
      </w:pPr>
      <w:r w:rsidRPr="00EA1591">
        <w:rPr>
          <w:rFonts w:ascii="仿宋" w:eastAsia="仿宋" w:hAnsi="仿宋" w:hint="eastAsia"/>
        </w:rPr>
        <w:lastRenderedPageBreak/>
        <w:t>十一、</w:t>
      </w:r>
      <w:r>
        <w:rPr>
          <w:rFonts w:hAnsi="仿宋" w:hint="eastAsia"/>
        </w:rPr>
        <w:t>对不执行政府定价有关政策、未按规定明码标价以及价格欺诈等价格违法行为，市价格监督检查部门将依法查处。</w:t>
      </w:r>
    </w:p>
    <w:p w:rsidR="00141BC7" w:rsidRDefault="00141BC7" w:rsidP="00141BC7">
      <w:pPr>
        <w:spacing w:line="600" w:lineRule="exact"/>
        <w:ind w:firstLineChars="200" w:firstLine="640"/>
      </w:pPr>
      <w:r w:rsidRPr="00EA1591">
        <w:rPr>
          <w:rFonts w:ascii="仿宋" w:eastAsia="仿宋" w:hAnsi="仿宋" w:hint="eastAsia"/>
        </w:rPr>
        <w:t>十二、</w:t>
      </w:r>
      <w:r>
        <w:rPr>
          <w:rFonts w:hAnsi="仿宋" w:hint="eastAsia"/>
        </w:rPr>
        <w:t>本通知自发布之日起执行，有效期</w:t>
      </w:r>
      <w:r>
        <w:rPr>
          <w:rFonts w:hAnsi="仿宋" w:hint="eastAsia"/>
        </w:rPr>
        <w:t>5</w:t>
      </w:r>
      <w:r>
        <w:rPr>
          <w:rFonts w:hAnsi="仿宋" w:hint="eastAsia"/>
        </w:rPr>
        <w:t>年。以往发布的机动车停放服务收费管理文件与本通知不符的，以本通知为准。</w:t>
      </w:r>
    </w:p>
    <w:p w:rsidR="00141BC7" w:rsidRDefault="00141BC7" w:rsidP="00141BC7">
      <w:pPr>
        <w:spacing w:line="600" w:lineRule="exact"/>
        <w:ind w:firstLineChars="200" w:firstLine="640"/>
        <w:rPr>
          <w:rFonts w:ascii="仿宋_GB2312"/>
          <w:color w:val="000000"/>
        </w:rPr>
      </w:pPr>
      <w:r>
        <w:rPr>
          <w:rFonts w:ascii="仿宋_GB2312" w:hint="eastAsia"/>
          <w:color w:val="000000"/>
        </w:rPr>
        <w:t>特此通知。</w:t>
      </w:r>
    </w:p>
    <w:p w:rsidR="00141BC7" w:rsidRDefault="00141BC7" w:rsidP="00141BC7">
      <w:pPr>
        <w:spacing w:line="600" w:lineRule="exact"/>
        <w:ind w:firstLineChars="200" w:firstLine="640"/>
        <w:rPr>
          <w:rFonts w:ascii="仿宋_GB2312"/>
          <w:color w:val="000000"/>
        </w:rPr>
      </w:pPr>
    </w:p>
    <w:p w:rsidR="00141BC7" w:rsidRDefault="00141BC7" w:rsidP="00141BC7">
      <w:pPr>
        <w:spacing w:line="600" w:lineRule="exact"/>
        <w:ind w:firstLineChars="200" w:firstLine="640"/>
        <w:rPr>
          <w:rFonts w:ascii="仿宋_GB2312" w:hAnsi="仿宋"/>
        </w:rPr>
      </w:pPr>
      <w:r>
        <w:rPr>
          <w:rFonts w:ascii="仿宋_GB2312" w:hAnsi="仿宋" w:hint="eastAsia"/>
        </w:rPr>
        <w:t>附</w:t>
      </w:r>
      <w:r w:rsidRPr="005D7759">
        <w:rPr>
          <w:rFonts w:ascii="仿宋_GB2312" w:hAnsi="仿宋" w:hint="eastAsia"/>
        </w:rPr>
        <w:t>：</w:t>
      </w:r>
      <w:r>
        <w:rPr>
          <w:rFonts w:ascii="仿宋_GB2312" w:hAnsi="仿宋" w:hint="eastAsia"/>
        </w:rPr>
        <w:t>1.</w:t>
      </w:r>
      <w:r w:rsidRPr="005D7759">
        <w:rPr>
          <w:rFonts w:ascii="仿宋_GB2312" w:hAnsi="仿宋" w:hint="eastAsia"/>
        </w:rPr>
        <w:t>停车设施区域划分</w:t>
      </w:r>
    </w:p>
    <w:p w:rsidR="00141BC7" w:rsidRDefault="00141BC7" w:rsidP="00141BC7">
      <w:pPr>
        <w:spacing w:line="600" w:lineRule="exact"/>
        <w:ind w:firstLineChars="400" w:firstLine="1280"/>
        <w:rPr>
          <w:rFonts w:ascii="仿宋_GB2312" w:hAnsi="仿宋"/>
        </w:rPr>
      </w:pPr>
      <w:r>
        <w:rPr>
          <w:rFonts w:ascii="仿宋_GB2312" w:hAnsi="仿宋" w:hint="eastAsia"/>
        </w:rPr>
        <w:t>2.</w:t>
      </w:r>
      <w:r w:rsidRPr="005D7759">
        <w:rPr>
          <w:rFonts w:ascii="仿宋_GB2312" w:hAnsi="仿宋" w:hint="eastAsia"/>
        </w:rPr>
        <w:t>实行政府定价的社会公共类停车设施收费指导</w:t>
      </w:r>
    </w:p>
    <w:p w:rsidR="00141BC7" w:rsidRDefault="00141BC7" w:rsidP="00141BC7">
      <w:pPr>
        <w:spacing w:line="600" w:lineRule="exact"/>
        <w:ind w:firstLineChars="500" w:firstLine="1600"/>
        <w:rPr>
          <w:rFonts w:ascii="仿宋_GB2312" w:hAnsi="仿宋"/>
        </w:rPr>
      </w:pPr>
      <w:r w:rsidRPr="005D7759">
        <w:rPr>
          <w:rFonts w:ascii="仿宋_GB2312" w:hAnsi="仿宋" w:hint="eastAsia"/>
        </w:rPr>
        <w:t>标准</w:t>
      </w:r>
    </w:p>
    <w:p w:rsidR="00141BC7" w:rsidRDefault="00141BC7" w:rsidP="00141BC7">
      <w:pPr>
        <w:spacing w:line="600" w:lineRule="exact"/>
        <w:ind w:firstLineChars="400" w:firstLine="1280"/>
        <w:rPr>
          <w:rFonts w:ascii="仿宋_GB2312" w:hAnsi="仿宋"/>
        </w:rPr>
      </w:pPr>
      <w:r>
        <w:rPr>
          <w:rFonts w:ascii="仿宋_GB2312" w:hAnsi="仿宋" w:hint="eastAsia"/>
        </w:rPr>
        <w:t>3.</w:t>
      </w:r>
      <w:r w:rsidRPr="005D7759">
        <w:rPr>
          <w:rFonts w:ascii="仿宋_GB2312" w:hAnsi="仿宋" w:hint="eastAsia"/>
        </w:rPr>
        <w:t>住宅小区停车设施机动车停放服务收费指导</w:t>
      </w:r>
    </w:p>
    <w:p w:rsidR="00141BC7" w:rsidRDefault="00141BC7" w:rsidP="00141BC7">
      <w:pPr>
        <w:spacing w:line="600" w:lineRule="exact"/>
        <w:ind w:firstLineChars="500" w:firstLine="1600"/>
        <w:rPr>
          <w:rFonts w:hAnsi="仿宋"/>
        </w:rPr>
      </w:pPr>
      <w:r w:rsidRPr="005D7759">
        <w:rPr>
          <w:rFonts w:ascii="仿宋_GB2312" w:hAnsi="仿宋" w:hint="eastAsia"/>
        </w:rPr>
        <w:t>标</w:t>
      </w:r>
      <w:r>
        <w:rPr>
          <w:rFonts w:hAnsi="仿宋" w:hint="eastAsia"/>
        </w:rPr>
        <w:t>准</w:t>
      </w:r>
    </w:p>
    <w:p w:rsidR="00141BC7" w:rsidRDefault="00141BC7" w:rsidP="00141BC7">
      <w:pPr>
        <w:spacing w:line="600" w:lineRule="exact"/>
      </w:pPr>
    </w:p>
    <w:p w:rsidR="00141BC7" w:rsidRDefault="00141BC7" w:rsidP="00141BC7">
      <w:pPr>
        <w:spacing w:line="620" w:lineRule="exact"/>
        <w:ind w:leftChars="-100" w:left="-320" w:rightChars="-100" w:right="-320"/>
        <w:jc w:val="center"/>
        <w:rPr>
          <w:rFonts w:ascii="仿宋_GB2312"/>
          <w:color w:val="000000"/>
        </w:rPr>
      </w:pPr>
      <w:r>
        <w:rPr>
          <w:rFonts w:ascii="仿宋_GB2312" w:hint="eastAsia"/>
          <w:color w:val="000000"/>
        </w:rPr>
        <w:t xml:space="preserve">                      </w:t>
      </w:r>
    </w:p>
    <w:p w:rsidR="00141BC7" w:rsidRDefault="00141BC7" w:rsidP="00141BC7">
      <w:pPr>
        <w:spacing w:line="620" w:lineRule="exact"/>
        <w:ind w:leftChars="-100" w:left="-320" w:rightChars="-100" w:right="-320"/>
        <w:jc w:val="center"/>
        <w:rPr>
          <w:rFonts w:ascii="仿宋_GB2312"/>
          <w:color w:val="000000"/>
        </w:rPr>
      </w:pPr>
    </w:p>
    <w:p w:rsidR="00141BC7" w:rsidRDefault="00141BC7" w:rsidP="00141BC7">
      <w:pPr>
        <w:spacing w:line="620" w:lineRule="exact"/>
        <w:ind w:leftChars="-100" w:left="-320" w:rightChars="-100" w:right="-320"/>
        <w:jc w:val="center"/>
        <w:rPr>
          <w:rFonts w:ascii="仿宋_GB2312"/>
          <w:color w:val="000000"/>
        </w:rPr>
      </w:pPr>
    </w:p>
    <w:p w:rsidR="00141BC7" w:rsidRPr="005D7759" w:rsidRDefault="00141BC7" w:rsidP="00141BC7">
      <w:pPr>
        <w:spacing w:line="620" w:lineRule="exact"/>
        <w:ind w:leftChars="-100" w:left="-320" w:rightChars="-100" w:right="-320"/>
        <w:jc w:val="center"/>
      </w:pPr>
    </w:p>
    <w:p w:rsidR="00141BC7" w:rsidRDefault="00141BC7" w:rsidP="00141BC7">
      <w:pPr>
        <w:spacing w:line="600" w:lineRule="exact"/>
      </w:pPr>
    </w:p>
    <w:p w:rsidR="00141BC7" w:rsidRDefault="00141BC7" w:rsidP="00141BC7">
      <w:pPr>
        <w:spacing w:line="600" w:lineRule="exact"/>
      </w:pPr>
    </w:p>
    <w:p w:rsidR="00FC0AD9" w:rsidRDefault="00FC0AD9" w:rsidP="00141BC7">
      <w:pPr>
        <w:spacing w:line="600" w:lineRule="exact"/>
      </w:pPr>
    </w:p>
    <w:p w:rsidR="00141BC7" w:rsidRDefault="00141BC7" w:rsidP="00141BC7">
      <w:pPr>
        <w:adjustRightInd w:val="0"/>
        <w:snapToGrid w:val="0"/>
        <w:spacing w:line="600" w:lineRule="exact"/>
        <w:rPr>
          <w:rFonts w:ascii="仿宋_GB2312"/>
        </w:rPr>
      </w:pPr>
      <w:r>
        <w:rPr>
          <w:rFonts w:ascii="黑体" w:eastAsia="黑体" w:hint="eastAsia"/>
          <w:sz w:val="36"/>
          <w:szCs w:val="36"/>
        </w:rPr>
        <w:t>附件1</w:t>
      </w:r>
      <w:r>
        <w:rPr>
          <w:rFonts w:ascii="仿宋_GB2312" w:hint="eastAsia"/>
        </w:rPr>
        <w:t xml:space="preserve"> </w:t>
      </w:r>
    </w:p>
    <w:p w:rsidR="00141BC7" w:rsidRDefault="00141BC7" w:rsidP="00141BC7">
      <w:pPr>
        <w:adjustRightInd w:val="0"/>
        <w:snapToGrid w:val="0"/>
        <w:spacing w:line="600" w:lineRule="exact"/>
        <w:rPr>
          <w:rFonts w:ascii="仿宋_GB2312"/>
        </w:rPr>
      </w:pPr>
    </w:p>
    <w:p w:rsidR="00141BC7" w:rsidRPr="005D7759" w:rsidRDefault="00141BC7" w:rsidP="00141BC7">
      <w:pPr>
        <w:adjustRightInd w:val="0"/>
        <w:snapToGrid w:val="0"/>
        <w:spacing w:line="600" w:lineRule="exact"/>
        <w:jc w:val="center"/>
        <w:rPr>
          <w:rFonts w:ascii="宋体" w:eastAsia="宋体" w:hAnsi="宋体"/>
          <w:b/>
          <w:sz w:val="44"/>
          <w:szCs w:val="44"/>
        </w:rPr>
      </w:pPr>
      <w:r w:rsidRPr="005D7759">
        <w:rPr>
          <w:rFonts w:ascii="宋体" w:eastAsia="宋体" w:hAnsi="宋体" w:hint="eastAsia"/>
          <w:b/>
          <w:sz w:val="44"/>
          <w:szCs w:val="44"/>
        </w:rPr>
        <w:lastRenderedPageBreak/>
        <w:t>停车设施区域划分</w:t>
      </w:r>
    </w:p>
    <w:p w:rsidR="00141BC7" w:rsidRDefault="00141BC7" w:rsidP="00141BC7">
      <w:pPr>
        <w:adjustRightInd w:val="0"/>
        <w:snapToGrid w:val="0"/>
        <w:spacing w:line="600" w:lineRule="exact"/>
        <w:ind w:firstLineChars="200" w:firstLine="643"/>
        <w:rPr>
          <w:rFonts w:ascii="仿宋_GB2312"/>
          <w:b/>
        </w:rPr>
      </w:pPr>
    </w:p>
    <w:p w:rsidR="00141BC7" w:rsidRDefault="00141BC7" w:rsidP="00141BC7">
      <w:pPr>
        <w:adjustRightInd w:val="0"/>
        <w:snapToGrid w:val="0"/>
        <w:spacing w:line="600" w:lineRule="exact"/>
        <w:ind w:firstLineChars="200" w:firstLine="643"/>
        <w:rPr>
          <w:rFonts w:ascii="仿宋_GB2312"/>
          <w:b/>
        </w:rPr>
      </w:pPr>
      <w:r>
        <w:rPr>
          <w:rFonts w:ascii="仿宋_GB2312" w:hint="eastAsia"/>
          <w:b/>
        </w:rPr>
        <w:t>一、一类地区包括：</w:t>
      </w:r>
    </w:p>
    <w:p w:rsidR="00141BC7" w:rsidRDefault="00141BC7" w:rsidP="00141BC7">
      <w:pPr>
        <w:adjustRightInd w:val="0"/>
        <w:snapToGrid w:val="0"/>
        <w:spacing w:line="600" w:lineRule="exact"/>
        <w:ind w:firstLineChars="200" w:firstLine="640"/>
        <w:rPr>
          <w:rFonts w:ascii="仿宋_GB2312"/>
        </w:rPr>
      </w:pPr>
      <w:r>
        <w:rPr>
          <w:rFonts w:ascii="仿宋_GB2312" w:hint="eastAsia"/>
        </w:rPr>
        <w:t>罗湖商业片区：文锦中路、文锦南路以西、深港边境线以北、红岭南路(延伸至深港边境线)、红岭中路以东、笋岗东路以南围合的区域；</w:t>
      </w:r>
    </w:p>
    <w:p w:rsidR="00141BC7" w:rsidRDefault="00141BC7" w:rsidP="00141BC7">
      <w:pPr>
        <w:adjustRightInd w:val="0"/>
        <w:snapToGrid w:val="0"/>
        <w:spacing w:line="600" w:lineRule="exact"/>
        <w:ind w:firstLineChars="200" w:firstLine="640"/>
        <w:rPr>
          <w:rFonts w:ascii="仿宋_GB2312"/>
        </w:rPr>
      </w:pPr>
      <w:r>
        <w:rPr>
          <w:rFonts w:ascii="仿宋_GB2312" w:hint="eastAsia"/>
        </w:rPr>
        <w:t>水贝片区：翠竹路以西、田贝一路、笋岗东路以北、洪湖东路、文锦北路以东、布心路以南围合的区域；</w:t>
      </w:r>
    </w:p>
    <w:p w:rsidR="00141BC7" w:rsidRDefault="00141BC7" w:rsidP="00141BC7">
      <w:pPr>
        <w:adjustRightInd w:val="0"/>
        <w:snapToGrid w:val="0"/>
        <w:spacing w:line="600" w:lineRule="exact"/>
        <w:ind w:firstLineChars="200" w:firstLine="640"/>
        <w:rPr>
          <w:rFonts w:ascii="仿宋_GB2312"/>
        </w:rPr>
      </w:pPr>
      <w:r>
        <w:rPr>
          <w:rFonts w:ascii="仿宋_GB2312" w:hint="eastAsia"/>
        </w:rPr>
        <w:t>八卦岭片区：红岭北路以西、笋岗东路以北、上步北路以东、泥岗西路以南围合的区域；</w:t>
      </w:r>
    </w:p>
    <w:p w:rsidR="00141BC7" w:rsidRDefault="00141BC7" w:rsidP="00141BC7">
      <w:pPr>
        <w:adjustRightInd w:val="0"/>
        <w:snapToGrid w:val="0"/>
        <w:spacing w:line="600" w:lineRule="exact"/>
        <w:ind w:firstLineChars="200" w:firstLine="640"/>
        <w:rPr>
          <w:rFonts w:ascii="仿宋_GB2312"/>
        </w:rPr>
      </w:pPr>
      <w:r>
        <w:rPr>
          <w:rFonts w:ascii="仿宋_GB2312" w:hint="eastAsia"/>
        </w:rPr>
        <w:t>上步、白沙岭片区：上步中路以西、深南中路以北、华富路以东、笋岗西路以南围合的区域；</w:t>
      </w:r>
    </w:p>
    <w:p w:rsidR="00141BC7" w:rsidRDefault="00141BC7" w:rsidP="00141BC7">
      <w:pPr>
        <w:adjustRightInd w:val="0"/>
        <w:snapToGrid w:val="0"/>
        <w:spacing w:line="600" w:lineRule="exact"/>
        <w:ind w:firstLineChars="200" w:firstLine="640"/>
        <w:rPr>
          <w:rFonts w:ascii="仿宋_GB2312"/>
        </w:rPr>
      </w:pPr>
      <w:r>
        <w:rPr>
          <w:rFonts w:ascii="仿宋_GB2312" w:hint="eastAsia"/>
        </w:rPr>
        <w:t>福田南、滨河片区：红岭南路以西、深港边境线、滨河大道以北、福田路、福田河以东、深南大道、深南中路以南围合的区域；</w:t>
      </w:r>
    </w:p>
    <w:p w:rsidR="00141BC7" w:rsidRDefault="00141BC7" w:rsidP="00141BC7">
      <w:pPr>
        <w:adjustRightInd w:val="0"/>
        <w:snapToGrid w:val="0"/>
        <w:spacing w:line="600" w:lineRule="exact"/>
        <w:ind w:firstLine="601"/>
        <w:rPr>
          <w:rFonts w:ascii="仿宋_GB2312"/>
        </w:rPr>
      </w:pPr>
      <w:r>
        <w:rPr>
          <w:rFonts w:ascii="仿宋_GB2312" w:hint="eastAsia"/>
        </w:rPr>
        <w:t>福华新村片区：皇岗路以西、滨河大道以北、彩田路以东、深南大道以南围合的区域；</w:t>
      </w:r>
    </w:p>
    <w:p w:rsidR="00141BC7" w:rsidRDefault="00141BC7" w:rsidP="00141BC7">
      <w:pPr>
        <w:adjustRightInd w:val="0"/>
        <w:snapToGrid w:val="0"/>
        <w:spacing w:line="600" w:lineRule="exact"/>
        <w:ind w:firstLine="601"/>
        <w:rPr>
          <w:rFonts w:ascii="仿宋_GB2312"/>
        </w:rPr>
      </w:pPr>
      <w:r>
        <w:rPr>
          <w:rFonts w:ascii="仿宋_GB2312" w:hint="eastAsia"/>
        </w:rPr>
        <w:t>中心区：彩田路以西、滨河大道以北、新洲路以东、红</w:t>
      </w:r>
      <w:proofErr w:type="gramStart"/>
      <w:r>
        <w:rPr>
          <w:rFonts w:ascii="仿宋_GB2312" w:hint="eastAsia"/>
        </w:rPr>
        <w:t>荔</w:t>
      </w:r>
      <w:proofErr w:type="gramEnd"/>
      <w:r>
        <w:rPr>
          <w:rFonts w:ascii="仿宋_GB2312" w:hint="eastAsia"/>
        </w:rPr>
        <w:t>路以南围合的区域；</w:t>
      </w:r>
    </w:p>
    <w:p w:rsidR="00141BC7" w:rsidRDefault="00141BC7" w:rsidP="00141BC7">
      <w:pPr>
        <w:adjustRightInd w:val="0"/>
        <w:snapToGrid w:val="0"/>
        <w:spacing w:line="600" w:lineRule="exact"/>
        <w:ind w:firstLine="601"/>
        <w:rPr>
          <w:rFonts w:ascii="仿宋_GB2312"/>
        </w:rPr>
      </w:pPr>
      <w:r>
        <w:rPr>
          <w:rFonts w:ascii="仿宋_GB2312" w:hint="eastAsia"/>
        </w:rPr>
        <w:t>彩电工业区：皇岗路以西、笋岗西路以北、彩田路以东、北环大道以南围合的区域；</w:t>
      </w:r>
    </w:p>
    <w:p w:rsidR="00141BC7" w:rsidRDefault="00141BC7" w:rsidP="00141BC7">
      <w:pPr>
        <w:adjustRightInd w:val="0"/>
        <w:snapToGrid w:val="0"/>
        <w:spacing w:line="600" w:lineRule="exact"/>
        <w:ind w:firstLine="601"/>
        <w:rPr>
          <w:rFonts w:ascii="仿宋_GB2312"/>
        </w:rPr>
      </w:pPr>
      <w:r>
        <w:rPr>
          <w:rFonts w:ascii="仿宋_GB2312" w:hint="eastAsia"/>
        </w:rPr>
        <w:t>车公庙：泰然一路以西、滨河大道以北、广深高速公路以东、深南大道以南围合的区域；</w:t>
      </w:r>
    </w:p>
    <w:p w:rsidR="00141BC7" w:rsidRDefault="00141BC7" w:rsidP="00141BC7">
      <w:pPr>
        <w:adjustRightInd w:val="0"/>
        <w:snapToGrid w:val="0"/>
        <w:spacing w:line="600" w:lineRule="exact"/>
        <w:ind w:firstLine="601"/>
        <w:rPr>
          <w:rFonts w:ascii="仿宋_GB2312"/>
        </w:rPr>
      </w:pPr>
      <w:r>
        <w:rPr>
          <w:rFonts w:ascii="仿宋_GB2312" w:hint="eastAsia"/>
        </w:rPr>
        <w:lastRenderedPageBreak/>
        <w:t>南山中心区：后海滨路以西、创业路以北、南海大道以东、滨海大道以南围合的区域；</w:t>
      </w:r>
    </w:p>
    <w:p w:rsidR="00141BC7" w:rsidRDefault="00141BC7" w:rsidP="00141BC7">
      <w:pPr>
        <w:adjustRightInd w:val="0"/>
        <w:snapToGrid w:val="0"/>
        <w:spacing w:line="600" w:lineRule="exact"/>
        <w:ind w:firstLine="601"/>
        <w:rPr>
          <w:rFonts w:ascii="仿宋_GB2312"/>
        </w:rPr>
      </w:pPr>
      <w:r>
        <w:rPr>
          <w:rFonts w:ascii="仿宋_GB2312" w:hint="eastAsia"/>
        </w:rPr>
        <w:t>南头北片区：南海大道以西、桃园路以北、港湾大道以东、深南大道以南围合的区域。</w:t>
      </w:r>
    </w:p>
    <w:p w:rsidR="00141BC7" w:rsidRDefault="00141BC7" w:rsidP="00141BC7">
      <w:pPr>
        <w:adjustRightInd w:val="0"/>
        <w:snapToGrid w:val="0"/>
        <w:spacing w:line="600" w:lineRule="exact"/>
        <w:ind w:firstLine="601"/>
        <w:rPr>
          <w:rFonts w:ascii="仿宋_GB2312"/>
          <w:b/>
        </w:rPr>
      </w:pPr>
      <w:r>
        <w:rPr>
          <w:rFonts w:ascii="仿宋_GB2312" w:hint="eastAsia"/>
          <w:b/>
        </w:rPr>
        <w:t>二、二类地区：</w:t>
      </w:r>
      <w:r>
        <w:rPr>
          <w:rFonts w:ascii="仿宋_GB2312" w:hint="eastAsia"/>
        </w:rPr>
        <w:t>原特区内一类区域以外的其他地区。</w:t>
      </w:r>
    </w:p>
    <w:p w:rsidR="00141BC7" w:rsidRDefault="00141BC7" w:rsidP="00141BC7">
      <w:pPr>
        <w:spacing w:line="600" w:lineRule="exact"/>
        <w:ind w:firstLineChars="200" w:firstLine="643"/>
        <w:rPr>
          <w:rFonts w:ascii="仿宋_GB2312"/>
        </w:rPr>
      </w:pPr>
      <w:r>
        <w:rPr>
          <w:rFonts w:ascii="仿宋_GB2312" w:hint="eastAsia"/>
          <w:b/>
        </w:rPr>
        <w:t>三、三类地区：</w:t>
      </w:r>
      <w:r>
        <w:rPr>
          <w:rFonts w:ascii="仿宋_GB2312" w:hint="eastAsia"/>
        </w:rPr>
        <w:t>原特区外所有地区。</w:t>
      </w:r>
    </w:p>
    <w:p w:rsidR="00141BC7" w:rsidRPr="005D7759" w:rsidRDefault="00141BC7" w:rsidP="00141BC7">
      <w:pPr>
        <w:spacing w:line="600" w:lineRule="exact"/>
      </w:pPr>
    </w:p>
    <w:p w:rsidR="00141BC7" w:rsidRDefault="00141BC7" w:rsidP="00141BC7">
      <w:pPr>
        <w:spacing w:line="600" w:lineRule="exact"/>
      </w:pPr>
    </w:p>
    <w:p w:rsidR="00141BC7" w:rsidRDefault="00141BC7" w:rsidP="00141BC7">
      <w:pPr>
        <w:spacing w:line="600" w:lineRule="exact"/>
      </w:pPr>
    </w:p>
    <w:p w:rsidR="00141BC7" w:rsidRDefault="00141BC7" w:rsidP="00141BC7">
      <w:pPr>
        <w:spacing w:line="600" w:lineRule="exact"/>
      </w:pPr>
    </w:p>
    <w:p w:rsidR="00141BC7" w:rsidRDefault="00141BC7" w:rsidP="00141BC7">
      <w:pPr>
        <w:spacing w:line="600" w:lineRule="exact"/>
      </w:pPr>
    </w:p>
    <w:p w:rsidR="00141BC7" w:rsidRDefault="00141BC7" w:rsidP="00141BC7">
      <w:pPr>
        <w:spacing w:line="600" w:lineRule="exact"/>
      </w:pPr>
    </w:p>
    <w:p w:rsidR="00141BC7" w:rsidRDefault="00141BC7" w:rsidP="00141BC7">
      <w:pPr>
        <w:spacing w:line="600" w:lineRule="exact"/>
      </w:pPr>
    </w:p>
    <w:p w:rsidR="00141BC7" w:rsidRDefault="00141BC7" w:rsidP="00141BC7">
      <w:pPr>
        <w:spacing w:line="600" w:lineRule="exact"/>
      </w:pPr>
    </w:p>
    <w:p w:rsidR="00141BC7" w:rsidRDefault="00141BC7" w:rsidP="00141BC7">
      <w:pPr>
        <w:spacing w:line="600" w:lineRule="exact"/>
      </w:pPr>
    </w:p>
    <w:p w:rsidR="00141BC7" w:rsidRDefault="00141BC7" w:rsidP="00141BC7">
      <w:pPr>
        <w:spacing w:line="600" w:lineRule="exact"/>
      </w:pPr>
    </w:p>
    <w:p w:rsidR="00141BC7" w:rsidRDefault="00141BC7" w:rsidP="00141BC7">
      <w:pPr>
        <w:spacing w:line="600" w:lineRule="exact"/>
      </w:pPr>
    </w:p>
    <w:p w:rsidR="00141BC7" w:rsidRDefault="00141BC7" w:rsidP="00141BC7">
      <w:pPr>
        <w:spacing w:line="600" w:lineRule="exact"/>
      </w:pPr>
    </w:p>
    <w:p w:rsidR="00141BC7" w:rsidRDefault="00141BC7" w:rsidP="00141BC7">
      <w:pPr>
        <w:spacing w:line="600" w:lineRule="exact"/>
      </w:pPr>
    </w:p>
    <w:p w:rsidR="00141BC7" w:rsidRDefault="00141BC7" w:rsidP="00141BC7">
      <w:pPr>
        <w:spacing w:line="600" w:lineRule="exact"/>
      </w:pPr>
    </w:p>
    <w:p w:rsidR="00141BC7" w:rsidRDefault="00141BC7" w:rsidP="00141BC7">
      <w:pPr>
        <w:spacing w:line="600" w:lineRule="exact"/>
      </w:pPr>
    </w:p>
    <w:p w:rsidR="00141BC7" w:rsidRPr="005D7759" w:rsidRDefault="00141BC7" w:rsidP="00141BC7">
      <w:pPr>
        <w:snapToGrid w:val="0"/>
        <w:spacing w:line="600" w:lineRule="exact"/>
        <w:rPr>
          <w:rFonts w:ascii="黑体" w:eastAsia="黑体"/>
          <w:spacing w:val="-4"/>
          <w:szCs w:val="32"/>
        </w:rPr>
      </w:pPr>
      <w:r>
        <w:rPr>
          <w:rFonts w:ascii="黑体" w:eastAsia="黑体" w:hint="eastAsia"/>
          <w:spacing w:val="-4"/>
          <w:szCs w:val="32"/>
        </w:rPr>
        <w:t>附件</w:t>
      </w:r>
      <w:r w:rsidRPr="005D7759">
        <w:rPr>
          <w:rFonts w:ascii="黑体" w:eastAsia="黑体" w:hint="eastAsia"/>
          <w:spacing w:val="-4"/>
          <w:szCs w:val="32"/>
        </w:rPr>
        <w:t>2</w:t>
      </w:r>
    </w:p>
    <w:p w:rsidR="00141BC7" w:rsidRDefault="00141BC7" w:rsidP="00141BC7">
      <w:pPr>
        <w:snapToGrid w:val="0"/>
        <w:spacing w:line="600" w:lineRule="exact"/>
        <w:rPr>
          <w:rFonts w:ascii="黑体" w:eastAsia="黑体"/>
          <w:spacing w:val="-4"/>
        </w:rPr>
      </w:pPr>
    </w:p>
    <w:p w:rsidR="00141BC7" w:rsidRDefault="00141BC7" w:rsidP="00141BC7">
      <w:pPr>
        <w:snapToGrid w:val="0"/>
        <w:spacing w:line="500" w:lineRule="exact"/>
        <w:jc w:val="center"/>
        <w:rPr>
          <w:rFonts w:ascii="宋体" w:eastAsia="宋体" w:hAnsi="宋体"/>
          <w:b/>
          <w:spacing w:val="-4"/>
        </w:rPr>
      </w:pPr>
      <w:r>
        <w:rPr>
          <w:rFonts w:ascii="宋体" w:eastAsia="宋体" w:hAnsi="宋体" w:hint="eastAsia"/>
          <w:b/>
          <w:spacing w:val="-4"/>
        </w:rPr>
        <w:lastRenderedPageBreak/>
        <w:t>实行政府定价的社会公共类停车设施收费指导标准</w:t>
      </w:r>
    </w:p>
    <w:p w:rsidR="00141BC7" w:rsidRDefault="00141BC7" w:rsidP="00141BC7">
      <w:pPr>
        <w:spacing w:line="500" w:lineRule="exact"/>
        <w:jc w:val="right"/>
        <w:rPr>
          <w:b/>
          <w:sz w:val="24"/>
          <w:szCs w:val="24"/>
        </w:rPr>
      </w:pPr>
      <w:r>
        <w:rPr>
          <w:rFonts w:hint="eastAsia"/>
          <w:sz w:val="24"/>
          <w:szCs w:val="24"/>
        </w:rPr>
        <w:t xml:space="preserve">  </w:t>
      </w:r>
      <w:r>
        <w:rPr>
          <w:rFonts w:hint="eastAsia"/>
          <w:sz w:val="24"/>
          <w:szCs w:val="24"/>
        </w:rPr>
        <w:t>（单位：元</w:t>
      </w:r>
      <w:r>
        <w:rPr>
          <w:rFonts w:hint="eastAsia"/>
          <w:sz w:val="24"/>
          <w:szCs w:val="24"/>
        </w:rPr>
        <w:t>/</w:t>
      </w:r>
      <w:r>
        <w:rPr>
          <w:rFonts w:hint="eastAsia"/>
          <w:sz w:val="24"/>
          <w:szCs w:val="24"/>
        </w:rPr>
        <w:t>辆）</w:t>
      </w:r>
    </w:p>
    <w:tbl>
      <w:tblPr>
        <w:tblW w:w="9215" w:type="dxa"/>
        <w:jc w:val="center"/>
        <w:tblInd w:w="-3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5"/>
        <w:gridCol w:w="494"/>
        <w:gridCol w:w="2156"/>
        <w:gridCol w:w="2126"/>
        <w:gridCol w:w="1985"/>
        <w:gridCol w:w="1799"/>
      </w:tblGrid>
      <w:tr w:rsidR="00141BC7" w:rsidTr="00FE52A3">
        <w:trPr>
          <w:trHeight w:val="1072"/>
          <w:tblHeader/>
          <w:jc w:val="center"/>
        </w:trPr>
        <w:tc>
          <w:tcPr>
            <w:tcW w:w="3305" w:type="dxa"/>
            <w:gridSpan w:val="3"/>
            <w:tcBorders>
              <w:top w:val="single" w:sz="4" w:space="0" w:color="auto"/>
              <w:left w:val="single" w:sz="4" w:space="0" w:color="auto"/>
              <w:bottom w:val="single" w:sz="4" w:space="0" w:color="auto"/>
              <w:right w:val="single" w:sz="4" w:space="0" w:color="auto"/>
              <w:tl2br w:val="single" w:sz="4" w:space="0" w:color="auto"/>
            </w:tcBorders>
          </w:tcPr>
          <w:p w:rsidR="00141BC7" w:rsidRDefault="00141BC7" w:rsidP="00FE52A3">
            <w:pPr>
              <w:spacing w:line="260" w:lineRule="exact"/>
              <w:ind w:firstLineChars="596" w:firstLine="1430"/>
              <w:rPr>
                <w:sz w:val="24"/>
                <w:szCs w:val="24"/>
              </w:rPr>
            </w:pPr>
          </w:p>
          <w:p w:rsidR="00141BC7" w:rsidRDefault="00141BC7" w:rsidP="00FE52A3">
            <w:pPr>
              <w:spacing w:line="260" w:lineRule="exact"/>
              <w:ind w:firstLineChars="596" w:firstLine="1430"/>
              <w:rPr>
                <w:sz w:val="24"/>
                <w:szCs w:val="24"/>
              </w:rPr>
            </w:pPr>
            <w:r>
              <w:rPr>
                <w:rFonts w:hint="eastAsia"/>
                <w:sz w:val="24"/>
                <w:szCs w:val="24"/>
              </w:rPr>
              <w:t>类型</w:t>
            </w:r>
          </w:p>
          <w:p w:rsidR="00141BC7" w:rsidRDefault="00141BC7" w:rsidP="00FE52A3">
            <w:pPr>
              <w:spacing w:line="260" w:lineRule="exact"/>
              <w:ind w:firstLineChars="1100" w:firstLine="2640"/>
              <w:rPr>
                <w:sz w:val="24"/>
                <w:szCs w:val="24"/>
              </w:rPr>
            </w:pPr>
          </w:p>
          <w:p w:rsidR="00141BC7" w:rsidRDefault="00141BC7" w:rsidP="00FE52A3">
            <w:pPr>
              <w:spacing w:line="260" w:lineRule="exact"/>
              <w:ind w:firstLineChars="300" w:firstLine="720"/>
              <w:rPr>
                <w:sz w:val="24"/>
                <w:szCs w:val="24"/>
              </w:rPr>
            </w:pPr>
            <w:r>
              <w:rPr>
                <w:rFonts w:hint="eastAsia"/>
                <w:sz w:val="24"/>
                <w:szCs w:val="24"/>
              </w:rPr>
              <w:t>标准</w:t>
            </w:r>
          </w:p>
        </w:tc>
        <w:tc>
          <w:tcPr>
            <w:tcW w:w="2126" w:type="dxa"/>
            <w:tcBorders>
              <w:top w:val="single" w:sz="4" w:space="0" w:color="auto"/>
              <w:left w:val="single" w:sz="4" w:space="0" w:color="auto"/>
              <w:bottom w:val="single" w:sz="4" w:space="0" w:color="auto"/>
              <w:right w:val="single" w:sz="4" w:space="0" w:color="auto"/>
            </w:tcBorders>
            <w:vAlign w:val="center"/>
          </w:tcPr>
          <w:p w:rsidR="00141BC7" w:rsidRDefault="00141BC7" w:rsidP="00FE52A3">
            <w:pPr>
              <w:spacing w:line="260" w:lineRule="exact"/>
              <w:jc w:val="center"/>
              <w:rPr>
                <w:sz w:val="24"/>
                <w:szCs w:val="24"/>
              </w:rPr>
            </w:pPr>
            <w:r>
              <w:rPr>
                <w:rFonts w:hint="eastAsia"/>
                <w:sz w:val="24"/>
                <w:szCs w:val="24"/>
              </w:rPr>
              <w:t>一类地区</w:t>
            </w:r>
          </w:p>
        </w:tc>
        <w:tc>
          <w:tcPr>
            <w:tcW w:w="1985" w:type="dxa"/>
            <w:tcBorders>
              <w:top w:val="single" w:sz="4" w:space="0" w:color="auto"/>
              <w:left w:val="single" w:sz="4" w:space="0" w:color="auto"/>
              <w:bottom w:val="single" w:sz="4" w:space="0" w:color="auto"/>
              <w:right w:val="single" w:sz="4" w:space="0" w:color="auto"/>
            </w:tcBorders>
            <w:vAlign w:val="center"/>
          </w:tcPr>
          <w:p w:rsidR="00141BC7" w:rsidRDefault="00141BC7" w:rsidP="00FE52A3">
            <w:pPr>
              <w:spacing w:line="260" w:lineRule="exact"/>
              <w:jc w:val="center"/>
              <w:rPr>
                <w:sz w:val="24"/>
                <w:szCs w:val="24"/>
              </w:rPr>
            </w:pPr>
            <w:r>
              <w:rPr>
                <w:rFonts w:hint="eastAsia"/>
                <w:sz w:val="24"/>
                <w:szCs w:val="24"/>
              </w:rPr>
              <w:t>二类地区</w:t>
            </w:r>
          </w:p>
        </w:tc>
        <w:tc>
          <w:tcPr>
            <w:tcW w:w="1799" w:type="dxa"/>
            <w:tcBorders>
              <w:top w:val="single" w:sz="4" w:space="0" w:color="auto"/>
              <w:left w:val="single" w:sz="4" w:space="0" w:color="auto"/>
              <w:bottom w:val="single" w:sz="4" w:space="0" w:color="auto"/>
              <w:right w:val="single" w:sz="4" w:space="0" w:color="auto"/>
            </w:tcBorders>
            <w:vAlign w:val="center"/>
          </w:tcPr>
          <w:p w:rsidR="00141BC7" w:rsidRDefault="00141BC7" w:rsidP="00FE52A3">
            <w:pPr>
              <w:spacing w:line="260" w:lineRule="exact"/>
              <w:jc w:val="center"/>
              <w:rPr>
                <w:sz w:val="24"/>
                <w:szCs w:val="24"/>
              </w:rPr>
            </w:pPr>
            <w:r>
              <w:rPr>
                <w:rFonts w:hint="eastAsia"/>
                <w:sz w:val="24"/>
                <w:szCs w:val="24"/>
              </w:rPr>
              <w:t>三类地区</w:t>
            </w:r>
          </w:p>
        </w:tc>
      </w:tr>
      <w:tr w:rsidR="00141BC7" w:rsidTr="00FE52A3">
        <w:trPr>
          <w:cantSplit/>
          <w:trHeight w:val="1176"/>
          <w:jc w:val="center"/>
        </w:trPr>
        <w:tc>
          <w:tcPr>
            <w:tcW w:w="655" w:type="dxa"/>
            <w:vMerge w:val="restart"/>
            <w:tcBorders>
              <w:top w:val="single" w:sz="4" w:space="0" w:color="auto"/>
              <w:left w:val="single" w:sz="4" w:space="0" w:color="auto"/>
              <w:bottom w:val="single" w:sz="4" w:space="0" w:color="auto"/>
              <w:right w:val="single" w:sz="4" w:space="0" w:color="auto"/>
            </w:tcBorders>
            <w:vAlign w:val="center"/>
          </w:tcPr>
          <w:p w:rsidR="00141BC7" w:rsidRDefault="00141BC7" w:rsidP="00FE52A3">
            <w:pPr>
              <w:adjustRightInd w:val="0"/>
              <w:snapToGrid w:val="0"/>
              <w:spacing w:line="280" w:lineRule="atLeast"/>
              <w:jc w:val="center"/>
              <w:rPr>
                <w:sz w:val="24"/>
                <w:szCs w:val="24"/>
              </w:rPr>
            </w:pPr>
            <w:r>
              <w:rPr>
                <w:rFonts w:hint="eastAsia"/>
                <w:sz w:val="24"/>
                <w:szCs w:val="24"/>
              </w:rPr>
              <w:t>小车基准收费</w:t>
            </w:r>
          </w:p>
          <w:p w:rsidR="00141BC7" w:rsidRDefault="00141BC7" w:rsidP="00FE52A3">
            <w:pPr>
              <w:adjustRightInd w:val="0"/>
              <w:snapToGrid w:val="0"/>
              <w:spacing w:line="280" w:lineRule="atLeast"/>
              <w:jc w:val="center"/>
              <w:rPr>
                <w:sz w:val="24"/>
                <w:szCs w:val="24"/>
              </w:rPr>
            </w:pPr>
            <w:r>
              <w:rPr>
                <w:rFonts w:hint="eastAsia"/>
                <w:sz w:val="24"/>
                <w:szCs w:val="24"/>
              </w:rPr>
              <w:t>标准</w:t>
            </w:r>
          </w:p>
        </w:tc>
        <w:tc>
          <w:tcPr>
            <w:tcW w:w="494" w:type="dxa"/>
            <w:vMerge w:val="restart"/>
            <w:tcBorders>
              <w:top w:val="single" w:sz="4" w:space="0" w:color="auto"/>
              <w:left w:val="single" w:sz="4" w:space="0" w:color="auto"/>
              <w:bottom w:val="single" w:sz="4" w:space="0" w:color="auto"/>
              <w:right w:val="single" w:sz="4" w:space="0" w:color="auto"/>
            </w:tcBorders>
            <w:vAlign w:val="center"/>
          </w:tcPr>
          <w:p w:rsidR="00141BC7" w:rsidRDefault="00141BC7" w:rsidP="00FE52A3">
            <w:pPr>
              <w:adjustRightInd w:val="0"/>
              <w:snapToGrid w:val="0"/>
              <w:spacing w:line="280" w:lineRule="atLeast"/>
              <w:rPr>
                <w:sz w:val="24"/>
                <w:szCs w:val="24"/>
              </w:rPr>
            </w:pPr>
            <w:r>
              <w:rPr>
                <w:rFonts w:hint="eastAsia"/>
                <w:sz w:val="24"/>
                <w:szCs w:val="24"/>
              </w:rPr>
              <w:t>工作日</w:t>
            </w:r>
          </w:p>
        </w:tc>
        <w:tc>
          <w:tcPr>
            <w:tcW w:w="2156" w:type="dxa"/>
            <w:tcBorders>
              <w:top w:val="single" w:sz="4" w:space="0" w:color="auto"/>
              <w:left w:val="single" w:sz="4" w:space="0" w:color="auto"/>
              <w:bottom w:val="single" w:sz="4" w:space="0" w:color="auto"/>
              <w:right w:val="single" w:sz="4" w:space="0" w:color="auto"/>
            </w:tcBorders>
            <w:vAlign w:val="center"/>
          </w:tcPr>
          <w:p w:rsidR="00141BC7" w:rsidRDefault="00141BC7" w:rsidP="00FE52A3">
            <w:pPr>
              <w:adjustRightInd w:val="0"/>
              <w:snapToGrid w:val="0"/>
              <w:spacing w:line="280" w:lineRule="atLeast"/>
              <w:rPr>
                <w:sz w:val="24"/>
                <w:szCs w:val="24"/>
              </w:rPr>
            </w:pPr>
            <w:r>
              <w:rPr>
                <w:rFonts w:hint="eastAsia"/>
                <w:sz w:val="24"/>
                <w:szCs w:val="24"/>
              </w:rPr>
              <w:t>高峰时段</w:t>
            </w:r>
          </w:p>
          <w:p w:rsidR="00141BC7" w:rsidRDefault="00141BC7" w:rsidP="00FE52A3">
            <w:pPr>
              <w:adjustRightInd w:val="0"/>
              <w:snapToGrid w:val="0"/>
              <w:spacing w:line="280" w:lineRule="atLeast"/>
              <w:rPr>
                <w:sz w:val="24"/>
                <w:szCs w:val="24"/>
              </w:rPr>
            </w:pPr>
            <w:r>
              <w:rPr>
                <w:rFonts w:hint="eastAsia"/>
                <w:sz w:val="24"/>
                <w:szCs w:val="24"/>
              </w:rPr>
              <w:t>（</w:t>
            </w:r>
            <w:r>
              <w:rPr>
                <w:rFonts w:hint="eastAsia"/>
                <w:sz w:val="24"/>
                <w:szCs w:val="24"/>
              </w:rPr>
              <w:t>8:00</w:t>
            </w:r>
            <w:r>
              <w:rPr>
                <w:rFonts w:hint="eastAsia"/>
                <w:sz w:val="24"/>
                <w:szCs w:val="24"/>
              </w:rPr>
              <w:t>—</w:t>
            </w:r>
            <w:r>
              <w:rPr>
                <w:rFonts w:hint="eastAsia"/>
                <w:sz w:val="24"/>
                <w:szCs w:val="24"/>
              </w:rPr>
              <w:t>20:00</w:t>
            </w:r>
            <w:r>
              <w:rPr>
                <w:rFonts w:hint="eastAsia"/>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141BC7" w:rsidRDefault="00141BC7" w:rsidP="00FE52A3">
            <w:pPr>
              <w:adjustRightInd w:val="0"/>
              <w:snapToGrid w:val="0"/>
              <w:spacing w:line="280" w:lineRule="atLeast"/>
              <w:rPr>
                <w:sz w:val="24"/>
                <w:szCs w:val="24"/>
              </w:rPr>
            </w:pPr>
            <w:r>
              <w:rPr>
                <w:rFonts w:hint="eastAsia"/>
                <w:sz w:val="24"/>
                <w:szCs w:val="24"/>
              </w:rPr>
              <w:t>首小时</w:t>
            </w:r>
            <w:r>
              <w:rPr>
                <w:rFonts w:hint="eastAsia"/>
                <w:sz w:val="24"/>
                <w:szCs w:val="24"/>
              </w:rPr>
              <w:t>15</w:t>
            </w:r>
            <w:r>
              <w:rPr>
                <w:rFonts w:hint="eastAsia"/>
                <w:sz w:val="24"/>
                <w:szCs w:val="24"/>
              </w:rPr>
              <w:t>元，第二小时起</w:t>
            </w:r>
            <w:r>
              <w:rPr>
                <w:rFonts w:hint="eastAsia"/>
                <w:sz w:val="24"/>
                <w:szCs w:val="24"/>
              </w:rPr>
              <w:t>1.5</w:t>
            </w:r>
            <w:r>
              <w:rPr>
                <w:rFonts w:hint="eastAsia"/>
                <w:sz w:val="24"/>
                <w:szCs w:val="24"/>
              </w:rPr>
              <w:t>元</w:t>
            </w:r>
            <w:r>
              <w:rPr>
                <w:rFonts w:hint="eastAsia"/>
                <w:sz w:val="24"/>
                <w:szCs w:val="24"/>
              </w:rPr>
              <w:t>/</w:t>
            </w:r>
            <w:r>
              <w:rPr>
                <w:rFonts w:hint="eastAsia"/>
                <w:sz w:val="24"/>
                <w:szCs w:val="24"/>
              </w:rPr>
              <w:t>半小时</w:t>
            </w:r>
          </w:p>
        </w:tc>
        <w:tc>
          <w:tcPr>
            <w:tcW w:w="1985" w:type="dxa"/>
            <w:tcBorders>
              <w:top w:val="single" w:sz="4" w:space="0" w:color="auto"/>
              <w:left w:val="single" w:sz="4" w:space="0" w:color="auto"/>
              <w:bottom w:val="single" w:sz="4" w:space="0" w:color="auto"/>
              <w:right w:val="single" w:sz="4" w:space="0" w:color="auto"/>
            </w:tcBorders>
            <w:vAlign w:val="center"/>
          </w:tcPr>
          <w:p w:rsidR="00141BC7" w:rsidRDefault="00141BC7" w:rsidP="00FE52A3">
            <w:pPr>
              <w:adjustRightInd w:val="0"/>
              <w:snapToGrid w:val="0"/>
              <w:spacing w:line="280" w:lineRule="atLeast"/>
              <w:rPr>
                <w:sz w:val="24"/>
                <w:szCs w:val="24"/>
              </w:rPr>
            </w:pPr>
            <w:r>
              <w:rPr>
                <w:rFonts w:hint="eastAsia"/>
                <w:sz w:val="24"/>
                <w:szCs w:val="24"/>
              </w:rPr>
              <w:t>首小时</w:t>
            </w:r>
            <w:r>
              <w:rPr>
                <w:rFonts w:hint="eastAsia"/>
                <w:sz w:val="24"/>
                <w:szCs w:val="24"/>
              </w:rPr>
              <w:t>10</w:t>
            </w:r>
            <w:r>
              <w:rPr>
                <w:rFonts w:hint="eastAsia"/>
                <w:sz w:val="24"/>
                <w:szCs w:val="24"/>
              </w:rPr>
              <w:t>元，第二小时起</w:t>
            </w:r>
            <w:r>
              <w:rPr>
                <w:rFonts w:hint="eastAsia"/>
                <w:sz w:val="24"/>
                <w:szCs w:val="24"/>
              </w:rPr>
              <w:t>1</w:t>
            </w:r>
            <w:r>
              <w:rPr>
                <w:rFonts w:hint="eastAsia"/>
                <w:sz w:val="24"/>
                <w:szCs w:val="24"/>
              </w:rPr>
              <w:t>元</w:t>
            </w:r>
            <w:r>
              <w:rPr>
                <w:rFonts w:hint="eastAsia"/>
                <w:sz w:val="24"/>
                <w:szCs w:val="24"/>
              </w:rPr>
              <w:t>/</w:t>
            </w:r>
            <w:r>
              <w:rPr>
                <w:rFonts w:hint="eastAsia"/>
                <w:sz w:val="24"/>
                <w:szCs w:val="24"/>
              </w:rPr>
              <w:t>半小时</w:t>
            </w:r>
          </w:p>
        </w:tc>
        <w:tc>
          <w:tcPr>
            <w:tcW w:w="1799" w:type="dxa"/>
            <w:tcBorders>
              <w:top w:val="single" w:sz="4" w:space="0" w:color="auto"/>
              <w:left w:val="single" w:sz="4" w:space="0" w:color="auto"/>
              <w:bottom w:val="single" w:sz="4" w:space="0" w:color="auto"/>
              <w:right w:val="single" w:sz="4" w:space="0" w:color="auto"/>
            </w:tcBorders>
            <w:vAlign w:val="center"/>
          </w:tcPr>
          <w:p w:rsidR="00141BC7" w:rsidRDefault="00141BC7" w:rsidP="00FE52A3">
            <w:pPr>
              <w:adjustRightInd w:val="0"/>
              <w:snapToGrid w:val="0"/>
              <w:spacing w:line="280" w:lineRule="atLeast"/>
              <w:rPr>
                <w:sz w:val="24"/>
                <w:szCs w:val="24"/>
              </w:rPr>
            </w:pPr>
            <w:r>
              <w:rPr>
                <w:rFonts w:hint="eastAsia"/>
                <w:sz w:val="24"/>
                <w:szCs w:val="24"/>
              </w:rPr>
              <w:t>首小时</w:t>
            </w:r>
            <w:r>
              <w:rPr>
                <w:rFonts w:hint="eastAsia"/>
                <w:sz w:val="24"/>
                <w:szCs w:val="24"/>
              </w:rPr>
              <w:t>5</w:t>
            </w:r>
            <w:r>
              <w:rPr>
                <w:rFonts w:hint="eastAsia"/>
                <w:sz w:val="24"/>
                <w:szCs w:val="24"/>
              </w:rPr>
              <w:t>元，第二小时起</w:t>
            </w:r>
            <w:r>
              <w:rPr>
                <w:rFonts w:hint="eastAsia"/>
                <w:sz w:val="24"/>
                <w:szCs w:val="24"/>
              </w:rPr>
              <w:t>0.5</w:t>
            </w:r>
            <w:r>
              <w:rPr>
                <w:rFonts w:hint="eastAsia"/>
                <w:sz w:val="24"/>
                <w:szCs w:val="24"/>
              </w:rPr>
              <w:t>元</w:t>
            </w:r>
            <w:r>
              <w:rPr>
                <w:rFonts w:hint="eastAsia"/>
                <w:sz w:val="24"/>
                <w:szCs w:val="24"/>
              </w:rPr>
              <w:t>/</w:t>
            </w:r>
            <w:r>
              <w:rPr>
                <w:rFonts w:hint="eastAsia"/>
                <w:sz w:val="24"/>
                <w:szCs w:val="24"/>
              </w:rPr>
              <w:t>半小时</w:t>
            </w:r>
          </w:p>
        </w:tc>
      </w:tr>
      <w:tr w:rsidR="00141BC7" w:rsidTr="00FE52A3">
        <w:trPr>
          <w:cantSplit/>
          <w:trHeight w:val="1123"/>
          <w:jc w:val="center"/>
        </w:trPr>
        <w:tc>
          <w:tcPr>
            <w:tcW w:w="655" w:type="dxa"/>
            <w:vMerge/>
            <w:tcBorders>
              <w:top w:val="single" w:sz="4" w:space="0" w:color="auto"/>
              <w:left w:val="single" w:sz="4" w:space="0" w:color="auto"/>
              <w:bottom w:val="single" w:sz="4" w:space="0" w:color="auto"/>
              <w:right w:val="single" w:sz="4" w:space="0" w:color="auto"/>
            </w:tcBorders>
            <w:vAlign w:val="center"/>
          </w:tcPr>
          <w:p w:rsidR="00141BC7" w:rsidRDefault="00141BC7" w:rsidP="00FE52A3">
            <w:pPr>
              <w:widowControl/>
              <w:jc w:val="center"/>
              <w:rPr>
                <w:sz w:val="24"/>
                <w:szCs w:val="24"/>
              </w:rPr>
            </w:pPr>
          </w:p>
        </w:tc>
        <w:tc>
          <w:tcPr>
            <w:tcW w:w="494" w:type="dxa"/>
            <w:vMerge/>
            <w:tcBorders>
              <w:top w:val="single" w:sz="4" w:space="0" w:color="auto"/>
              <w:left w:val="single" w:sz="4" w:space="0" w:color="auto"/>
              <w:bottom w:val="single" w:sz="4" w:space="0" w:color="auto"/>
              <w:right w:val="single" w:sz="4" w:space="0" w:color="auto"/>
            </w:tcBorders>
            <w:vAlign w:val="center"/>
          </w:tcPr>
          <w:p w:rsidR="00141BC7" w:rsidRDefault="00141BC7" w:rsidP="00FE52A3">
            <w:pPr>
              <w:widowControl/>
              <w:jc w:val="left"/>
              <w:rPr>
                <w:sz w:val="24"/>
                <w:szCs w:val="24"/>
              </w:rPr>
            </w:pPr>
          </w:p>
        </w:tc>
        <w:tc>
          <w:tcPr>
            <w:tcW w:w="2156" w:type="dxa"/>
            <w:tcBorders>
              <w:top w:val="single" w:sz="4" w:space="0" w:color="auto"/>
              <w:left w:val="single" w:sz="4" w:space="0" w:color="auto"/>
              <w:bottom w:val="single" w:sz="4" w:space="0" w:color="auto"/>
              <w:right w:val="single" w:sz="4" w:space="0" w:color="auto"/>
            </w:tcBorders>
            <w:vAlign w:val="center"/>
          </w:tcPr>
          <w:p w:rsidR="00141BC7" w:rsidRDefault="00141BC7" w:rsidP="00FE52A3">
            <w:pPr>
              <w:adjustRightInd w:val="0"/>
              <w:snapToGrid w:val="0"/>
              <w:spacing w:line="280" w:lineRule="atLeast"/>
              <w:rPr>
                <w:sz w:val="24"/>
                <w:szCs w:val="24"/>
              </w:rPr>
            </w:pPr>
            <w:r>
              <w:rPr>
                <w:rFonts w:hint="eastAsia"/>
                <w:sz w:val="24"/>
                <w:szCs w:val="24"/>
              </w:rPr>
              <w:t>非高峰时段（</w:t>
            </w:r>
          </w:p>
          <w:p w:rsidR="00141BC7" w:rsidRDefault="00141BC7" w:rsidP="00FE52A3">
            <w:pPr>
              <w:adjustRightInd w:val="0"/>
              <w:snapToGrid w:val="0"/>
              <w:spacing w:line="280" w:lineRule="atLeast"/>
              <w:rPr>
                <w:sz w:val="24"/>
                <w:szCs w:val="24"/>
              </w:rPr>
            </w:pPr>
            <w:r>
              <w:rPr>
                <w:rFonts w:hint="eastAsia"/>
                <w:sz w:val="24"/>
                <w:szCs w:val="24"/>
              </w:rPr>
              <w:t>20:00</w:t>
            </w:r>
            <w:r>
              <w:rPr>
                <w:rFonts w:hint="eastAsia"/>
                <w:sz w:val="24"/>
                <w:szCs w:val="24"/>
              </w:rPr>
              <w:t>—次日</w:t>
            </w:r>
            <w:r>
              <w:rPr>
                <w:rFonts w:hint="eastAsia"/>
                <w:sz w:val="24"/>
                <w:szCs w:val="24"/>
              </w:rPr>
              <w:t>8:00</w:t>
            </w:r>
            <w:r>
              <w:rPr>
                <w:rFonts w:hint="eastAsia"/>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141BC7" w:rsidRDefault="00141BC7" w:rsidP="00FE52A3">
            <w:pPr>
              <w:adjustRightInd w:val="0"/>
              <w:snapToGrid w:val="0"/>
              <w:spacing w:line="280" w:lineRule="atLeast"/>
              <w:jc w:val="center"/>
              <w:rPr>
                <w:sz w:val="24"/>
                <w:szCs w:val="24"/>
              </w:rPr>
            </w:pPr>
            <w:r>
              <w:rPr>
                <w:rFonts w:hint="eastAsia"/>
                <w:sz w:val="24"/>
                <w:szCs w:val="24"/>
              </w:rPr>
              <w:t>每小时</w:t>
            </w:r>
            <w:r>
              <w:rPr>
                <w:rFonts w:hint="eastAsia"/>
                <w:sz w:val="24"/>
                <w:szCs w:val="24"/>
              </w:rPr>
              <w:t>1.5</w:t>
            </w:r>
            <w:r>
              <w:rPr>
                <w:rFonts w:hint="eastAsia"/>
                <w:sz w:val="24"/>
                <w:szCs w:val="24"/>
              </w:rPr>
              <w:t>元</w:t>
            </w:r>
          </w:p>
        </w:tc>
        <w:tc>
          <w:tcPr>
            <w:tcW w:w="1985" w:type="dxa"/>
            <w:tcBorders>
              <w:top w:val="single" w:sz="4" w:space="0" w:color="auto"/>
              <w:left w:val="single" w:sz="4" w:space="0" w:color="auto"/>
              <w:bottom w:val="single" w:sz="4" w:space="0" w:color="auto"/>
              <w:right w:val="single" w:sz="4" w:space="0" w:color="auto"/>
            </w:tcBorders>
            <w:vAlign w:val="center"/>
          </w:tcPr>
          <w:p w:rsidR="00141BC7" w:rsidRDefault="00141BC7" w:rsidP="00FE52A3">
            <w:pPr>
              <w:adjustRightInd w:val="0"/>
              <w:snapToGrid w:val="0"/>
              <w:spacing w:line="280" w:lineRule="atLeast"/>
              <w:jc w:val="center"/>
              <w:rPr>
                <w:sz w:val="24"/>
                <w:szCs w:val="24"/>
              </w:rPr>
            </w:pPr>
            <w:r>
              <w:rPr>
                <w:rFonts w:hint="eastAsia"/>
                <w:sz w:val="24"/>
                <w:szCs w:val="24"/>
              </w:rPr>
              <w:t>每小时</w:t>
            </w:r>
            <w:r>
              <w:rPr>
                <w:rFonts w:hint="eastAsia"/>
                <w:sz w:val="24"/>
                <w:szCs w:val="24"/>
              </w:rPr>
              <w:t>1</w:t>
            </w:r>
            <w:r>
              <w:rPr>
                <w:rFonts w:hint="eastAsia"/>
                <w:sz w:val="24"/>
                <w:szCs w:val="24"/>
              </w:rPr>
              <w:t>元</w:t>
            </w:r>
          </w:p>
        </w:tc>
        <w:tc>
          <w:tcPr>
            <w:tcW w:w="1799" w:type="dxa"/>
            <w:tcBorders>
              <w:top w:val="single" w:sz="4" w:space="0" w:color="auto"/>
              <w:left w:val="single" w:sz="4" w:space="0" w:color="auto"/>
              <w:bottom w:val="single" w:sz="4" w:space="0" w:color="auto"/>
              <w:right w:val="single" w:sz="4" w:space="0" w:color="auto"/>
            </w:tcBorders>
            <w:vAlign w:val="center"/>
          </w:tcPr>
          <w:p w:rsidR="00141BC7" w:rsidRDefault="00141BC7" w:rsidP="00FE52A3">
            <w:pPr>
              <w:adjustRightInd w:val="0"/>
              <w:snapToGrid w:val="0"/>
              <w:spacing w:line="280" w:lineRule="atLeast"/>
              <w:ind w:firstLineChars="50" w:firstLine="120"/>
              <w:rPr>
                <w:sz w:val="24"/>
                <w:szCs w:val="24"/>
              </w:rPr>
            </w:pPr>
            <w:r>
              <w:rPr>
                <w:rFonts w:hint="eastAsia"/>
                <w:sz w:val="24"/>
                <w:szCs w:val="24"/>
              </w:rPr>
              <w:t>每小时</w:t>
            </w:r>
            <w:r>
              <w:rPr>
                <w:rFonts w:hint="eastAsia"/>
                <w:sz w:val="24"/>
                <w:szCs w:val="24"/>
              </w:rPr>
              <w:t>0.5</w:t>
            </w:r>
            <w:r>
              <w:rPr>
                <w:rFonts w:hint="eastAsia"/>
                <w:sz w:val="24"/>
                <w:szCs w:val="24"/>
              </w:rPr>
              <w:t>元</w:t>
            </w:r>
          </w:p>
        </w:tc>
      </w:tr>
      <w:tr w:rsidR="00141BC7" w:rsidTr="00FE52A3">
        <w:trPr>
          <w:cantSplit/>
          <w:trHeight w:val="834"/>
          <w:jc w:val="center"/>
        </w:trPr>
        <w:tc>
          <w:tcPr>
            <w:tcW w:w="655" w:type="dxa"/>
            <w:vMerge/>
            <w:tcBorders>
              <w:top w:val="single" w:sz="4" w:space="0" w:color="auto"/>
              <w:left w:val="single" w:sz="4" w:space="0" w:color="auto"/>
              <w:bottom w:val="single" w:sz="4" w:space="0" w:color="auto"/>
              <w:right w:val="single" w:sz="4" w:space="0" w:color="auto"/>
            </w:tcBorders>
            <w:vAlign w:val="center"/>
          </w:tcPr>
          <w:p w:rsidR="00141BC7" w:rsidRDefault="00141BC7" w:rsidP="00FE52A3">
            <w:pPr>
              <w:widowControl/>
              <w:jc w:val="center"/>
              <w:rPr>
                <w:sz w:val="24"/>
                <w:szCs w:val="24"/>
              </w:rPr>
            </w:pPr>
          </w:p>
        </w:tc>
        <w:tc>
          <w:tcPr>
            <w:tcW w:w="494" w:type="dxa"/>
            <w:tcBorders>
              <w:top w:val="single" w:sz="4" w:space="0" w:color="auto"/>
              <w:left w:val="single" w:sz="4" w:space="0" w:color="auto"/>
              <w:bottom w:val="single" w:sz="4" w:space="0" w:color="auto"/>
              <w:right w:val="single" w:sz="4" w:space="0" w:color="auto"/>
            </w:tcBorders>
            <w:vAlign w:val="center"/>
          </w:tcPr>
          <w:p w:rsidR="00141BC7" w:rsidRDefault="00141BC7" w:rsidP="00FE52A3">
            <w:pPr>
              <w:adjustRightInd w:val="0"/>
              <w:snapToGrid w:val="0"/>
              <w:spacing w:line="280" w:lineRule="atLeast"/>
              <w:rPr>
                <w:sz w:val="24"/>
                <w:szCs w:val="24"/>
              </w:rPr>
            </w:pPr>
            <w:r>
              <w:rPr>
                <w:rFonts w:hint="eastAsia"/>
                <w:sz w:val="24"/>
                <w:szCs w:val="24"/>
              </w:rPr>
              <w:t>非工作日</w:t>
            </w:r>
          </w:p>
        </w:tc>
        <w:tc>
          <w:tcPr>
            <w:tcW w:w="2156" w:type="dxa"/>
            <w:tcBorders>
              <w:top w:val="single" w:sz="4" w:space="0" w:color="auto"/>
              <w:left w:val="single" w:sz="4" w:space="0" w:color="auto"/>
              <w:bottom w:val="single" w:sz="4" w:space="0" w:color="auto"/>
              <w:right w:val="single" w:sz="4" w:space="0" w:color="auto"/>
            </w:tcBorders>
            <w:vAlign w:val="center"/>
          </w:tcPr>
          <w:p w:rsidR="00141BC7" w:rsidRDefault="00141BC7" w:rsidP="00FE52A3">
            <w:pPr>
              <w:adjustRightInd w:val="0"/>
              <w:snapToGrid w:val="0"/>
              <w:spacing w:line="280" w:lineRule="atLeast"/>
              <w:rPr>
                <w:sz w:val="24"/>
                <w:szCs w:val="24"/>
              </w:rPr>
            </w:pPr>
            <w:r>
              <w:rPr>
                <w:rFonts w:hint="eastAsia"/>
                <w:sz w:val="24"/>
                <w:szCs w:val="24"/>
              </w:rPr>
              <w:t>（包含法定节假日）</w:t>
            </w:r>
          </w:p>
        </w:tc>
        <w:tc>
          <w:tcPr>
            <w:tcW w:w="2126" w:type="dxa"/>
            <w:tcBorders>
              <w:top w:val="single" w:sz="4" w:space="0" w:color="auto"/>
              <w:left w:val="single" w:sz="4" w:space="0" w:color="auto"/>
              <w:bottom w:val="single" w:sz="4" w:space="0" w:color="auto"/>
              <w:right w:val="single" w:sz="4" w:space="0" w:color="auto"/>
            </w:tcBorders>
            <w:vAlign w:val="center"/>
          </w:tcPr>
          <w:p w:rsidR="00141BC7" w:rsidRDefault="00141BC7" w:rsidP="00FE52A3">
            <w:pPr>
              <w:adjustRightInd w:val="0"/>
              <w:snapToGrid w:val="0"/>
              <w:spacing w:line="280" w:lineRule="atLeast"/>
              <w:rPr>
                <w:sz w:val="24"/>
                <w:szCs w:val="24"/>
              </w:rPr>
            </w:pPr>
            <w:r>
              <w:rPr>
                <w:rFonts w:hint="eastAsia"/>
                <w:sz w:val="24"/>
                <w:szCs w:val="24"/>
              </w:rPr>
              <w:t>首小时</w:t>
            </w:r>
            <w:r>
              <w:rPr>
                <w:rFonts w:hint="eastAsia"/>
                <w:sz w:val="24"/>
                <w:szCs w:val="24"/>
              </w:rPr>
              <w:t>5</w:t>
            </w:r>
            <w:r>
              <w:rPr>
                <w:rFonts w:hint="eastAsia"/>
                <w:sz w:val="24"/>
                <w:szCs w:val="24"/>
              </w:rPr>
              <w:t>元，第二小时起</w:t>
            </w:r>
            <w:r>
              <w:rPr>
                <w:rFonts w:hint="eastAsia"/>
                <w:sz w:val="24"/>
                <w:szCs w:val="24"/>
              </w:rPr>
              <w:t>1.5</w:t>
            </w:r>
            <w:r>
              <w:rPr>
                <w:rFonts w:hint="eastAsia"/>
                <w:sz w:val="24"/>
                <w:szCs w:val="24"/>
              </w:rPr>
              <w:t>元</w:t>
            </w:r>
            <w:r>
              <w:rPr>
                <w:rFonts w:hint="eastAsia"/>
                <w:sz w:val="24"/>
                <w:szCs w:val="24"/>
              </w:rPr>
              <w:t>/</w:t>
            </w:r>
            <w:r>
              <w:rPr>
                <w:rFonts w:hint="eastAsia"/>
                <w:sz w:val="24"/>
                <w:szCs w:val="24"/>
              </w:rPr>
              <w:t>小时</w:t>
            </w:r>
          </w:p>
        </w:tc>
        <w:tc>
          <w:tcPr>
            <w:tcW w:w="1985" w:type="dxa"/>
            <w:tcBorders>
              <w:top w:val="single" w:sz="4" w:space="0" w:color="auto"/>
              <w:left w:val="single" w:sz="4" w:space="0" w:color="auto"/>
              <w:bottom w:val="single" w:sz="4" w:space="0" w:color="auto"/>
              <w:right w:val="single" w:sz="4" w:space="0" w:color="auto"/>
            </w:tcBorders>
            <w:vAlign w:val="center"/>
          </w:tcPr>
          <w:p w:rsidR="00141BC7" w:rsidRDefault="00141BC7" w:rsidP="00FE52A3">
            <w:pPr>
              <w:adjustRightInd w:val="0"/>
              <w:snapToGrid w:val="0"/>
              <w:spacing w:line="280" w:lineRule="atLeast"/>
              <w:rPr>
                <w:sz w:val="24"/>
                <w:szCs w:val="24"/>
              </w:rPr>
            </w:pPr>
            <w:r>
              <w:rPr>
                <w:rFonts w:hint="eastAsia"/>
                <w:sz w:val="24"/>
                <w:szCs w:val="24"/>
              </w:rPr>
              <w:t>首小时</w:t>
            </w:r>
            <w:r>
              <w:rPr>
                <w:rFonts w:hint="eastAsia"/>
                <w:sz w:val="24"/>
                <w:szCs w:val="24"/>
              </w:rPr>
              <w:t>4</w:t>
            </w:r>
            <w:r>
              <w:rPr>
                <w:rFonts w:hint="eastAsia"/>
                <w:sz w:val="24"/>
                <w:szCs w:val="24"/>
              </w:rPr>
              <w:t>元，第二小时起</w:t>
            </w:r>
            <w:r>
              <w:rPr>
                <w:rFonts w:hint="eastAsia"/>
                <w:sz w:val="24"/>
                <w:szCs w:val="24"/>
              </w:rPr>
              <w:t>1</w:t>
            </w:r>
            <w:r>
              <w:rPr>
                <w:rFonts w:hint="eastAsia"/>
                <w:sz w:val="24"/>
                <w:szCs w:val="24"/>
              </w:rPr>
              <w:t>元</w:t>
            </w:r>
            <w:r>
              <w:rPr>
                <w:rFonts w:hint="eastAsia"/>
                <w:sz w:val="24"/>
                <w:szCs w:val="24"/>
              </w:rPr>
              <w:t>/</w:t>
            </w:r>
            <w:r>
              <w:rPr>
                <w:rFonts w:hint="eastAsia"/>
                <w:sz w:val="24"/>
                <w:szCs w:val="24"/>
              </w:rPr>
              <w:t>小时</w:t>
            </w:r>
          </w:p>
        </w:tc>
        <w:tc>
          <w:tcPr>
            <w:tcW w:w="1799" w:type="dxa"/>
            <w:tcBorders>
              <w:top w:val="single" w:sz="4" w:space="0" w:color="auto"/>
              <w:left w:val="single" w:sz="4" w:space="0" w:color="auto"/>
              <w:bottom w:val="single" w:sz="4" w:space="0" w:color="auto"/>
              <w:right w:val="single" w:sz="4" w:space="0" w:color="auto"/>
            </w:tcBorders>
            <w:vAlign w:val="center"/>
          </w:tcPr>
          <w:p w:rsidR="00141BC7" w:rsidRDefault="00141BC7" w:rsidP="00FE52A3">
            <w:pPr>
              <w:adjustRightInd w:val="0"/>
              <w:snapToGrid w:val="0"/>
              <w:spacing w:line="280" w:lineRule="atLeast"/>
              <w:rPr>
                <w:sz w:val="24"/>
                <w:szCs w:val="24"/>
              </w:rPr>
            </w:pPr>
            <w:r>
              <w:rPr>
                <w:rFonts w:hint="eastAsia"/>
                <w:sz w:val="24"/>
                <w:szCs w:val="24"/>
              </w:rPr>
              <w:t>首小时</w:t>
            </w:r>
            <w:r>
              <w:rPr>
                <w:rFonts w:hint="eastAsia"/>
                <w:sz w:val="24"/>
                <w:szCs w:val="24"/>
              </w:rPr>
              <w:t>3</w:t>
            </w:r>
            <w:r>
              <w:rPr>
                <w:rFonts w:hint="eastAsia"/>
                <w:sz w:val="24"/>
                <w:szCs w:val="24"/>
              </w:rPr>
              <w:t>元，第二小时起</w:t>
            </w:r>
            <w:r>
              <w:rPr>
                <w:rFonts w:hint="eastAsia"/>
                <w:sz w:val="24"/>
                <w:szCs w:val="24"/>
              </w:rPr>
              <w:t>0.5</w:t>
            </w:r>
            <w:r>
              <w:rPr>
                <w:rFonts w:hint="eastAsia"/>
                <w:sz w:val="24"/>
                <w:szCs w:val="24"/>
              </w:rPr>
              <w:t>元</w:t>
            </w:r>
            <w:r>
              <w:rPr>
                <w:rFonts w:hint="eastAsia"/>
                <w:sz w:val="24"/>
                <w:szCs w:val="24"/>
              </w:rPr>
              <w:t>/</w:t>
            </w:r>
            <w:r>
              <w:rPr>
                <w:rFonts w:hint="eastAsia"/>
                <w:sz w:val="24"/>
                <w:szCs w:val="24"/>
              </w:rPr>
              <w:t>小时</w:t>
            </w:r>
          </w:p>
        </w:tc>
      </w:tr>
    </w:tbl>
    <w:p w:rsidR="00141BC7" w:rsidRDefault="00141BC7" w:rsidP="00141BC7">
      <w:pPr>
        <w:spacing w:line="560" w:lineRule="exact"/>
        <w:ind w:firstLineChars="200" w:firstLine="616"/>
        <w:rPr>
          <w:spacing w:val="4"/>
          <w:sz w:val="30"/>
          <w:szCs w:val="30"/>
        </w:rPr>
      </w:pPr>
    </w:p>
    <w:p w:rsidR="00141BC7" w:rsidRPr="005D7759" w:rsidRDefault="00141BC7" w:rsidP="00141BC7">
      <w:pPr>
        <w:spacing w:line="560" w:lineRule="exact"/>
        <w:ind w:firstLineChars="200" w:firstLine="616"/>
        <w:rPr>
          <w:rFonts w:ascii="仿宋_GB2312"/>
          <w:spacing w:val="4"/>
          <w:sz w:val="30"/>
          <w:szCs w:val="30"/>
        </w:rPr>
      </w:pPr>
      <w:r w:rsidRPr="005D7759">
        <w:rPr>
          <w:rFonts w:ascii="仿宋_GB2312" w:hint="eastAsia"/>
          <w:spacing w:val="4"/>
          <w:sz w:val="30"/>
          <w:szCs w:val="30"/>
        </w:rPr>
        <w:t>说明：</w:t>
      </w:r>
    </w:p>
    <w:p w:rsidR="00141BC7" w:rsidRPr="005D7759" w:rsidRDefault="00141BC7" w:rsidP="00141BC7">
      <w:pPr>
        <w:spacing w:line="560" w:lineRule="exact"/>
        <w:ind w:firstLineChars="200" w:firstLine="616"/>
        <w:rPr>
          <w:rFonts w:ascii="仿宋_GB2312" w:hAnsi="仿宋"/>
          <w:sz w:val="30"/>
          <w:szCs w:val="30"/>
        </w:rPr>
      </w:pPr>
      <w:r w:rsidRPr="005D7759">
        <w:rPr>
          <w:rFonts w:ascii="仿宋_GB2312" w:hint="eastAsia"/>
          <w:spacing w:val="4"/>
          <w:sz w:val="30"/>
          <w:szCs w:val="30"/>
        </w:rPr>
        <w:t>1</w:t>
      </w:r>
      <w:r w:rsidRPr="005D7759">
        <w:rPr>
          <w:rFonts w:ascii="仿宋_GB2312" w:hAnsi="方正楷体_GBK" w:cs="方正楷体_GBK" w:hint="eastAsia"/>
          <w:spacing w:val="4"/>
          <w:sz w:val="30"/>
          <w:szCs w:val="30"/>
        </w:rPr>
        <w:t>.</w:t>
      </w:r>
      <w:r w:rsidRPr="005D7759">
        <w:rPr>
          <w:rFonts w:ascii="仿宋_GB2312" w:hint="eastAsia"/>
          <w:spacing w:val="4"/>
          <w:sz w:val="30"/>
          <w:szCs w:val="30"/>
        </w:rPr>
        <w:t>执行上述收费标准的社会公共类停车设施包括：政府投资建设</w:t>
      </w:r>
      <w:r w:rsidRPr="005D7759">
        <w:rPr>
          <w:rFonts w:ascii="仿宋_GB2312" w:hint="eastAsia"/>
          <w:snapToGrid w:val="0"/>
          <w:kern w:val="0"/>
          <w:sz w:val="30"/>
          <w:szCs w:val="30"/>
        </w:rPr>
        <w:t>（含合资建设）</w:t>
      </w:r>
      <w:r w:rsidRPr="005D7759">
        <w:rPr>
          <w:rFonts w:ascii="仿宋_GB2312" w:hint="eastAsia"/>
          <w:spacing w:val="4"/>
          <w:sz w:val="30"/>
          <w:szCs w:val="30"/>
        </w:rPr>
        <w:t>的</w:t>
      </w:r>
      <w:r w:rsidRPr="005D7759">
        <w:rPr>
          <w:rFonts w:ascii="仿宋_GB2312" w:hint="eastAsia"/>
          <w:sz w:val="30"/>
          <w:szCs w:val="30"/>
        </w:rPr>
        <w:t>机关、事业单位办公场所配套停车场，</w:t>
      </w:r>
      <w:r w:rsidRPr="005D7759">
        <w:rPr>
          <w:rFonts w:ascii="仿宋_GB2312" w:hAnsi="方正楷体_GBK" w:cs="方正楷体_GBK" w:hint="eastAsia"/>
          <w:sz w:val="30"/>
          <w:szCs w:val="30"/>
        </w:rPr>
        <w:t>公办</w:t>
      </w:r>
      <w:r w:rsidRPr="005D7759">
        <w:rPr>
          <w:rFonts w:ascii="仿宋_GB2312" w:hint="eastAsia"/>
          <w:sz w:val="30"/>
          <w:szCs w:val="30"/>
        </w:rPr>
        <w:t>学校配套停车场，政府投资建设</w:t>
      </w:r>
      <w:r w:rsidRPr="005D7759">
        <w:rPr>
          <w:rFonts w:ascii="仿宋_GB2312" w:hint="eastAsia"/>
          <w:snapToGrid w:val="0"/>
          <w:kern w:val="0"/>
          <w:sz w:val="30"/>
          <w:szCs w:val="30"/>
        </w:rPr>
        <w:t>（含合资建设）</w:t>
      </w:r>
      <w:r w:rsidRPr="005D7759">
        <w:rPr>
          <w:rFonts w:ascii="仿宋_GB2312" w:hint="eastAsia"/>
          <w:sz w:val="30"/>
          <w:szCs w:val="30"/>
        </w:rPr>
        <w:t>的公园、博物馆、图书馆、</w:t>
      </w:r>
      <w:r w:rsidRPr="005D7759">
        <w:rPr>
          <w:rFonts w:ascii="仿宋_GB2312" w:hint="eastAsia"/>
          <w:color w:val="000000"/>
          <w:sz w:val="30"/>
          <w:szCs w:val="30"/>
        </w:rPr>
        <w:t>书城、</w:t>
      </w:r>
      <w:r w:rsidRPr="005D7759">
        <w:rPr>
          <w:rFonts w:ascii="仿宋_GB2312" w:hint="eastAsia"/>
          <w:sz w:val="30"/>
          <w:szCs w:val="30"/>
        </w:rPr>
        <w:t>青少年宫、文化宫、体育场馆、音乐厅、影剧院、会展中心、新闻单位等场所配套停车场。</w:t>
      </w:r>
      <w:r w:rsidRPr="00C9725B">
        <w:rPr>
          <w:rFonts w:ascii="仿宋_GB2312" w:hint="eastAsia"/>
          <w:b/>
          <w:sz w:val="30"/>
          <w:szCs w:val="30"/>
        </w:rPr>
        <w:t>交通枢纽、旅游景点、非营利性医疗机构配套停车设施、</w:t>
      </w:r>
      <w:r w:rsidRPr="00C9725B">
        <w:rPr>
          <w:rFonts w:ascii="仿宋_GB2312" w:hAnsi="仿宋" w:hint="eastAsia"/>
          <w:b/>
          <w:sz w:val="30"/>
          <w:szCs w:val="30"/>
        </w:rPr>
        <w:t>政府全额投资建设的室内专业性停车设施以及在实行政府定价的停车场内与社会资本合作增建的</w:t>
      </w:r>
      <w:r w:rsidRPr="00C9725B">
        <w:rPr>
          <w:rFonts w:ascii="仿宋_GB2312" w:hAnsi="华文中宋" w:hint="eastAsia"/>
          <w:b/>
          <w:snapToGrid w:val="0"/>
          <w:kern w:val="0"/>
          <w:sz w:val="30"/>
          <w:szCs w:val="30"/>
        </w:rPr>
        <w:t>独立停车设施</w:t>
      </w:r>
      <w:r w:rsidRPr="005D7759">
        <w:rPr>
          <w:rFonts w:ascii="仿宋_GB2312" w:hAnsi="华文中宋" w:hint="eastAsia"/>
          <w:snapToGrid w:val="0"/>
          <w:kern w:val="0"/>
          <w:sz w:val="30"/>
          <w:szCs w:val="30"/>
        </w:rPr>
        <w:t>，其</w:t>
      </w:r>
      <w:r w:rsidRPr="005D7759">
        <w:rPr>
          <w:rFonts w:ascii="仿宋_GB2312" w:hAnsi="仿宋" w:hint="eastAsia"/>
          <w:sz w:val="30"/>
          <w:szCs w:val="30"/>
        </w:rPr>
        <w:t>机动车停放服务收费标准由市价格主管部门另行核定。</w:t>
      </w:r>
    </w:p>
    <w:p w:rsidR="00141BC7" w:rsidRPr="005D7759" w:rsidRDefault="00141BC7" w:rsidP="00141BC7">
      <w:pPr>
        <w:spacing w:line="560" w:lineRule="exact"/>
        <w:ind w:firstLineChars="200" w:firstLine="608"/>
        <w:rPr>
          <w:rFonts w:ascii="仿宋_GB2312"/>
          <w:sz w:val="30"/>
          <w:szCs w:val="30"/>
        </w:rPr>
      </w:pPr>
      <w:r w:rsidRPr="005D7759">
        <w:rPr>
          <w:rFonts w:ascii="仿宋_GB2312" w:hint="eastAsia"/>
          <w:spacing w:val="2"/>
          <w:sz w:val="30"/>
          <w:szCs w:val="30"/>
        </w:rPr>
        <w:t>2.上述收费标准为小车基准收费标准，大车、超大型车的基准收费标准分别为小车的2倍和3倍。经营者可以在不超过基准收费标准的范围</w:t>
      </w:r>
      <w:r w:rsidRPr="005D7759">
        <w:rPr>
          <w:rFonts w:ascii="仿宋_GB2312" w:hint="eastAsia"/>
          <w:sz w:val="30"/>
          <w:szCs w:val="30"/>
        </w:rPr>
        <w:t>内制定具体价格。</w:t>
      </w:r>
    </w:p>
    <w:p w:rsidR="00141BC7" w:rsidRPr="005D7759" w:rsidRDefault="00141BC7" w:rsidP="00141BC7">
      <w:pPr>
        <w:spacing w:line="560" w:lineRule="exact"/>
        <w:ind w:firstLineChars="200" w:firstLine="624"/>
        <w:rPr>
          <w:rFonts w:ascii="仿宋_GB2312"/>
          <w:color w:val="000000"/>
          <w:sz w:val="30"/>
          <w:szCs w:val="30"/>
        </w:rPr>
      </w:pPr>
      <w:r w:rsidRPr="005D7759">
        <w:rPr>
          <w:rFonts w:ascii="仿宋_GB2312" w:hint="eastAsia"/>
          <w:spacing w:val="6"/>
          <w:sz w:val="30"/>
          <w:szCs w:val="30"/>
        </w:rPr>
        <w:lastRenderedPageBreak/>
        <w:t>3</w:t>
      </w:r>
      <w:r w:rsidRPr="005D7759">
        <w:rPr>
          <w:rFonts w:ascii="仿宋_GB2312" w:hAnsi="方正楷体_GBK" w:cs="方正楷体_GBK" w:hint="eastAsia"/>
          <w:spacing w:val="6"/>
          <w:sz w:val="30"/>
          <w:szCs w:val="30"/>
        </w:rPr>
        <w:t>.上述收费标准以</w:t>
      </w:r>
      <w:r w:rsidRPr="005D7759">
        <w:rPr>
          <w:rFonts w:ascii="仿宋_GB2312" w:hAnsi="华文中宋" w:hint="eastAsia"/>
          <w:snapToGrid w:val="0"/>
          <w:kern w:val="0"/>
          <w:sz w:val="30"/>
          <w:szCs w:val="30"/>
        </w:rPr>
        <w:t>“小时”或者“半小时”为计费单位连续计算停放时间，不足一个计费单位的按一个计费单位计算。</w:t>
      </w:r>
      <w:r w:rsidRPr="005D7759">
        <w:rPr>
          <w:rFonts w:ascii="仿宋_GB2312" w:hint="eastAsia"/>
          <w:color w:val="000000"/>
          <w:sz w:val="30"/>
          <w:szCs w:val="30"/>
        </w:rPr>
        <w:t>对停放时间跨越高峰时段与非高峰时段或工作日与非工作日的车辆，收费按各时段停放时间分别计算再加总。</w:t>
      </w:r>
    </w:p>
    <w:p w:rsidR="00141BC7" w:rsidRDefault="00141BC7" w:rsidP="00141BC7">
      <w:pPr>
        <w:spacing w:line="560" w:lineRule="exact"/>
        <w:ind w:firstLineChars="200" w:firstLine="600"/>
        <w:rPr>
          <w:color w:val="000000"/>
          <w:sz w:val="30"/>
          <w:szCs w:val="30"/>
        </w:rPr>
      </w:pPr>
    </w:p>
    <w:p w:rsidR="00141BC7" w:rsidRPr="005D7759" w:rsidRDefault="00141BC7" w:rsidP="00141BC7">
      <w:pPr>
        <w:spacing w:line="600" w:lineRule="exact"/>
      </w:pPr>
    </w:p>
    <w:p w:rsidR="00141BC7" w:rsidRDefault="00141BC7" w:rsidP="00141BC7">
      <w:pPr>
        <w:spacing w:line="600" w:lineRule="exact"/>
      </w:pPr>
    </w:p>
    <w:p w:rsidR="00141BC7" w:rsidRDefault="00141BC7" w:rsidP="00141BC7">
      <w:pPr>
        <w:spacing w:line="600" w:lineRule="exact"/>
      </w:pPr>
    </w:p>
    <w:p w:rsidR="00141BC7" w:rsidRDefault="00141BC7" w:rsidP="00141BC7">
      <w:pPr>
        <w:spacing w:line="600" w:lineRule="exact"/>
      </w:pPr>
    </w:p>
    <w:p w:rsidR="00141BC7" w:rsidRDefault="00141BC7" w:rsidP="00141BC7">
      <w:pPr>
        <w:spacing w:line="600" w:lineRule="exact"/>
      </w:pPr>
    </w:p>
    <w:p w:rsidR="00141BC7" w:rsidRDefault="00141BC7" w:rsidP="00141BC7">
      <w:pPr>
        <w:spacing w:line="600" w:lineRule="exact"/>
      </w:pPr>
    </w:p>
    <w:p w:rsidR="00141BC7" w:rsidRDefault="00141BC7" w:rsidP="00141BC7">
      <w:pPr>
        <w:spacing w:line="600" w:lineRule="exact"/>
      </w:pPr>
    </w:p>
    <w:p w:rsidR="00141BC7" w:rsidRDefault="00141BC7" w:rsidP="00141BC7">
      <w:pPr>
        <w:spacing w:line="600" w:lineRule="exact"/>
      </w:pPr>
    </w:p>
    <w:p w:rsidR="00141BC7" w:rsidRDefault="00141BC7" w:rsidP="00141BC7">
      <w:pPr>
        <w:spacing w:line="600" w:lineRule="exact"/>
      </w:pPr>
    </w:p>
    <w:p w:rsidR="00141BC7" w:rsidRDefault="00141BC7" w:rsidP="00141BC7">
      <w:pPr>
        <w:spacing w:line="600" w:lineRule="exact"/>
      </w:pPr>
    </w:p>
    <w:p w:rsidR="00141BC7" w:rsidRDefault="00141BC7" w:rsidP="00141BC7">
      <w:pPr>
        <w:spacing w:line="600" w:lineRule="exact"/>
      </w:pPr>
    </w:p>
    <w:p w:rsidR="00141BC7" w:rsidRDefault="00141BC7" w:rsidP="00141BC7">
      <w:pPr>
        <w:spacing w:line="600" w:lineRule="exact"/>
      </w:pPr>
    </w:p>
    <w:p w:rsidR="00141BC7" w:rsidRDefault="00141BC7" w:rsidP="00141BC7">
      <w:pPr>
        <w:spacing w:line="600" w:lineRule="exact"/>
      </w:pPr>
    </w:p>
    <w:p w:rsidR="00141BC7" w:rsidRDefault="00141BC7" w:rsidP="00141BC7">
      <w:pPr>
        <w:spacing w:line="600" w:lineRule="exact"/>
      </w:pPr>
    </w:p>
    <w:p w:rsidR="00141BC7" w:rsidRDefault="00141BC7" w:rsidP="00141BC7">
      <w:pPr>
        <w:spacing w:line="600" w:lineRule="exact"/>
      </w:pPr>
    </w:p>
    <w:p w:rsidR="00C9725B" w:rsidRDefault="00C9725B" w:rsidP="00C9725B">
      <w:pPr>
        <w:snapToGrid w:val="0"/>
        <w:spacing w:line="600" w:lineRule="exact"/>
      </w:pPr>
    </w:p>
    <w:p w:rsidR="00141BC7" w:rsidRDefault="00C9725B" w:rsidP="00C9725B">
      <w:pPr>
        <w:snapToGrid w:val="0"/>
        <w:spacing w:line="600" w:lineRule="exact"/>
        <w:rPr>
          <w:rFonts w:ascii="黑体" w:eastAsia="黑体"/>
          <w:sz w:val="36"/>
          <w:szCs w:val="36"/>
        </w:rPr>
      </w:pPr>
      <w:r>
        <w:rPr>
          <w:rFonts w:ascii="黑体" w:eastAsia="黑体" w:hint="eastAsia"/>
          <w:sz w:val="36"/>
          <w:szCs w:val="36"/>
        </w:rPr>
        <w:t>附件3：</w:t>
      </w:r>
    </w:p>
    <w:p w:rsidR="00C9725B" w:rsidRDefault="00C9725B" w:rsidP="00C9725B">
      <w:pPr>
        <w:snapToGrid w:val="0"/>
        <w:spacing w:line="600" w:lineRule="exact"/>
        <w:rPr>
          <w:rFonts w:ascii="黑体" w:eastAsia="黑体"/>
          <w:sz w:val="36"/>
          <w:szCs w:val="36"/>
        </w:rPr>
      </w:pPr>
    </w:p>
    <w:p w:rsidR="00141BC7" w:rsidRDefault="00141BC7" w:rsidP="00141BC7">
      <w:pPr>
        <w:snapToGrid w:val="0"/>
        <w:spacing w:line="600" w:lineRule="exact"/>
        <w:rPr>
          <w:rFonts w:ascii="黑体" w:eastAsia="黑体"/>
          <w:color w:val="000000"/>
          <w:sz w:val="36"/>
          <w:szCs w:val="36"/>
        </w:rPr>
      </w:pPr>
      <w:r>
        <w:rPr>
          <w:rFonts w:ascii="黑体" w:eastAsia="黑体" w:hint="eastAsia"/>
          <w:color w:val="000000"/>
          <w:sz w:val="36"/>
          <w:szCs w:val="36"/>
        </w:rPr>
        <w:lastRenderedPageBreak/>
        <w:t>原住宅小区停车设施机动车停放服务收费指导标准</w:t>
      </w:r>
    </w:p>
    <w:p w:rsidR="00141BC7" w:rsidRPr="005D7759" w:rsidRDefault="00141BC7" w:rsidP="00141BC7">
      <w:pPr>
        <w:spacing w:line="540" w:lineRule="exact"/>
        <w:ind w:firstLineChars="2000" w:firstLine="4800"/>
        <w:jc w:val="right"/>
        <w:rPr>
          <w:rFonts w:ascii="仿宋_GB2312"/>
          <w:sz w:val="24"/>
          <w:szCs w:val="24"/>
        </w:rPr>
      </w:pPr>
      <w:r w:rsidRPr="005D7759">
        <w:rPr>
          <w:rFonts w:ascii="仿宋_GB2312" w:hint="eastAsia"/>
          <w:sz w:val="24"/>
          <w:szCs w:val="24"/>
        </w:rPr>
        <w:t>（单位：元/辆）</w:t>
      </w:r>
    </w:p>
    <w:tbl>
      <w:tblPr>
        <w:tblW w:w="9455" w:type="dxa"/>
        <w:jc w:val="center"/>
        <w:tblInd w:w="-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64"/>
        <w:gridCol w:w="2644"/>
        <w:gridCol w:w="2730"/>
        <w:gridCol w:w="1523"/>
        <w:gridCol w:w="1494"/>
      </w:tblGrid>
      <w:tr w:rsidR="00141BC7" w:rsidTr="00FE52A3">
        <w:trPr>
          <w:cantSplit/>
          <w:trHeight w:val="611"/>
          <w:jc w:val="center"/>
        </w:trPr>
        <w:tc>
          <w:tcPr>
            <w:tcW w:w="1064" w:type="dxa"/>
            <w:vMerge w:val="restart"/>
            <w:tcBorders>
              <w:top w:val="single" w:sz="4" w:space="0" w:color="auto"/>
              <w:left w:val="single" w:sz="4" w:space="0" w:color="auto"/>
              <w:bottom w:val="single" w:sz="4" w:space="0" w:color="auto"/>
              <w:right w:val="single" w:sz="4" w:space="0" w:color="auto"/>
              <w:tl2br w:val="single" w:sz="4" w:space="0" w:color="auto"/>
            </w:tcBorders>
          </w:tcPr>
          <w:p w:rsidR="00141BC7" w:rsidRDefault="00141BC7" w:rsidP="00FE52A3">
            <w:pPr>
              <w:jc w:val="center"/>
              <w:rPr>
                <w:rFonts w:ascii="仿宋_GB2312"/>
                <w:sz w:val="24"/>
              </w:rPr>
            </w:pPr>
            <w:r>
              <w:rPr>
                <w:rFonts w:ascii="仿宋_GB2312" w:hint="eastAsia"/>
                <w:sz w:val="24"/>
              </w:rPr>
              <w:t>标准</w:t>
            </w:r>
          </w:p>
          <w:p w:rsidR="00141BC7" w:rsidRDefault="00141BC7" w:rsidP="00FE52A3">
            <w:pPr>
              <w:ind w:firstLineChars="500" w:firstLine="1200"/>
              <w:rPr>
                <w:rFonts w:ascii="仿宋_GB2312"/>
                <w:sz w:val="24"/>
              </w:rPr>
            </w:pPr>
          </w:p>
          <w:p w:rsidR="00141BC7" w:rsidRDefault="00141BC7" w:rsidP="00FE52A3">
            <w:pPr>
              <w:rPr>
                <w:rFonts w:ascii="仿宋_GB2312"/>
                <w:sz w:val="24"/>
              </w:rPr>
            </w:pPr>
            <w:r>
              <w:rPr>
                <w:rFonts w:ascii="仿宋_GB2312" w:hint="eastAsia"/>
                <w:sz w:val="24"/>
              </w:rPr>
              <w:t>类型</w:t>
            </w:r>
          </w:p>
        </w:tc>
        <w:tc>
          <w:tcPr>
            <w:tcW w:w="5374" w:type="dxa"/>
            <w:gridSpan w:val="2"/>
            <w:tcBorders>
              <w:top w:val="single" w:sz="4" w:space="0" w:color="auto"/>
              <w:left w:val="single" w:sz="4" w:space="0" w:color="auto"/>
              <w:bottom w:val="single" w:sz="4" w:space="0" w:color="auto"/>
              <w:right w:val="single" w:sz="4" w:space="0" w:color="auto"/>
            </w:tcBorders>
            <w:vAlign w:val="center"/>
          </w:tcPr>
          <w:p w:rsidR="00141BC7" w:rsidRDefault="00141BC7" w:rsidP="00FE52A3">
            <w:pPr>
              <w:jc w:val="center"/>
              <w:rPr>
                <w:rFonts w:ascii="仿宋_GB2312"/>
                <w:sz w:val="24"/>
              </w:rPr>
            </w:pPr>
            <w:r>
              <w:rPr>
                <w:rFonts w:ascii="仿宋_GB2312" w:hint="eastAsia"/>
                <w:sz w:val="24"/>
              </w:rPr>
              <w:t>临时停放</w:t>
            </w:r>
          </w:p>
        </w:tc>
        <w:tc>
          <w:tcPr>
            <w:tcW w:w="3017" w:type="dxa"/>
            <w:gridSpan w:val="2"/>
            <w:tcBorders>
              <w:top w:val="single" w:sz="4" w:space="0" w:color="auto"/>
              <w:left w:val="single" w:sz="4" w:space="0" w:color="auto"/>
              <w:bottom w:val="single" w:sz="4" w:space="0" w:color="auto"/>
              <w:right w:val="single" w:sz="4" w:space="0" w:color="auto"/>
            </w:tcBorders>
            <w:vAlign w:val="center"/>
          </w:tcPr>
          <w:p w:rsidR="00141BC7" w:rsidRDefault="00141BC7" w:rsidP="00FE52A3">
            <w:pPr>
              <w:jc w:val="center"/>
              <w:rPr>
                <w:rFonts w:ascii="仿宋_GB2312"/>
                <w:sz w:val="24"/>
              </w:rPr>
            </w:pPr>
            <w:r>
              <w:rPr>
                <w:rFonts w:ascii="仿宋_GB2312" w:hint="eastAsia"/>
                <w:sz w:val="24"/>
              </w:rPr>
              <w:t>按月停放</w:t>
            </w:r>
          </w:p>
        </w:tc>
      </w:tr>
      <w:tr w:rsidR="00141BC7" w:rsidTr="00FE52A3">
        <w:trPr>
          <w:cantSplit/>
          <w:trHeight w:val="488"/>
          <w:jc w:val="center"/>
        </w:trPr>
        <w:tc>
          <w:tcPr>
            <w:tcW w:w="1064" w:type="dxa"/>
            <w:vMerge/>
            <w:tcBorders>
              <w:top w:val="single" w:sz="4" w:space="0" w:color="auto"/>
              <w:left w:val="single" w:sz="4" w:space="0" w:color="auto"/>
              <w:bottom w:val="single" w:sz="4" w:space="0" w:color="auto"/>
              <w:right w:val="single" w:sz="4" w:space="0" w:color="auto"/>
            </w:tcBorders>
            <w:vAlign w:val="center"/>
          </w:tcPr>
          <w:p w:rsidR="00141BC7" w:rsidRDefault="00141BC7" w:rsidP="00FE52A3">
            <w:pPr>
              <w:widowControl/>
              <w:jc w:val="left"/>
              <w:rPr>
                <w:rFonts w:ascii="仿宋_GB2312"/>
                <w:sz w:val="24"/>
              </w:rPr>
            </w:pPr>
          </w:p>
        </w:tc>
        <w:tc>
          <w:tcPr>
            <w:tcW w:w="2644" w:type="dxa"/>
            <w:tcBorders>
              <w:top w:val="single" w:sz="4" w:space="0" w:color="auto"/>
              <w:left w:val="single" w:sz="4" w:space="0" w:color="auto"/>
              <w:bottom w:val="single" w:sz="4" w:space="0" w:color="auto"/>
              <w:right w:val="single" w:sz="4" w:space="0" w:color="auto"/>
            </w:tcBorders>
            <w:vAlign w:val="center"/>
          </w:tcPr>
          <w:p w:rsidR="00141BC7" w:rsidRDefault="00141BC7" w:rsidP="00FE52A3">
            <w:pPr>
              <w:jc w:val="center"/>
              <w:rPr>
                <w:rFonts w:ascii="仿宋_GB2312"/>
                <w:sz w:val="24"/>
              </w:rPr>
            </w:pPr>
            <w:r>
              <w:rPr>
                <w:rFonts w:ascii="仿宋_GB2312" w:hint="eastAsia"/>
                <w:sz w:val="24"/>
              </w:rPr>
              <w:t>小车</w:t>
            </w:r>
          </w:p>
        </w:tc>
        <w:tc>
          <w:tcPr>
            <w:tcW w:w="2730" w:type="dxa"/>
            <w:tcBorders>
              <w:top w:val="single" w:sz="4" w:space="0" w:color="auto"/>
              <w:left w:val="single" w:sz="4" w:space="0" w:color="auto"/>
              <w:bottom w:val="single" w:sz="4" w:space="0" w:color="auto"/>
              <w:right w:val="single" w:sz="4" w:space="0" w:color="auto"/>
            </w:tcBorders>
            <w:vAlign w:val="center"/>
          </w:tcPr>
          <w:p w:rsidR="00141BC7" w:rsidRDefault="00141BC7" w:rsidP="00FE52A3">
            <w:pPr>
              <w:jc w:val="center"/>
              <w:rPr>
                <w:rFonts w:ascii="仿宋_GB2312"/>
                <w:sz w:val="24"/>
              </w:rPr>
            </w:pPr>
            <w:r>
              <w:rPr>
                <w:rFonts w:ascii="仿宋_GB2312" w:hint="eastAsia"/>
                <w:sz w:val="24"/>
              </w:rPr>
              <w:t>大车</w:t>
            </w:r>
          </w:p>
        </w:tc>
        <w:tc>
          <w:tcPr>
            <w:tcW w:w="1523" w:type="dxa"/>
            <w:tcBorders>
              <w:top w:val="single" w:sz="4" w:space="0" w:color="auto"/>
              <w:left w:val="single" w:sz="4" w:space="0" w:color="auto"/>
              <w:bottom w:val="single" w:sz="4" w:space="0" w:color="auto"/>
              <w:right w:val="single" w:sz="4" w:space="0" w:color="auto"/>
            </w:tcBorders>
            <w:vAlign w:val="center"/>
          </w:tcPr>
          <w:p w:rsidR="00141BC7" w:rsidRDefault="00141BC7" w:rsidP="00FE52A3">
            <w:pPr>
              <w:jc w:val="center"/>
              <w:rPr>
                <w:rFonts w:ascii="仿宋_GB2312"/>
                <w:sz w:val="24"/>
              </w:rPr>
            </w:pPr>
            <w:r>
              <w:rPr>
                <w:rFonts w:ascii="仿宋_GB2312" w:hint="eastAsia"/>
                <w:sz w:val="24"/>
              </w:rPr>
              <w:t>小车</w:t>
            </w:r>
          </w:p>
        </w:tc>
        <w:tc>
          <w:tcPr>
            <w:tcW w:w="1494" w:type="dxa"/>
            <w:tcBorders>
              <w:top w:val="single" w:sz="4" w:space="0" w:color="auto"/>
              <w:left w:val="single" w:sz="4" w:space="0" w:color="auto"/>
              <w:bottom w:val="single" w:sz="4" w:space="0" w:color="auto"/>
              <w:right w:val="single" w:sz="4" w:space="0" w:color="auto"/>
            </w:tcBorders>
            <w:vAlign w:val="center"/>
          </w:tcPr>
          <w:p w:rsidR="00141BC7" w:rsidRDefault="00141BC7" w:rsidP="00FE52A3">
            <w:pPr>
              <w:jc w:val="center"/>
              <w:rPr>
                <w:rFonts w:ascii="仿宋_GB2312"/>
                <w:sz w:val="24"/>
              </w:rPr>
            </w:pPr>
            <w:r>
              <w:rPr>
                <w:rFonts w:ascii="仿宋_GB2312" w:hint="eastAsia"/>
                <w:sz w:val="24"/>
              </w:rPr>
              <w:t>大车</w:t>
            </w:r>
          </w:p>
        </w:tc>
      </w:tr>
      <w:tr w:rsidR="00141BC7" w:rsidTr="00FE52A3">
        <w:trPr>
          <w:cantSplit/>
          <w:trHeight w:val="629"/>
          <w:jc w:val="center"/>
        </w:trPr>
        <w:tc>
          <w:tcPr>
            <w:tcW w:w="1064" w:type="dxa"/>
            <w:tcBorders>
              <w:top w:val="single" w:sz="4" w:space="0" w:color="auto"/>
              <w:left w:val="single" w:sz="4" w:space="0" w:color="auto"/>
              <w:bottom w:val="single" w:sz="4" w:space="0" w:color="auto"/>
              <w:right w:val="single" w:sz="4" w:space="0" w:color="auto"/>
            </w:tcBorders>
            <w:vAlign w:val="center"/>
          </w:tcPr>
          <w:p w:rsidR="00141BC7" w:rsidRDefault="00141BC7" w:rsidP="00FE52A3">
            <w:pPr>
              <w:adjustRightInd w:val="0"/>
              <w:snapToGrid w:val="0"/>
              <w:spacing w:line="240" w:lineRule="exact"/>
              <w:jc w:val="center"/>
              <w:rPr>
                <w:rFonts w:ascii="仿宋_GB2312"/>
                <w:sz w:val="24"/>
              </w:rPr>
            </w:pPr>
            <w:r>
              <w:rPr>
                <w:rFonts w:ascii="仿宋_GB2312" w:hint="eastAsia"/>
                <w:sz w:val="24"/>
              </w:rPr>
              <w:t>室内</w:t>
            </w:r>
          </w:p>
        </w:tc>
        <w:tc>
          <w:tcPr>
            <w:tcW w:w="2644" w:type="dxa"/>
            <w:vMerge w:val="restart"/>
            <w:tcBorders>
              <w:top w:val="single" w:sz="4" w:space="0" w:color="auto"/>
              <w:left w:val="single" w:sz="4" w:space="0" w:color="auto"/>
              <w:bottom w:val="single" w:sz="4" w:space="0" w:color="auto"/>
              <w:right w:val="single" w:sz="4" w:space="0" w:color="auto"/>
            </w:tcBorders>
            <w:vAlign w:val="center"/>
          </w:tcPr>
          <w:p w:rsidR="00141BC7" w:rsidRDefault="00141BC7" w:rsidP="00FE52A3">
            <w:pPr>
              <w:adjustRightInd w:val="0"/>
              <w:snapToGrid w:val="0"/>
              <w:spacing w:line="240" w:lineRule="exact"/>
              <w:jc w:val="left"/>
              <w:rPr>
                <w:rFonts w:ascii="仿宋_GB2312"/>
                <w:sz w:val="24"/>
              </w:rPr>
            </w:pPr>
            <w:r>
              <w:rPr>
                <w:rFonts w:ascii="仿宋_GB2312" w:hint="eastAsia"/>
                <w:sz w:val="24"/>
              </w:rPr>
              <w:t>首小时5元，第二小起1元/小时,一类地区每天最高收费15元，二、三类地区每天最高收费10元</w:t>
            </w:r>
          </w:p>
        </w:tc>
        <w:tc>
          <w:tcPr>
            <w:tcW w:w="2730" w:type="dxa"/>
            <w:vMerge w:val="restart"/>
            <w:tcBorders>
              <w:top w:val="single" w:sz="4" w:space="0" w:color="auto"/>
              <w:left w:val="single" w:sz="4" w:space="0" w:color="auto"/>
              <w:right w:val="single" w:sz="4" w:space="0" w:color="auto"/>
            </w:tcBorders>
            <w:vAlign w:val="center"/>
          </w:tcPr>
          <w:p w:rsidR="00141BC7" w:rsidRDefault="00141BC7" w:rsidP="00FE52A3">
            <w:pPr>
              <w:adjustRightInd w:val="0"/>
              <w:snapToGrid w:val="0"/>
              <w:spacing w:line="240" w:lineRule="exact"/>
              <w:jc w:val="left"/>
              <w:rPr>
                <w:rFonts w:ascii="仿宋_GB2312"/>
                <w:sz w:val="24"/>
              </w:rPr>
            </w:pPr>
            <w:r>
              <w:rPr>
                <w:rFonts w:ascii="仿宋_GB2312" w:hint="eastAsia"/>
                <w:sz w:val="24"/>
              </w:rPr>
              <w:t>首小时10元，第二小时起2元/小时，一类地区每天最高收费30元，二、三类地区每天最高收费20元</w:t>
            </w:r>
          </w:p>
        </w:tc>
        <w:tc>
          <w:tcPr>
            <w:tcW w:w="1523" w:type="dxa"/>
            <w:tcBorders>
              <w:top w:val="single" w:sz="4" w:space="0" w:color="auto"/>
              <w:left w:val="single" w:sz="4" w:space="0" w:color="auto"/>
              <w:bottom w:val="single" w:sz="4" w:space="0" w:color="auto"/>
              <w:right w:val="single" w:sz="4" w:space="0" w:color="auto"/>
            </w:tcBorders>
            <w:vAlign w:val="center"/>
          </w:tcPr>
          <w:p w:rsidR="00141BC7" w:rsidRDefault="00141BC7" w:rsidP="00FE52A3">
            <w:pPr>
              <w:adjustRightInd w:val="0"/>
              <w:snapToGrid w:val="0"/>
              <w:spacing w:line="240" w:lineRule="exact"/>
              <w:jc w:val="center"/>
              <w:rPr>
                <w:rFonts w:ascii="仿宋_GB2312"/>
                <w:sz w:val="24"/>
              </w:rPr>
            </w:pPr>
            <w:r>
              <w:rPr>
                <w:rFonts w:ascii="仿宋_GB2312"/>
                <w:sz w:val="24"/>
              </w:rPr>
              <w:t>250</w:t>
            </w:r>
          </w:p>
        </w:tc>
        <w:tc>
          <w:tcPr>
            <w:tcW w:w="1494" w:type="dxa"/>
            <w:tcBorders>
              <w:top w:val="single" w:sz="4" w:space="0" w:color="auto"/>
              <w:left w:val="single" w:sz="4" w:space="0" w:color="auto"/>
              <w:bottom w:val="single" w:sz="4" w:space="0" w:color="auto"/>
              <w:right w:val="single" w:sz="4" w:space="0" w:color="auto"/>
            </w:tcBorders>
            <w:vAlign w:val="center"/>
          </w:tcPr>
          <w:p w:rsidR="00141BC7" w:rsidRDefault="00141BC7" w:rsidP="00FE52A3">
            <w:pPr>
              <w:adjustRightInd w:val="0"/>
              <w:snapToGrid w:val="0"/>
              <w:spacing w:line="240" w:lineRule="exact"/>
              <w:jc w:val="center"/>
              <w:rPr>
                <w:rFonts w:ascii="仿宋_GB2312"/>
                <w:sz w:val="24"/>
              </w:rPr>
            </w:pPr>
            <w:r>
              <w:rPr>
                <w:rFonts w:ascii="仿宋_GB2312"/>
                <w:sz w:val="24"/>
              </w:rPr>
              <w:t>500</w:t>
            </w:r>
          </w:p>
        </w:tc>
      </w:tr>
      <w:tr w:rsidR="00141BC7" w:rsidTr="00FE52A3">
        <w:trPr>
          <w:cantSplit/>
          <w:trHeight w:val="1055"/>
          <w:jc w:val="center"/>
        </w:trPr>
        <w:tc>
          <w:tcPr>
            <w:tcW w:w="1064" w:type="dxa"/>
            <w:tcBorders>
              <w:top w:val="single" w:sz="4" w:space="0" w:color="auto"/>
              <w:left w:val="single" w:sz="4" w:space="0" w:color="auto"/>
              <w:bottom w:val="single" w:sz="4" w:space="0" w:color="auto"/>
              <w:right w:val="single" w:sz="4" w:space="0" w:color="auto"/>
            </w:tcBorders>
            <w:vAlign w:val="center"/>
          </w:tcPr>
          <w:p w:rsidR="00141BC7" w:rsidRDefault="00141BC7" w:rsidP="00FE52A3">
            <w:pPr>
              <w:adjustRightInd w:val="0"/>
              <w:snapToGrid w:val="0"/>
              <w:spacing w:line="240" w:lineRule="exact"/>
              <w:jc w:val="center"/>
              <w:rPr>
                <w:rFonts w:ascii="仿宋_GB2312"/>
                <w:sz w:val="24"/>
              </w:rPr>
            </w:pPr>
            <w:r>
              <w:rPr>
                <w:rFonts w:ascii="仿宋_GB2312" w:hint="eastAsia"/>
                <w:sz w:val="24"/>
              </w:rPr>
              <w:t>露天</w:t>
            </w:r>
          </w:p>
        </w:tc>
        <w:tc>
          <w:tcPr>
            <w:tcW w:w="2644" w:type="dxa"/>
            <w:vMerge/>
            <w:tcBorders>
              <w:top w:val="single" w:sz="4" w:space="0" w:color="auto"/>
              <w:left w:val="single" w:sz="4" w:space="0" w:color="auto"/>
              <w:bottom w:val="single" w:sz="4" w:space="0" w:color="auto"/>
              <w:right w:val="single" w:sz="4" w:space="0" w:color="auto"/>
            </w:tcBorders>
            <w:vAlign w:val="center"/>
          </w:tcPr>
          <w:p w:rsidR="00141BC7" w:rsidRDefault="00141BC7" w:rsidP="00FE52A3">
            <w:pPr>
              <w:widowControl/>
              <w:jc w:val="left"/>
              <w:rPr>
                <w:rFonts w:ascii="仿宋_GB2312"/>
                <w:sz w:val="24"/>
              </w:rPr>
            </w:pPr>
          </w:p>
        </w:tc>
        <w:tc>
          <w:tcPr>
            <w:tcW w:w="2730" w:type="dxa"/>
            <w:vMerge/>
            <w:tcBorders>
              <w:left w:val="single" w:sz="4" w:space="0" w:color="auto"/>
              <w:bottom w:val="single" w:sz="4" w:space="0" w:color="auto"/>
              <w:right w:val="single" w:sz="4" w:space="0" w:color="auto"/>
            </w:tcBorders>
            <w:vAlign w:val="center"/>
          </w:tcPr>
          <w:p w:rsidR="00141BC7" w:rsidRDefault="00141BC7" w:rsidP="00FE52A3">
            <w:pPr>
              <w:widowControl/>
              <w:jc w:val="left"/>
              <w:rPr>
                <w:rFonts w:ascii="仿宋_GB2312"/>
                <w:sz w:val="24"/>
              </w:rPr>
            </w:pPr>
          </w:p>
        </w:tc>
        <w:tc>
          <w:tcPr>
            <w:tcW w:w="1523" w:type="dxa"/>
            <w:tcBorders>
              <w:top w:val="single" w:sz="4" w:space="0" w:color="auto"/>
              <w:left w:val="single" w:sz="4" w:space="0" w:color="auto"/>
              <w:bottom w:val="single" w:sz="4" w:space="0" w:color="auto"/>
              <w:right w:val="single" w:sz="4" w:space="0" w:color="auto"/>
            </w:tcBorders>
            <w:vAlign w:val="center"/>
          </w:tcPr>
          <w:p w:rsidR="00141BC7" w:rsidRDefault="00141BC7" w:rsidP="00FE52A3">
            <w:pPr>
              <w:adjustRightInd w:val="0"/>
              <w:snapToGrid w:val="0"/>
              <w:spacing w:line="240" w:lineRule="exact"/>
              <w:jc w:val="center"/>
              <w:rPr>
                <w:rFonts w:ascii="仿宋_GB2312"/>
                <w:sz w:val="24"/>
              </w:rPr>
            </w:pPr>
            <w:r>
              <w:rPr>
                <w:rFonts w:ascii="仿宋_GB2312"/>
                <w:sz w:val="24"/>
              </w:rPr>
              <w:t>110</w:t>
            </w:r>
          </w:p>
        </w:tc>
        <w:tc>
          <w:tcPr>
            <w:tcW w:w="1494" w:type="dxa"/>
            <w:tcBorders>
              <w:top w:val="single" w:sz="4" w:space="0" w:color="auto"/>
              <w:left w:val="single" w:sz="4" w:space="0" w:color="auto"/>
              <w:bottom w:val="single" w:sz="4" w:space="0" w:color="auto"/>
              <w:right w:val="single" w:sz="4" w:space="0" w:color="auto"/>
            </w:tcBorders>
            <w:vAlign w:val="center"/>
          </w:tcPr>
          <w:p w:rsidR="00141BC7" w:rsidRDefault="00141BC7" w:rsidP="00FE52A3">
            <w:pPr>
              <w:adjustRightInd w:val="0"/>
              <w:snapToGrid w:val="0"/>
              <w:spacing w:line="240" w:lineRule="exact"/>
              <w:jc w:val="center"/>
              <w:rPr>
                <w:rFonts w:ascii="仿宋_GB2312"/>
                <w:sz w:val="24"/>
              </w:rPr>
            </w:pPr>
            <w:r>
              <w:rPr>
                <w:rFonts w:ascii="仿宋_GB2312"/>
                <w:sz w:val="24"/>
              </w:rPr>
              <w:t>220</w:t>
            </w:r>
          </w:p>
        </w:tc>
      </w:tr>
    </w:tbl>
    <w:p w:rsidR="00141BC7" w:rsidRDefault="00141BC7" w:rsidP="00141BC7">
      <w:pPr>
        <w:snapToGrid w:val="0"/>
        <w:spacing w:line="540" w:lineRule="exact"/>
        <w:ind w:firstLineChars="200" w:firstLine="600"/>
        <w:rPr>
          <w:rFonts w:ascii="仿宋_GB2312"/>
          <w:sz w:val="30"/>
          <w:szCs w:val="30"/>
        </w:rPr>
      </w:pPr>
    </w:p>
    <w:p w:rsidR="00141BC7" w:rsidRPr="005D7759" w:rsidRDefault="00141BC7" w:rsidP="00141BC7">
      <w:pPr>
        <w:snapToGrid w:val="0"/>
        <w:spacing w:line="540" w:lineRule="exact"/>
        <w:ind w:firstLineChars="200" w:firstLine="600"/>
        <w:rPr>
          <w:rFonts w:ascii="仿宋_GB2312"/>
          <w:sz w:val="30"/>
          <w:szCs w:val="30"/>
        </w:rPr>
      </w:pPr>
      <w:r w:rsidRPr="005D7759">
        <w:rPr>
          <w:rFonts w:ascii="仿宋_GB2312" w:hint="eastAsia"/>
          <w:sz w:val="30"/>
          <w:szCs w:val="30"/>
        </w:rPr>
        <w:t>说明：</w:t>
      </w:r>
    </w:p>
    <w:p w:rsidR="00141BC7" w:rsidRPr="005D7759" w:rsidRDefault="00141BC7" w:rsidP="00141BC7">
      <w:pPr>
        <w:snapToGrid w:val="0"/>
        <w:spacing w:line="540" w:lineRule="exact"/>
        <w:ind w:firstLineChars="200" w:firstLine="600"/>
        <w:rPr>
          <w:rFonts w:ascii="仿宋_GB2312"/>
          <w:sz w:val="30"/>
          <w:szCs w:val="30"/>
        </w:rPr>
      </w:pPr>
      <w:r>
        <w:rPr>
          <w:rFonts w:ascii="仿宋_GB2312" w:hint="eastAsia"/>
          <w:color w:val="000000"/>
          <w:sz w:val="30"/>
          <w:szCs w:val="30"/>
        </w:rPr>
        <w:t>1.</w:t>
      </w:r>
      <w:r w:rsidRPr="005D7759">
        <w:rPr>
          <w:rFonts w:ascii="仿宋_GB2312" w:hAnsi="方正楷体_GBK" w:cs="方正楷体_GBK" w:hint="eastAsia"/>
          <w:color w:val="000000"/>
          <w:sz w:val="30"/>
          <w:szCs w:val="30"/>
        </w:rPr>
        <w:t>本表</w:t>
      </w:r>
      <w:r w:rsidRPr="005D7759">
        <w:rPr>
          <w:rFonts w:ascii="仿宋_GB2312" w:hint="eastAsia"/>
          <w:color w:val="000000"/>
          <w:sz w:val="30"/>
          <w:szCs w:val="30"/>
        </w:rPr>
        <w:t>适用于停车位未经产权登记且未能由业主大会决议另行确定停车收费标准的住宅小区停车设施。</w:t>
      </w:r>
      <w:r w:rsidRPr="005D7759">
        <w:rPr>
          <w:rFonts w:ascii="仿宋_GB2312" w:hint="eastAsia"/>
          <w:sz w:val="30"/>
          <w:szCs w:val="30"/>
        </w:rPr>
        <w:t>表中指导标准为基准价格，停车场经营者可在不超过基准价格的范围内制定具体收费标准。</w:t>
      </w:r>
    </w:p>
    <w:p w:rsidR="00141BC7" w:rsidRPr="005D7759" w:rsidRDefault="00141BC7" w:rsidP="00141BC7">
      <w:pPr>
        <w:adjustRightInd w:val="0"/>
        <w:snapToGrid w:val="0"/>
        <w:spacing w:line="540" w:lineRule="exact"/>
        <w:ind w:firstLineChars="200" w:firstLine="600"/>
        <w:rPr>
          <w:rFonts w:ascii="仿宋_GB2312"/>
          <w:snapToGrid w:val="0"/>
          <w:kern w:val="0"/>
          <w:sz w:val="30"/>
          <w:szCs w:val="30"/>
        </w:rPr>
      </w:pPr>
      <w:r>
        <w:rPr>
          <w:rFonts w:ascii="仿宋_GB2312" w:hint="eastAsia"/>
          <w:snapToGrid w:val="0"/>
          <w:kern w:val="0"/>
          <w:sz w:val="30"/>
          <w:szCs w:val="30"/>
        </w:rPr>
        <w:t>2.</w:t>
      </w:r>
      <w:r w:rsidRPr="005D7759">
        <w:rPr>
          <w:rFonts w:ascii="仿宋_GB2312" w:hint="eastAsia"/>
          <w:snapToGrid w:val="0"/>
          <w:kern w:val="0"/>
          <w:sz w:val="30"/>
          <w:szCs w:val="30"/>
        </w:rPr>
        <w:t>室内停车场指永久性的混砖结构或框架结构的停车场。用铁皮等搭建的简易室内停车场，其按月停放收费标准可以在露天停车场收费标准的基础上上浮，但最高不超过20%。</w:t>
      </w:r>
    </w:p>
    <w:p w:rsidR="00141BC7" w:rsidRDefault="00141BC7" w:rsidP="00141BC7">
      <w:pPr>
        <w:adjustRightInd w:val="0"/>
        <w:snapToGrid w:val="0"/>
        <w:spacing w:line="540" w:lineRule="exact"/>
        <w:ind w:firstLineChars="200" w:firstLine="600"/>
        <w:rPr>
          <w:rFonts w:ascii="仿宋_GB2312"/>
          <w:snapToGrid w:val="0"/>
          <w:kern w:val="0"/>
          <w:sz w:val="30"/>
          <w:szCs w:val="30"/>
        </w:rPr>
      </w:pPr>
    </w:p>
    <w:p w:rsidR="00141BC7" w:rsidRPr="005D7759" w:rsidRDefault="00141BC7" w:rsidP="00141BC7">
      <w:pPr>
        <w:spacing w:line="600" w:lineRule="exact"/>
      </w:pPr>
    </w:p>
    <w:p w:rsidR="00141BC7" w:rsidRDefault="00141BC7" w:rsidP="00141BC7">
      <w:pPr>
        <w:spacing w:line="600" w:lineRule="exact"/>
      </w:pPr>
    </w:p>
    <w:p w:rsidR="00141BC7" w:rsidRDefault="00141BC7" w:rsidP="00141BC7">
      <w:pPr>
        <w:spacing w:line="600" w:lineRule="exact"/>
      </w:pPr>
    </w:p>
    <w:p w:rsidR="00111138" w:rsidRPr="00141BC7" w:rsidRDefault="00111138"/>
    <w:sectPr w:rsidR="00111138" w:rsidRPr="00141B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楷体_GBK">
    <w:altName w:val="宋体"/>
    <w:charset w:val="86"/>
    <w:family w:val="auto"/>
    <w:pitch w:val="default"/>
    <w:sig w:usb0="00002003" w:usb1="090E0000" w:usb2="00000010" w:usb3="00000000" w:csb0="003C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C80"/>
    <w:rsid w:val="000D6AE3"/>
    <w:rsid w:val="00111138"/>
    <w:rsid w:val="00141BC7"/>
    <w:rsid w:val="00356C80"/>
    <w:rsid w:val="008B24E7"/>
    <w:rsid w:val="00C9725B"/>
    <w:rsid w:val="00FC0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BC7"/>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BC7"/>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555</Words>
  <Characters>3169</Characters>
  <Application>Microsoft Office Word</Application>
  <DocSecurity>0</DocSecurity>
  <Lines>26</Lines>
  <Paragraphs>7</Paragraphs>
  <ScaleCrop>false</ScaleCrop>
  <Company>Sky123.Org</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Windows User</cp:lastModifiedBy>
  <cp:revision>7</cp:revision>
  <dcterms:created xsi:type="dcterms:W3CDTF">2017-12-13T02:37:00Z</dcterms:created>
  <dcterms:modified xsi:type="dcterms:W3CDTF">2017-12-15T09:14:00Z</dcterms:modified>
</cp:coreProperties>
</file>