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bookmarkStart w:id="10" w:name="_GoBack"/>
      <w:bookmarkEnd w:id="10"/>
      <w:r>
        <w:rPr>
          <w:rFonts w:hint="eastAsia" w:ascii="黑体" w:hAnsi="黑体" w:eastAsia="黑体" w:cs="黑体"/>
          <w:lang w:val="en-US" w:eastAsia="zh-CN"/>
        </w:rPr>
        <w:t xml:space="preserve"> </w:t>
      </w:r>
    </w:p>
    <w:p/>
    <w:p>
      <w:pPr>
        <w:overflowPunct w:val="0"/>
        <w:spacing w:line="560" w:lineRule="exact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深圳市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促进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智能网联汽车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产业高质量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发展的若干措施</w:t>
      </w:r>
    </w:p>
    <w:p>
      <w:pPr>
        <w:pStyle w:val="2"/>
        <w:spacing w:after="0"/>
        <w:jc w:val="center"/>
        <w:rPr>
          <w:rFonts w:hint="eastAsia" w:ascii="楷体_GB2312" w:hAnsi="楷体_GB2312" w:eastAsia="楷体_GB2312" w:cs="楷体_GB231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征求意见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稿）</w:t>
      </w:r>
    </w:p>
    <w:p>
      <w:pPr>
        <w:overflowPunct w:val="0"/>
        <w:spacing w:line="620" w:lineRule="exact"/>
        <w:jc w:val="center"/>
        <w:rPr>
          <w:sz w:val="40"/>
          <w:szCs w:val="40"/>
        </w:rPr>
      </w:pPr>
    </w:p>
    <w:p>
      <w:pPr>
        <w:overflowPunct w:val="0"/>
        <w:spacing w:line="560" w:lineRule="exact"/>
        <w:ind w:firstLine="640" w:firstLineChars="200"/>
        <w:rPr>
          <w:rFonts w:hint="eastAsia" w:ascii="Times New Roman" w:hAnsi="Times New Roman" w:cs="仿宋_GB2312"/>
          <w:highlight w:val="none"/>
        </w:rPr>
      </w:pPr>
      <w:r>
        <w:rPr>
          <w:rFonts w:hint="eastAsia" w:ascii="Times New Roman" w:hAnsi="Times New Roman" w:cs="仿宋_GB2312"/>
          <w:highlight w:val="none"/>
          <w:lang w:val="en-US" w:eastAsia="zh-CN"/>
        </w:rPr>
        <w:t>为贯彻落实国家智能汽车创新发展的战略部署，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</w:rPr>
        <w:t>抢抓</w:t>
      </w:r>
      <w:r>
        <w:rPr>
          <w:rFonts w:hint="eastAsia" w:hAnsi="仿宋" w:cs="仿宋"/>
          <w:color w:val="000000"/>
          <w:sz w:val="32"/>
          <w:szCs w:val="32"/>
          <w:highlight w:val="none"/>
          <w:lang w:val="en-US" w:eastAsia="zh-CN"/>
        </w:rPr>
        <w:t>汽车</w:t>
      </w:r>
      <w:r>
        <w:rPr>
          <w:rFonts w:hint="eastAsia" w:hAnsi="仿宋" w:cs="仿宋"/>
          <w:color w:val="000000"/>
          <w:sz w:val="32"/>
          <w:szCs w:val="32"/>
          <w:highlight w:val="none"/>
          <w:lang w:eastAsia="zh-CN"/>
        </w:rPr>
        <w:t>智能化、</w:t>
      </w:r>
      <w:r>
        <w:rPr>
          <w:rFonts w:hint="eastAsia" w:hAnsi="仿宋" w:cs="仿宋"/>
          <w:color w:val="000000"/>
          <w:sz w:val="32"/>
          <w:szCs w:val="32"/>
          <w:highlight w:val="none"/>
          <w:lang w:val="en-US" w:eastAsia="zh-CN"/>
        </w:rPr>
        <w:t>网联化和电动化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</w:rPr>
        <w:t>发展机遇</w:t>
      </w:r>
      <w:r>
        <w:rPr>
          <w:rFonts w:hint="eastAsia" w:ascii="Times New Roman" w:hAnsi="Times New Roman" w:cs="仿宋_GB2312"/>
          <w:highlight w:val="none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</w:rPr>
        <w:t>建设智能网联汽车产业创新和应用高地</w:t>
      </w:r>
      <w:r>
        <w:rPr>
          <w:rFonts w:hint="eastAsia" w:hAnsi="仿宋" w:cs="仿宋"/>
          <w:color w:val="000000"/>
          <w:sz w:val="32"/>
          <w:szCs w:val="32"/>
          <w:highlight w:val="none"/>
          <w:lang w:eastAsia="zh-CN"/>
        </w:rPr>
        <w:t>，结合我市实际，</w:t>
      </w:r>
      <w:r>
        <w:rPr>
          <w:rFonts w:hint="eastAsia" w:ascii="Times New Roman" w:hAnsi="Times New Roman" w:cs="仿宋_GB2312"/>
          <w:highlight w:val="none"/>
          <w:lang w:val="en-US" w:eastAsia="zh-CN"/>
        </w:rPr>
        <w:t>特</w:t>
      </w:r>
      <w:r>
        <w:rPr>
          <w:rFonts w:hint="eastAsia" w:ascii="Times New Roman" w:hAnsi="Times New Roman" w:cs="仿宋_GB2312"/>
          <w:highlight w:val="none"/>
        </w:rPr>
        <w:t>制定</w:t>
      </w:r>
      <w:r>
        <w:rPr>
          <w:rFonts w:hint="eastAsia" w:ascii="Times New Roman" w:hAnsi="Times New Roman" w:cs="仿宋_GB2312"/>
          <w:highlight w:val="none"/>
          <w:lang w:val="en-US" w:eastAsia="zh-CN"/>
        </w:rPr>
        <w:t>本</w:t>
      </w:r>
      <w:r>
        <w:rPr>
          <w:rFonts w:hint="eastAsia" w:ascii="Times New Roman" w:hAnsi="Times New Roman" w:cs="仿宋_GB2312"/>
          <w:highlight w:val="none"/>
        </w:rPr>
        <w:t>措施。</w:t>
      </w:r>
    </w:p>
    <w:p>
      <w:pPr>
        <w:overflowPunct w:val="0"/>
        <w:spacing w:line="560" w:lineRule="exact"/>
        <w:ind w:firstLine="640" w:firstLineChars="200"/>
        <w:rPr>
          <w:highlight w:val="none"/>
        </w:rPr>
      </w:pPr>
      <w:r>
        <w:rPr>
          <w:rFonts w:hint="eastAsia" w:ascii="Times New Roman" w:hAnsi="Times New Roman" w:cs="仿宋_GB2312"/>
          <w:highlight w:val="none"/>
        </w:rPr>
        <w:t>本措施适用于</w:t>
      </w:r>
      <w:r>
        <w:rPr>
          <w:rFonts w:hint="eastAsia" w:ascii="Times New Roman" w:hAnsi="Times New Roman" w:cs="仿宋_GB2312"/>
          <w:highlight w:val="none"/>
          <w:lang w:val="en-US" w:eastAsia="zh-CN"/>
        </w:rPr>
        <w:t>已登记注册</w:t>
      </w:r>
      <w:r>
        <w:rPr>
          <w:rFonts w:hint="eastAsia" w:ascii="Times New Roman" w:hAnsi="Times New Roman" w:cs="仿宋_GB2312"/>
          <w:highlight w:val="none"/>
        </w:rPr>
        <w:t>，具备独立法人资格，从事智能网联汽车相关产品研发、生产和服务的企业，以及其他事业单位、社会团体、民办非企业等机构。</w:t>
      </w:r>
    </w:p>
    <w:p>
      <w:pPr>
        <w:numPr>
          <w:ilvl w:val="0"/>
          <w:numId w:val="1"/>
        </w:numPr>
        <w:overflowPunct w:val="0"/>
        <w:spacing w:line="560" w:lineRule="exact"/>
        <w:ind w:firstLine="640" w:firstLineChars="200"/>
        <w:outlineLvl w:val="0"/>
        <w:rPr>
          <w:rFonts w:hint="eastAsia" w:ascii="黑体" w:hAnsi="黑体" w:eastAsia="黑体" w:cs="Helvetica Neue"/>
          <w:bCs/>
          <w:color w:val="000000"/>
          <w:kern w:val="0"/>
        </w:rPr>
      </w:pPr>
      <w:r>
        <w:rPr>
          <w:rFonts w:hint="eastAsia" w:ascii="黑体" w:hAnsi="黑体" w:eastAsia="黑体" w:cs="Helvetica Neue"/>
          <w:bCs/>
          <w:color w:val="000000"/>
          <w:kern w:val="0"/>
          <w:lang w:eastAsia="zh-CN"/>
        </w:rPr>
        <w:t>增强</w:t>
      </w:r>
      <w:r>
        <w:rPr>
          <w:rFonts w:hint="eastAsia" w:ascii="黑体" w:hAnsi="黑体" w:eastAsia="黑体" w:cs="Helvetica Neue"/>
          <w:bCs/>
          <w:color w:val="000000"/>
          <w:kern w:val="0"/>
        </w:rPr>
        <w:t>技术</w:t>
      </w:r>
      <w:r>
        <w:rPr>
          <w:rFonts w:hint="eastAsia" w:ascii="黑体" w:hAnsi="黑体" w:eastAsia="黑体" w:cs="Helvetica Neue"/>
          <w:bCs/>
          <w:color w:val="000000"/>
          <w:kern w:val="0"/>
          <w:lang w:eastAsia="zh-CN"/>
        </w:rPr>
        <w:t>自主</w:t>
      </w:r>
      <w:r>
        <w:rPr>
          <w:rFonts w:hint="eastAsia" w:ascii="黑体" w:hAnsi="黑体" w:eastAsia="黑体" w:cs="Helvetica Neue"/>
          <w:bCs/>
          <w:color w:val="000000"/>
          <w:kern w:val="0"/>
        </w:rPr>
        <w:t>创新能力</w:t>
      </w:r>
    </w:p>
    <w:p>
      <w:pPr>
        <w:numPr>
          <w:ilvl w:val="-1"/>
          <w:numId w:val="0"/>
        </w:numPr>
        <w:overflowPunct w:val="0"/>
        <w:spacing w:line="560" w:lineRule="exact"/>
        <w:ind w:firstLine="642" w:firstLineChars="200"/>
        <w:outlineLvl w:val="9"/>
        <w:rPr>
          <w:rFonts w:hint="eastAsia" w:ascii="楷体_GB2312" w:hAnsi="楷体_GB2312" w:eastAsia="楷体_GB2312" w:cs="楷体_GB2312"/>
          <w:highlight w:val="yellow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一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 w:cs="Times New Roman"/>
          <w:b/>
          <w:bCs/>
          <w:highlight w:val="none"/>
          <w:lang w:val="en-US" w:eastAsia="zh-CN"/>
        </w:rPr>
        <w:t>加快</w:t>
      </w:r>
      <w:r>
        <w:rPr>
          <w:rFonts w:hint="eastAsia"/>
          <w:b/>
          <w:bCs/>
          <w:highlight w:val="none"/>
          <w:lang w:val="en-US" w:eastAsia="zh-CN"/>
        </w:rPr>
        <w:t>核心环节突破</w:t>
      </w:r>
      <w:r>
        <w:rPr>
          <w:rFonts w:hint="eastAsia"/>
          <w:b/>
          <w:bCs/>
          <w:highlight w:val="none"/>
        </w:rPr>
        <w:t>。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"/>
        </w:rPr>
        <w:t>聚焦制约产业发展的技术短板，</w:t>
      </w:r>
      <w:r>
        <w:rPr>
          <w:rFonts w:hint="eastAsia" w:cs="Times New Roman"/>
          <w:highlight w:val="none"/>
          <w:lang w:val="en-US" w:eastAsia="zh-CN"/>
        </w:rPr>
        <w:t>围绕感知决策系统、控制执行系统、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关键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零部件</w:t>
      </w:r>
      <w:r>
        <w:rPr>
          <w:rFonts w:hint="eastAsia" w:cs="Times New Roman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产业核心领域和重要环节，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"/>
        </w:rPr>
        <w:t>支持开展</w:t>
      </w:r>
      <w:r>
        <w:rPr>
          <w:rFonts w:hint="eastAsia"/>
          <w:highlight w:val="none"/>
          <w:lang w:val="en-US" w:eastAsia="zh-CN"/>
        </w:rPr>
        <w:t>重大装备和</w:t>
      </w:r>
      <w:r>
        <w:rPr>
          <w:rFonts w:hint="eastAsia" w:cs="Times New Roman"/>
          <w:highlight w:val="none"/>
          <w:lang w:val="en-US" w:eastAsia="zh-CN"/>
        </w:rPr>
        <w:t>关键</w:t>
      </w:r>
      <w:r>
        <w:rPr>
          <w:rFonts w:hint="eastAsia"/>
          <w:highlight w:val="none"/>
          <w:lang w:val="en-US" w:eastAsia="zh-CN"/>
        </w:rPr>
        <w:t>零部件</w:t>
      </w:r>
      <w:r>
        <w:rPr>
          <w:rFonts w:hint="eastAsia" w:cs="Times New Roman"/>
          <w:highlight w:val="none"/>
          <w:lang w:val="en-US" w:eastAsia="zh-CN"/>
        </w:rPr>
        <w:t>研制</w:t>
      </w:r>
      <w:r>
        <w:rPr>
          <w:rFonts w:hint="eastAsia"/>
          <w:highlight w:val="none"/>
          <w:lang w:val="en-US" w:eastAsia="zh-CN"/>
        </w:rPr>
        <w:t>，按项目总投资的40%予以最高不超过2亿元资助。</w:t>
      </w:r>
    </w:p>
    <w:p>
      <w:pPr>
        <w:numPr>
          <w:ilvl w:val="-1"/>
          <w:numId w:val="0"/>
        </w:numPr>
        <w:overflowPunct w:val="0"/>
        <w:spacing w:line="560" w:lineRule="exact"/>
        <w:ind w:firstLine="642" w:firstLineChars="200"/>
        <w:outlineLvl w:val="9"/>
        <w:rPr>
          <w:rFonts w:hint="eastAsia"/>
          <w:highlight w:val="none"/>
          <w:lang w:eastAsia="zh-CN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二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  <w:lang w:val="en-US" w:eastAsia="zh-CN"/>
        </w:rPr>
        <w:t>推动关键技术攻关。</w:t>
      </w:r>
      <w:r>
        <w:rPr>
          <w:rFonts w:hint="eastAsia"/>
          <w:highlight w:val="none"/>
          <w:lang w:val="en-US" w:eastAsia="zh-CN"/>
        </w:rPr>
        <w:t>支持车规级</w:t>
      </w:r>
      <w:r>
        <w:rPr>
          <w:rFonts w:hint="eastAsia"/>
          <w:highlight w:val="none"/>
        </w:rPr>
        <w:t>激光雷达、毫米波雷达、</w:t>
      </w:r>
      <w:r>
        <w:rPr>
          <w:rFonts w:hint="eastAsia"/>
          <w:highlight w:val="none"/>
          <w:lang w:val="en-US" w:eastAsia="zh-CN"/>
        </w:rPr>
        <w:t>机器视觉、高精度地图、高精度定位、</w:t>
      </w:r>
      <w:r>
        <w:rPr>
          <w:rFonts w:hint="eastAsia"/>
          <w:highlight w:val="none"/>
        </w:rPr>
        <w:t>智能座舱</w:t>
      </w:r>
      <w:r>
        <w:rPr>
          <w:rFonts w:hint="eastAsia"/>
          <w:highlight w:val="none"/>
          <w:lang w:val="en-US" w:eastAsia="zh-CN"/>
        </w:rPr>
        <w:t>等智能化领域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车用无线</w:t>
      </w:r>
      <w:r>
        <w:rPr>
          <w:rFonts w:hint="eastAsia"/>
          <w:highlight w:val="none"/>
        </w:rPr>
        <w:t>通信、</w:t>
      </w:r>
      <w:r>
        <w:rPr>
          <w:rFonts w:hint="eastAsia"/>
          <w:highlight w:val="none"/>
          <w:lang w:val="en-US" w:eastAsia="zh-CN"/>
        </w:rPr>
        <w:t>云服务终端等网联化领域，车规级MOSFET、</w:t>
      </w:r>
      <w:r>
        <w:rPr>
          <w:rFonts w:hint="eastAsia"/>
          <w:highlight w:val="none"/>
          <w:lang w:eastAsia="zh-CN"/>
        </w:rPr>
        <w:t>IGBT、</w:t>
      </w:r>
      <w:r>
        <w:rPr>
          <w:rFonts w:hint="eastAsia"/>
          <w:highlight w:val="none"/>
          <w:lang w:val="en-US" w:eastAsia="zh-CN"/>
        </w:rPr>
        <w:t>MCU等半导体领域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先进动力电池、电机系统、电控系统等电动化领域</w:t>
      </w:r>
      <w:r>
        <w:rPr>
          <w:rFonts w:hint="eastAsia"/>
          <w:highlight w:val="none"/>
        </w:rPr>
        <w:t>技术</w:t>
      </w:r>
      <w:r>
        <w:rPr>
          <w:rFonts w:hint="eastAsia"/>
          <w:highlight w:val="none"/>
          <w:lang w:val="en-US" w:eastAsia="zh-CN"/>
        </w:rPr>
        <w:t>研发，</w:t>
      </w:r>
      <w:r>
        <w:rPr>
          <w:rFonts w:hint="eastAsia"/>
          <w:highlight w:val="none"/>
          <w:lang w:eastAsia="zh-CN"/>
        </w:rPr>
        <w:t>按</w:t>
      </w:r>
      <w:r>
        <w:rPr>
          <w:rFonts w:hint="eastAsia"/>
          <w:highlight w:val="none"/>
          <w:lang w:val="en-US" w:eastAsia="zh-CN"/>
        </w:rPr>
        <w:t>参与主体项目研发投入</w:t>
      </w:r>
      <w:r>
        <w:rPr>
          <w:rFonts w:hint="eastAsia"/>
          <w:highlight w:val="none"/>
          <w:lang w:eastAsia="zh-CN"/>
        </w:rPr>
        <w:t>的</w:t>
      </w:r>
      <w:r>
        <w:rPr>
          <w:rFonts w:hint="eastAsia"/>
          <w:highlight w:val="none"/>
          <w:lang w:val="en-US" w:eastAsia="zh-CN"/>
        </w:rPr>
        <w:t>40</w:t>
      </w:r>
      <w:r>
        <w:rPr>
          <w:rFonts w:hint="eastAsia"/>
          <w:highlight w:val="none"/>
          <w:lang w:eastAsia="zh-CN"/>
        </w:rPr>
        <w:t>%</w:t>
      </w:r>
      <w:r>
        <w:rPr>
          <w:rFonts w:hint="eastAsia"/>
          <w:highlight w:val="none"/>
          <w:lang w:val="en-US" w:eastAsia="zh-CN"/>
        </w:rPr>
        <w:t>予以</w:t>
      </w:r>
      <w:r>
        <w:rPr>
          <w:rFonts w:hint="eastAsia"/>
          <w:highlight w:val="none"/>
          <w:lang w:eastAsia="zh-CN"/>
        </w:rPr>
        <w:t>最高</w:t>
      </w:r>
      <w:r>
        <w:rPr>
          <w:rFonts w:hint="eastAsia"/>
          <w:highlight w:val="none"/>
          <w:lang w:val="en-US" w:eastAsia="zh-CN"/>
        </w:rPr>
        <w:t>不超过1500万</w:t>
      </w:r>
      <w:r>
        <w:rPr>
          <w:rFonts w:hint="eastAsia"/>
          <w:highlight w:val="none"/>
          <w:lang w:eastAsia="zh-CN"/>
        </w:rPr>
        <w:t>元</w:t>
      </w:r>
      <w:r>
        <w:rPr>
          <w:rFonts w:hint="eastAsia"/>
          <w:highlight w:val="none"/>
          <w:lang w:val="en-US" w:eastAsia="zh-CN"/>
        </w:rPr>
        <w:t>资</w:t>
      </w:r>
      <w:r>
        <w:rPr>
          <w:rFonts w:hint="eastAsia"/>
          <w:highlight w:val="none"/>
          <w:lang w:eastAsia="zh-CN"/>
        </w:rPr>
        <w:t>助。</w:t>
      </w:r>
    </w:p>
    <w:p>
      <w:pPr>
        <w:numPr>
          <w:ilvl w:val="-1"/>
          <w:numId w:val="0"/>
        </w:numPr>
        <w:overflowPunct w:val="0"/>
        <w:spacing w:line="560" w:lineRule="exact"/>
        <w:ind w:firstLine="642" w:firstLineChars="200"/>
        <w:outlineLvl w:val="9"/>
        <w:rPr>
          <w:rFonts w:hint="eastAsia" w:eastAsia="仿宋_GB2312"/>
          <w:highlight w:val="none"/>
          <w:lang w:eastAsia="zh-CN"/>
        </w:rPr>
      </w:pPr>
      <w:r>
        <w:rPr>
          <w:rFonts w:hint="eastAsia"/>
          <w:b/>
          <w:bCs/>
          <w:highlight w:val="none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三</w:t>
      </w:r>
      <w:r>
        <w:rPr>
          <w:rFonts w:hint="eastAsia"/>
          <w:b/>
          <w:bCs/>
          <w:highlight w:val="none"/>
        </w:rPr>
        <w:t>）加速创新</w:t>
      </w:r>
      <w:r>
        <w:rPr>
          <w:rFonts w:hint="eastAsia"/>
          <w:b/>
          <w:bCs/>
          <w:highlight w:val="none"/>
          <w:lang w:val="en-US" w:eastAsia="zh-CN"/>
        </w:rPr>
        <w:t>成果转化</w:t>
      </w:r>
      <w:r>
        <w:rPr>
          <w:rFonts w:hint="eastAsia"/>
          <w:b/>
          <w:bCs/>
          <w:highlight w:val="none"/>
        </w:rPr>
        <w:t>。</w:t>
      </w:r>
      <w:r>
        <w:rPr>
          <w:rFonts w:hint="eastAsia"/>
          <w:b w:val="0"/>
          <w:bCs w:val="0"/>
          <w:highlight w:val="none"/>
          <w:lang w:val="en-US" w:eastAsia="zh-CN"/>
        </w:rPr>
        <w:t>支持</w:t>
      </w:r>
      <w:r>
        <w:rPr>
          <w:rFonts w:hint="eastAsia"/>
          <w:highlight w:val="none"/>
        </w:rPr>
        <w:t>企业、高校和科研院所</w:t>
      </w:r>
      <w:r>
        <w:rPr>
          <w:rFonts w:hint="eastAsia"/>
          <w:highlight w:val="none"/>
          <w:lang w:val="en-US" w:eastAsia="zh-CN"/>
        </w:rPr>
        <w:t>建设重点实验室、</w:t>
      </w:r>
      <w:r>
        <w:rPr>
          <w:rFonts w:hint="eastAsia"/>
          <w:highlight w:val="none"/>
        </w:rPr>
        <w:t>工程研究中心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企业技术中心、创新联合体</w:t>
      </w:r>
      <w:r>
        <w:rPr>
          <w:rFonts w:hint="eastAsia"/>
          <w:highlight w:val="none"/>
        </w:rPr>
        <w:t>等创新载体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</w:rPr>
        <w:t>围绕</w:t>
      </w:r>
      <w:r>
        <w:rPr>
          <w:rFonts w:hint="eastAsia"/>
          <w:highlight w:val="none"/>
          <w:lang w:val="en-US" w:eastAsia="zh-CN"/>
        </w:rPr>
        <w:t>操作系统、视觉系统、车载雷达、处理芯片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人机交互、V2X通信、平台及应用软件、动力电池、电机、电控</w:t>
      </w:r>
      <w:r>
        <w:rPr>
          <w:rFonts w:hint="eastAsia"/>
          <w:highlight w:val="none"/>
        </w:rPr>
        <w:t>等</w:t>
      </w:r>
      <w:r>
        <w:rPr>
          <w:rFonts w:hint="eastAsia"/>
          <w:highlight w:val="none"/>
          <w:lang w:val="en-US" w:eastAsia="zh-CN"/>
        </w:rPr>
        <w:t>重点</w:t>
      </w:r>
      <w:r>
        <w:rPr>
          <w:rFonts w:hint="eastAsia"/>
          <w:highlight w:val="none"/>
        </w:rPr>
        <w:t>领域开展</w:t>
      </w:r>
      <w:r>
        <w:rPr>
          <w:rFonts w:hint="eastAsia"/>
          <w:highlight w:val="none"/>
          <w:lang w:val="en-US" w:eastAsia="zh-CN"/>
        </w:rPr>
        <w:t>工程化</w:t>
      </w:r>
      <w:r>
        <w:rPr>
          <w:rFonts w:hint="eastAsia"/>
          <w:highlight w:val="none"/>
        </w:rPr>
        <w:t>研究，按项目总投资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/>
          <w:highlight w:val="none"/>
        </w:rPr>
        <w:t>40%予以最高</w:t>
      </w:r>
      <w:r>
        <w:rPr>
          <w:rFonts w:hint="eastAsia"/>
          <w:highlight w:val="none"/>
          <w:lang w:val="en-US" w:eastAsia="zh-CN"/>
        </w:rPr>
        <w:t>不超过</w:t>
      </w:r>
      <w:r>
        <w:rPr>
          <w:rFonts w:hint="eastAsia"/>
          <w:highlight w:val="none"/>
        </w:rPr>
        <w:t>1000万元资助。</w:t>
      </w:r>
    </w:p>
    <w:p>
      <w:pPr>
        <w:numPr>
          <w:ilvl w:val="-1"/>
          <w:numId w:val="0"/>
        </w:numPr>
        <w:overflowPunct w:val="0"/>
        <w:spacing w:line="560" w:lineRule="exact"/>
        <w:ind w:firstLine="642" w:firstLineChars="200"/>
        <w:outlineLvl w:val="9"/>
        <w:rPr>
          <w:rFonts w:hint="eastAsia"/>
          <w:highlight w:val="yellow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四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  <w:lang w:val="en-US" w:eastAsia="zh-CN"/>
        </w:rPr>
        <w:t>加大产业化力度。</w:t>
      </w:r>
      <w:r>
        <w:rPr>
          <w:rFonts w:hint="eastAsia"/>
          <w:b w:val="0"/>
          <w:bCs w:val="0"/>
          <w:highlight w:val="none"/>
          <w:lang w:val="en-US" w:eastAsia="zh-CN"/>
        </w:rPr>
        <w:t>支持智能传感器设备、高算力计算平台、自动驾驶操作系统、电子电气架构平台、边缘计算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highlight w:val="none"/>
        </w:rPr>
        <w:t>单元</w:t>
      </w:r>
      <w:r>
        <w:rPr>
          <w:rFonts w:hint="eastAsia"/>
          <w:b w:val="0"/>
          <w:bCs w:val="0"/>
          <w:highlight w:val="none"/>
          <w:lang w:val="en-US" w:eastAsia="zh-CN"/>
        </w:rPr>
        <w:t>、V2X通信单元、高带宽实时车内通信模块、高比能动力电池、</w:t>
      </w:r>
      <w:r>
        <w:rPr>
          <w:rFonts w:hint="eastAsia"/>
          <w:highlight w:val="none"/>
          <w:lang w:val="en-US" w:eastAsia="zh-CN"/>
        </w:rPr>
        <w:t>高效电机系统、先进电控系统</w:t>
      </w:r>
      <w:r>
        <w:rPr>
          <w:rFonts w:hint="eastAsia"/>
          <w:b w:val="0"/>
          <w:bCs w:val="0"/>
          <w:highlight w:val="none"/>
          <w:lang w:val="en-US" w:eastAsia="zh-CN"/>
        </w:rPr>
        <w:t>等</w:t>
      </w:r>
      <w:r>
        <w:rPr>
          <w:rFonts w:hint="eastAsia" w:cs="Times New Roman"/>
          <w:b w:val="0"/>
          <w:bCs w:val="0"/>
          <w:highlight w:val="none"/>
          <w:lang w:val="en-US" w:eastAsia="zh-CN"/>
        </w:rPr>
        <w:t>核心</w:t>
      </w:r>
      <w:r>
        <w:rPr>
          <w:rFonts w:hint="eastAsia"/>
          <w:b w:val="0"/>
          <w:bCs w:val="0"/>
          <w:highlight w:val="none"/>
          <w:lang w:val="en-US" w:eastAsia="zh-CN"/>
        </w:rPr>
        <w:t>产品产业化，经认定符合条件的产业化项目，按项目总投资的20%予以最高不超过1500万元资助。</w:t>
      </w:r>
    </w:p>
    <w:p>
      <w:pPr>
        <w:numPr>
          <w:ilvl w:val="-1"/>
          <w:numId w:val="0"/>
        </w:numPr>
        <w:overflowPunct w:val="0"/>
        <w:spacing w:line="560" w:lineRule="exact"/>
        <w:ind w:firstLine="640" w:firstLineChars="200"/>
        <w:outlineLvl w:val="0"/>
        <w:rPr>
          <w:rFonts w:hint="default"/>
          <w:b/>
          <w:bCs/>
          <w:highlight w:val="none"/>
        </w:rPr>
      </w:pPr>
      <w:r>
        <w:rPr>
          <w:rFonts w:hint="eastAsia" w:ascii="黑体" w:hAnsi="黑体" w:eastAsia="黑体"/>
          <w:highlight w:val="none"/>
        </w:rPr>
        <w:t>二、</w:t>
      </w:r>
      <w:r>
        <w:rPr>
          <w:rFonts w:hint="eastAsia" w:ascii="黑体" w:hAnsi="黑体" w:eastAsia="黑体"/>
          <w:highlight w:val="none"/>
          <w:lang w:val="en-US" w:eastAsia="zh-CN"/>
        </w:rPr>
        <w:t>促进产业协同集聚发展</w:t>
      </w:r>
    </w:p>
    <w:p>
      <w:pPr>
        <w:numPr>
          <w:ilvl w:val="-1"/>
          <w:numId w:val="0"/>
        </w:numPr>
        <w:overflowPunct w:val="0"/>
        <w:spacing w:line="560" w:lineRule="exact"/>
        <w:ind w:firstLine="642" w:firstLineChars="200"/>
        <w:outlineLvl w:val="9"/>
        <w:rPr>
          <w:rFonts w:hint="eastAsia" w:ascii="楷体_GB2312" w:hAnsi="楷体_GB2312" w:eastAsia="楷体_GB2312" w:cs="楷体_GB2312"/>
          <w:highlight w:val="none"/>
          <w:lang w:eastAsia="zh-CN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五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</w:rPr>
        <w:t>加强协同</w:t>
      </w:r>
      <w:r>
        <w:rPr>
          <w:rFonts w:hint="eastAsia"/>
          <w:b/>
          <w:bCs/>
          <w:highlight w:val="none"/>
          <w:lang w:val="en-US" w:eastAsia="zh-CN"/>
        </w:rPr>
        <w:t>技术</w:t>
      </w:r>
      <w:r>
        <w:rPr>
          <w:rFonts w:hint="eastAsia"/>
          <w:b/>
          <w:bCs/>
          <w:highlight w:val="none"/>
        </w:rPr>
        <w:t>创新。</w:t>
      </w:r>
      <w:r>
        <w:rPr>
          <w:rFonts w:hint="eastAsia"/>
          <w:highlight w:val="none"/>
        </w:rPr>
        <w:t>支持企业、高校和研究机构开展产学研用合作，鼓励构建开源开放生态体系，降低共性技术研发成本，鼓励建设国家级智能网联汽车产业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</w:rPr>
        <w:t>技术、制造业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创新中心，对获得批复的项目按照相关政策予以</w:t>
      </w:r>
      <w:r>
        <w:rPr>
          <w:rFonts w:hint="eastAsia"/>
          <w:highlight w:val="none"/>
          <w:lang w:val="en-US" w:eastAsia="zh-CN"/>
        </w:rPr>
        <w:t>1:1</w:t>
      </w:r>
      <w:r>
        <w:rPr>
          <w:rFonts w:hint="eastAsia"/>
          <w:highlight w:val="none"/>
        </w:rPr>
        <w:t>配套支持</w:t>
      </w:r>
      <w:r>
        <w:rPr>
          <w:highlight w:val="none"/>
        </w:rPr>
        <w:t>。</w:t>
      </w:r>
    </w:p>
    <w:p>
      <w:pPr>
        <w:numPr>
          <w:ilvl w:val="-1"/>
          <w:numId w:val="0"/>
        </w:numPr>
        <w:overflowPunct w:val="0"/>
        <w:spacing w:line="560" w:lineRule="exact"/>
        <w:ind w:firstLine="642" w:firstLineChars="200"/>
        <w:outlineLvl w:val="9"/>
        <w:rPr>
          <w:rFonts w:hint="eastAsia"/>
          <w:highlight w:val="yellow"/>
        </w:rPr>
      </w:pPr>
      <w:r>
        <w:rPr>
          <w:rFonts w:hint="eastAsia"/>
          <w:b/>
          <w:bCs/>
          <w:highlight w:val="none"/>
          <w:lang w:val="en-US" w:eastAsia="zh-CN"/>
        </w:rPr>
        <w:t>（六）凝聚</w:t>
      </w:r>
      <w:r>
        <w:rPr>
          <w:rFonts w:hint="eastAsia"/>
          <w:b/>
          <w:bCs/>
          <w:highlight w:val="none"/>
        </w:rPr>
        <w:t>产业</w:t>
      </w:r>
      <w:r>
        <w:rPr>
          <w:rFonts w:hint="eastAsia"/>
          <w:b/>
          <w:bCs/>
          <w:highlight w:val="none"/>
          <w:lang w:val="en-US" w:eastAsia="zh-CN"/>
        </w:rPr>
        <w:t>优质资源</w:t>
      </w:r>
      <w:r>
        <w:rPr>
          <w:rFonts w:hint="eastAsia"/>
          <w:b/>
          <w:bCs/>
          <w:highlight w:val="none"/>
        </w:rPr>
        <w:t>。</w:t>
      </w:r>
      <w:r>
        <w:rPr>
          <w:rFonts w:hint="eastAsia"/>
          <w:b w:val="0"/>
          <w:bCs w:val="0"/>
          <w:highlight w:val="none"/>
        </w:rPr>
        <w:t>支持</w:t>
      </w:r>
      <w:r>
        <w:rPr>
          <w:rFonts w:hint="eastAsia"/>
          <w:b w:val="0"/>
          <w:bCs w:val="0"/>
          <w:highlight w:val="none"/>
          <w:lang w:eastAsia="zh-CN"/>
        </w:rPr>
        <w:t>整车</w:t>
      </w:r>
      <w:r>
        <w:rPr>
          <w:rFonts w:hint="eastAsia"/>
          <w:b w:val="0"/>
          <w:bCs w:val="0"/>
          <w:highlight w:val="none"/>
          <w:lang w:val="en-US" w:eastAsia="zh-CN"/>
        </w:rPr>
        <w:t>制造企业和</w:t>
      </w:r>
      <w:r>
        <w:rPr>
          <w:rFonts w:hint="eastAsia"/>
          <w:b w:val="0"/>
          <w:bCs w:val="0"/>
          <w:highlight w:val="none"/>
        </w:rPr>
        <w:t>具备核心技术竞争力的</w:t>
      </w:r>
      <w:r>
        <w:rPr>
          <w:rFonts w:hint="eastAsia"/>
          <w:b w:val="0"/>
          <w:bCs w:val="0"/>
          <w:highlight w:val="none"/>
          <w:lang w:eastAsia="zh-CN"/>
        </w:rPr>
        <w:t>零部件</w:t>
      </w:r>
      <w:r>
        <w:rPr>
          <w:rFonts w:hint="eastAsia"/>
          <w:b w:val="0"/>
          <w:bCs w:val="0"/>
          <w:highlight w:val="none"/>
        </w:rPr>
        <w:t>企业</w:t>
      </w:r>
      <w:r>
        <w:rPr>
          <w:rFonts w:hint="eastAsia"/>
          <w:b w:val="0"/>
          <w:bCs w:val="0"/>
          <w:highlight w:val="none"/>
          <w:lang w:val="en-US" w:eastAsia="zh-CN"/>
        </w:rPr>
        <w:t>总部落户我市</w:t>
      </w:r>
      <w:r>
        <w:rPr>
          <w:rFonts w:hint="eastAsia"/>
          <w:b w:val="0"/>
          <w:bCs w:val="0"/>
          <w:highlight w:val="none"/>
        </w:rPr>
        <w:t>，</w:t>
      </w:r>
      <w:r>
        <w:rPr>
          <w:rFonts w:hint="eastAsia"/>
          <w:b w:val="0"/>
          <w:bCs w:val="0"/>
          <w:highlight w:val="none"/>
          <w:lang w:val="en-US" w:eastAsia="zh-CN"/>
        </w:rPr>
        <w:t>对符合条件的企业予以最高不超过3000万元奖励。</w:t>
      </w:r>
      <w:r>
        <w:rPr>
          <w:rFonts w:hint="eastAsia"/>
          <w:highlight w:val="none"/>
          <w:lang w:val="en-US" w:eastAsia="zh-CN"/>
        </w:rPr>
        <w:t>鼓励引进高端先进制造业项目，</w:t>
      </w:r>
      <w:r>
        <w:rPr>
          <w:rFonts w:hint="eastAsia"/>
          <w:b w:val="0"/>
          <w:bCs w:val="0"/>
          <w:highlight w:val="none"/>
          <w:lang w:val="en-US" w:eastAsia="zh-CN"/>
        </w:rPr>
        <w:t>按固定资产投资总额的一定比例</w:t>
      </w:r>
      <w:r>
        <w:rPr>
          <w:rFonts w:hint="eastAsia"/>
          <w:b w:val="0"/>
          <w:bCs w:val="0"/>
          <w:highlight w:val="none"/>
          <w:lang w:eastAsia="zh-CN"/>
        </w:rPr>
        <w:t>予以</w:t>
      </w:r>
      <w:r>
        <w:rPr>
          <w:rFonts w:hint="eastAsia"/>
          <w:b w:val="0"/>
          <w:bCs w:val="0"/>
          <w:highlight w:val="none"/>
          <w:lang w:val="en-US" w:eastAsia="zh-CN"/>
        </w:rPr>
        <w:t>最高不超过10</w:t>
      </w:r>
      <w:r>
        <w:rPr>
          <w:rFonts w:hint="eastAsia"/>
          <w:b w:val="0"/>
          <w:bCs w:val="0"/>
          <w:highlight w:val="none"/>
        </w:rPr>
        <w:t>00万元</w:t>
      </w:r>
      <w:r>
        <w:rPr>
          <w:rFonts w:hint="eastAsia"/>
          <w:b w:val="0"/>
          <w:bCs w:val="0"/>
          <w:highlight w:val="none"/>
          <w:lang w:val="en-US" w:eastAsia="zh-CN"/>
        </w:rPr>
        <w:t>资助</w:t>
      </w:r>
      <w:r>
        <w:rPr>
          <w:rFonts w:hint="eastAsia"/>
          <w:b w:val="0"/>
          <w:bCs w:val="0"/>
          <w:highlight w:val="none"/>
          <w:lang w:eastAsia="zh-CN"/>
        </w:rPr>
        <w:t>。</w:t>
      </w:r>
    </w:p>
    <w:p>
      <w:pPr>
        <w:numPr>
          <w:ilvl w:val="-1"/>
          <w:numId w:val="0"/>
        </w:numPr>
        <w:overflowPunct w:val="0"/>
        <w:spacing w:line="560" w:lineRule="exact"/>
        <w:ind w:firstLine="642" w:firstLineChars="200"/>
        <w:outlineLvl w:val="9"/>
        <w:rPr>
          <w:rFonts w:hint="eastAsia" w:ascii="楷体_GB2312" w:hAnsi="楷体_GB2312" w:eastAsia="楷体_GB2312" w:cs="楷体_GB2312"/>
          <w:highlight w:val="none"/>
          <w:lang w:eastAsia="zh-CN"/>
        </w:rPr>
      </w:pPr>
      <w:r>
        <w:rPr>
          <w:rFonts w:hint="eastAsia"/>
          <w:b/>
          <w:bCs/>
          <w:highlight w:val="none"/>
          <w:lang w:val="en-US" w:eastAsia="zh-CN"/>
        </w:rPr>
        <w:t>（七）搭建</w:t>
      </w:r>
      <w:r>
        <w:rPr>
          <w:rFonts w:hint="eastAsia"/>
          <w:b/>
          <w:bCs/>
          <w:highlight w:val="none"/>
        </w:rPr>
        <w:t>公共服务</w:t>
      </w:r>
      <w:r>
        <w:rPr>
          <w:rFonts w:hint="eastAsia"/>
          <w:b/>
          <w:bCs/>
          <w:highlight w:val="none"/>
          <w:lang w:val="en-US" w:eastAsia="zh-CN"/>
        </w:rPr>
        <w:t>平台</w:t>
      </w:r>
      <w:r>
        <w:rPr>
          <w:rFonts w:hint="eastAsia"/>
          <w:b/>
          <w:bCs/>
          <w:highlight w:val="none"/>
        </w:rPr>
        <w:t>。</w:t>
      </w:r>
      <w:r>
        <w:rPr>
          <w:rFonts w:hint="eastAsia"/>
          <w:b w:val="0"/>
          <w:bCs w:val="0"/>
          <w:highlight w:val="none"/>
          <w:lang w:val="en-US" w:eastAsia="zh-CN"/>
        </w:rPr>
        <w:t>积极</w:t>
      </w:r>
      <w:r>
        <w:rPr>
          <w:rFonts w:hint="eastAsia"/>
          <w:highlight w:val="none"/>
          <w:lang w:val="zh-CN" w:eastAsia="zh-CN"/>
        </w:rPr>
        <w:t>引进</w:t>
      </w:r>
      <w:r>
        <w:rPr>
          <w:rFonts w:hint="eastAsia"/>
          <w:highlight w:val="none"/>
          <w:lang w:val="en-US" w:eastAsia="zh-CN"/>
        </w:rPr>
        <w:t>和培育</w:t>
      </w:r>
      <w:r>
        <w:rPr>
          <w:rFonts w:hint="eastAsia" w:hAnsi="仿宋_GB2312" w:eastAsia="仿宋_GB2312" w:cs="Times New Roman"/>
          <w:color w:val="auto"/>
          <w:kern w:val="2"/>
          <w:sz w:val="32"/>
          <w:szCs w:val="32"/>
          <w:highlight w:val="none"/>
          <w:lang w:val="zh-CN"/>
        </w:rPr>
        <w:t>国家级检测检验机构</w:t>
      </w:r>
      <w:r>
        <w:rPr>
          <w:rFonts w:hint="eastAsia" w:cs="Times New Roman"/>
          <w:kern w:val="2"/>
          <w:sz w:val="32"/>
          <w:szCs w:val="32"/>
          <w:highlight w:val="none"/>
          <w:lang w:val="zh-CN"/>
        </w:rPr>
        <w:t>，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/>
        </w:rPr>
        <w:t>完善</w:t>
      </w:r>
      <w:r>
        <w:rPr>
          <w:rFonts w:hint="eastAsia" w:cs="Times New Roman"/>
          <w:kern w:val="2"/>
          <w:sz w:val="32"/>
          <w:szCs w:val="32"/>
          <w:highlight w:val="none"/>
          <w:lang w:val="zh-CN" w:eastAsia="zh-CN"/>
        </w:rPr>
        <w:t>智能网联汽车检测、认证体系。</w:t>
      </w:r>
      <w:r>
        <w:rPr>
          <w:rFonts w:hint="eastAsia"/>
          <w:highlight w:val="none"/>
          <w:lang w:val="en-US" w:eastAsia="zh-CN"/>
        </w:rPr>
        <w:t>支持</w:t>
      </w:r>
      <w:r>
        <w:rPr>
          <w:rFonts w:hint="eastAsia"/>
          <w:highlight w:val="none"/>
        </w:rPr>
        <w:t>搭建</w:t>
      </w:r>
      <w:r>
        <w:rPr>
          <w:rFonts w:hint="eastAsia"/>
          <w:highlight w:val="none"/>
          <w:lang w:eastAsia="zh-CN"/>
        </w:rPr>
        <w:t>整车及零部件检测检验、</w:t>
      </w:r>
      <w:r>
        <w:rPr>
          <w:rFonts w:hint="eastAsia"/>
          <w:highlight w:val="none"/>
          <w:lang w:val="en-US" w:eastAsia="zh-CN"/>
        </w:rPr>
        <w:t>高精度地图、</w:t>
      </w:r>
      <w:r>
        <w:rPr>
          <w:rFonts w:hint="eastAsia"/>
          <w:highlight w:val="none"/>
          <w:lang w:eastAsia="zh-CN"/>
        </w:rPr>
        <w:t>车路协同</w:t>
      </w:r>
      <w:r>
        <w:rPr>
          <w:rFonts w:hint="eastAsia"/>
          <w:highlight w:val="none"/>
          <w:lang w:val="en-US" w:eastAsia="zh-CN"/>
        </w:rPr>
        <w:t>、场景仿真、感知数据集、网络信息安全等</w:t>
      </w:r>
      <w:r>
        <w:rPr>
          <w:rFonts w:hint="eastAsia"/>
          <w:highlight w:val="none"/>
        </w:rPr>
        <w:t>公共</w:t>
      </w:r>
      <w:r>
        <w:rPr>
          <w:highlight w:val="none"/>
        </w:rPr>
        <w:t>服务</w:t>
      </w:r>
      <w:r>
        <w:rPr>
          <w:rFonts w:hint="eastAsia"/>
          <w:highlight w:val="none"/>
        </w:rPr>
        <w:t>平台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按项目总投资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/>
          <w:highlight w:val="none"/>
        </w:rPr>
        <w:t>40%予以最高</w:t>
      </w:r>
      <w:r>
        <w:rPr>
          <w:rFonts w:hint="eastAsia"/>
          <w:highlight w:val="none"/>
          <w:lang w:val="en-US" w:eastAsia="zh-CN"/>
        </w:rPr>
        <w:t>不超过</w:t>
      </w:r>
      <w:r>
        <w:rPr>
          <w:rFonts w:hint="eastAsia"/>
          <w:highlight w:val="none"/>
        </w:rPr>
        <w:t>1000万元资助。</w:t>
      </w:r>
    </w:p>
    <w:p>
      <w:pPr>
        <w:numPr>
          <w:ilvl w:val="0"/>
          <w:numId w:val="0"/>
        </w:numPr>
        <w:overflowPunct w:val="0"/>
        <w:spacing w:line="560" w:lineRule="exact"/>
        <w:ind w:firstLine="642" w:firstLineChars="200"/>
        <w:outlineLvl w:val="9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  <w:highlight w:val="none"/>
        </w:rPr>
        <w:t>（八）建设优质产业园区。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支持南山区、坪山区、深汕特别合作区等规划建设智能网联汽车产业园区，建立智能网联汽车产业用地战略空间储备库，及时满足企业发展空间需求。</w:t>
      </w:r>
    </w:p>
    <w:p>
      <w:pPr>
        <w:overflowPunct w:val="0"/>
        <w:spacing w:line="560" w:lineRule="exact"/>
        <w:ind w:firstLine="640" w:firstLineChars="200"/>
        <w:outlineLvl w:val="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三、扩大多元场景综合应用</w:t>
      </w:r>
    </w:p>
    <w:p>
      <w:pPr>
        <w:numPr>
          <w:ilvl w:val="0"/>
          <w:numId w:val="0"/>
        </w:numPr>
        <w:overflowPunct w:val="0"/>
        <w:spacing w:line="560" w:lineRule="exact"/>
        <w:ind w:firstLine="642" w:firstLineChars="200"/>
        <w:rPr>
          <w:rFonts w:hint="eastAsia" w:eastAsia="仿宋_GB2312" w:cs="Times New Roman"/>
          <w:b/>
          <w:bCs/>
          <w:highlight w:val="none"/>
          <w:lang w:eastAsia="zh-CN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九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default"/>
          <w:b/>
          <w:bCs/>
          <w:highlight w:val="none"/>
        </w:rPr>
        <w:t>鼓励</w:t>
      </w:r>
      <w:r>
        <w:rPr>
          <w:rFonts w:hint="default" w:cs="Times New Roman"/>
          <w:b/>
          <w:bCs/>
          <w:highlight w:val="none"/>
        </w:rPr>
        <w:t>开展</w:t>
      </w:r>
      <w:r>
        <w:rPr>
          <w:rFonts w:hint="default"/>
          <w:b/>
          <w:bCs/>
          <w:highlight w:val="none"/>
        </w:rPr>
        <w:t>道路测试。</w:t>
      </w:r>
      <w:r>
        <w:rPr>
          <w:rFonts w:hint="default"/>
          <w:b w:val="0"/>
          <w:bCs w:val="0"/>
          <w:highlight w:val="none"/>
          <w:lang w:val="en-US" w:eastAsia="zh-CN"/>
        </w:rPr>
        <w:t>加快建设</w:t>
      </w:r>
      <w:r>
        <w:rPr>
          <w:rFonts w:hint="default"/>
          <w:b w:val="0"/>
          <w:bCs w:val="0"/>
          <w:highlight w:val="none"/>
        </w:rPr>
        <w:t>功能齐全、特色突出的智能网联交通测试场，打造智能网联汽车与智能交通全面融合的测试环境。对</w:t>
      </w:r>
      <w:r>
        <w:rPr>
          <w:rFonts w:hint="eastAsia"/>
          <w:b w:val="0"/>
          <w:bCs w:val="0"/>
          <w:highlight w:val="none"/>
          <w:lang w:val="en-US" w:eastAsia="zh-CN"/>
        </w:rPr>
        <w:t>我市</w:t>
      </w:r>
      <w:r>
        <w:rPr>
          <w:rFonts w:hint="default"/>
          <w:b w:val="0"/>
          <w:bCs w:val="0"/>
          <w:highlight w:val="none"/>
        </w:rPr>
        <w:t>参与深圳坪山智能网联交通测试区测试</w:t>
      </w:r>
      <w:bookmarkStart w:id="0" w:name="OLE_LINK5"/>
      <w:r>
        <w:rPr>
          <w:rFonts w:hint="default"/>
          <w:b w:val="0"/>
          <w:bCs w:val="0"/>
          <w:highlight w:val="none"/>
        </w:rPr>
        <w:t>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获得深圳智能网联汽车道路测试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或示范应用等资格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的主体</w:t>
      </w:r>
      <w:bookmarkEnd w:id="0"/>
      <w:r>
        <w:rPr>
          <w:rFonts w:hint="eastAsia"/>
          <w:b w:val="0"/>
          <w:bCs w:val="0"/>
          <w:highlight w:val="none"/>
          <w:lang w:eastAsia="zh-CN"/>
        </w:rPr>
        <w:t>，</w:t>
      </w:r>
      <w:r>
        <w:rPr>
          <w:rFonts w:hint="default"/>
          <w:b w:val="0"/>
          <w:bCs w:val="0"/>
          <w:highlight w:val="none"/>
        </w:rPr>
        <w:t>减收至少20%的测试费用。</w:t>
      </w:r>
    </w:p>
    <w:p>
      <w:pPr>
        <w:numPr>
          <w:ilvl w:val="0"/>
          <w:numId w:val="0"/>
        </w:numPr>
        <w:overflowPunct w:val="0"/>
        <w:spacing w:line="560" w:lineRule="exact"/>
        <w:ind w:firstLine="642" w:firstLineChars="200"/>
        <w:rPr>
          <w:rFonts w:hint="default" w:cs="Times New Roman"/>
          <w:b/>
          <w:bCs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十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  <w:lang w:val="en-US" w:eastAsia="zh-CN"/>
        </w:rPr>
        <w:t>丰富示范应用场景。</w:t>
      </w:r>
      <w:r>
        <w:rPr>
          <w:rFonts w:hint="eastAsia"/>
          <w:highlight w:val="none"/>
          <w:lang w:val="en-US" w:eastAsia="zh-CN"/>
        </w:rPr>
        <w:t>有序开放街区、道路、机场、港口等作为智能网联车辆示范应用场景，鼓励开展开放场景内自动驾驶出租车、公交、短途接驳、物流配送、清扫车等形式的示范应用，</w:t>
      </w:r>
      <w:bookmarkStart w:id="1" w:name="OLE_LINK6"/>
      <w:r>
        <w:rPr>
          <w:rFonts w:hint="eastAsia"/>
          <w:highlight w:val="none"/>
        </w:rPr>
        <w:t>对</w:t>
      </w:r>
      <w:bookmarkStart w:id="2" w:name="OLE_LINK2"/>
      <w:r>
        <w:rPr>
          <w:rFonts w:hint="eastAsia"/>
          <w:highlight w:val="none"/>
          <w:lang w:val="en-US" w:eastAsia="zh-CN"/>
        </w:rPr>
        <w:t>每台车辆</w:t>
      </w:r>
      <w:bookmarkEnd w:id="2"/>
      <w:bookmarkStart w:id="3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自动驾驶行驶</w:t>
      </w:r>
      <w:bookmarkEnd w:id="3"/>
      <w:r>
        <w:rPr>
          <w:rFonts w:hint="eastAsia"/>
          <w:highlight w:val="none"/>
        </w:rPr>
        <w:t>里程累计达到</w:t>
      </w:r>
      <w:bookmarkEnd w:id="1"/>
      <w:r>
        <w:rPr>
          <w:rFonts w:hint="eastAsia"/>
          <w:highlight w:val="none"/>
          <w:lang w:val="en-US" w:eastAsia="zh-CN"/>
        </w:rPr>
        <w:t>10000</w:t>
      </w:r>
      <w:r>
        <w:rPr>
          <w:rFonts w:hint="eastAsia"/>
          <w:highlight w:val="none"/>
        </w:rPr>
        <w:t>公里的运营主体，</w:t>
      </w:r>
      <w:r>
        <w:rPr>
          <w:rFonts w:hint="eastAsia"/>
          <w:highlight w:val="none"/>
          <w:lang w:val="en-US" w:eastAsia="zh-CN"/>
        </w:rPr>
        <w:t>示范应用效果良好的按项目总投资的20%予以最高不超过500万元资助。</w:t>
      </w:r>
    </w:p>
    <w:p>
      <w:pPr>
        <w:numPr>
          <w:ilvl w:val="-1"/>
          <w:numId w:val="0"/>
        </w:numPr>
        <w:overflowPunct w:val="0"/>
        <w:spacing w:line="560" w:lineRule="exact"/>
        <w:ind w:firstLine="642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（十一）探索开展商业运营</w:t>
      </w:r>
      <w:r>
        <w:rPr>
          <w:rFonts w:hint="eastAsia"/>
          <w:b/>
          <w:bCs/>
          <w:highlight w:val="none"/>
        </w:rPr>
        <w:t>。</w:t>
      </w:r>
      <w:r>
        <w:rPr>
          <w:rFonts w:hint="eastAsia"/>
          <w:highlight w:val="none"/>
          <w:lang w:val="en-US" w:eastAsia="zh-CN"/>
        </w:rPr>
        <w:t>鼓励开展载人、载物、特种作业等商业化运营活动，</w:t>
      </w:r>
      <w:r>
        <w:rPr>
          <w:rFonts w:hint="eastAsia"/>
          <w:highlight w:val="none"/>
        </w:rPr>
        <w:t>对</w:t>
      </w:r>
      <w:r>
        <w:rPr>
          <w:rFonts w:hint="eastAsia"/>
          <w:highlight w:val="none"/>
          <w:lang w:val="en-US" w:eastAsia="zh-CN"/>
        </w:rPr>
        <w:t>符合相应经营资质且</w:t>
      </w:r>
      <w:bookmarkStart w:id="4" w:name="OLE_LINK7"/>
      <w:r>
        <w:rPr>
          <w:rFonts w:hint="eastAsia"/>
          <w:highlight w:val="none"/>
          <w:lang w:val="en-US" w:eastAsia="zh-CN"/>
        </w:rPr>
        <w:t>每台车辆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自动驾驶行驶里程</w:t>
      </w:r>
      <w:bookmarkEnd w:id="4"/>
      <w:r>
        <w:rPr>
          <w:rFonts w:hint="eastAsia"/>
          <w:highlight w:val="none"/>
        </w:rPr>
        <w:t>累计达到</w:t>
      </w:r>
      <w:r>
        <w:rPr>
          <w:rFonts w:hint="eastAsia"/>
          <w:highlight w:val="none"/>
          <w:lang w:val="en-US" w:eastAsia="zh-CN"/>
        </w:rPr>
        <w:t>30000</w:t>
      </w:r>
      <w:r>
        <w:rPr>
          <w:rFonts w:hint="eastAsia"/>
          <w:highlight w:val="none"/>
        </w:rPr>
        <w:t>公里的运营主体，</w:t>
      </w:r>
      <w:r>
        <w:rPr>
          <w:rFonts w:hint="eastAsia"/>
          <w:highlight w:val="none"/>
          <w:lang w:val="en-US" w:eastAsia="zh-CN"/>
        </w:rPr>
        <w:t>运营</w:t>
      </w:r>
      <w:r>
        <w:rPr>
          <w:rFonts w:hint="eastAsia"/>
          <w:highlight w:val="none"/>
        </w:rPr>
        <w:t>效果</w:t>
      </w:r>
      <w:r>
        <w:rPr>
          <w:rFonts w:hint="eastAsia"/>
          <w:highlight w:val="none"/>
          <w:lang w:val="en-US" w:eastAsia="zh-CN"/>
        </w:rPr>
        <w:t>良好的按项目总投资的20%</w:t>
      </w:r>
      <w:r>
        <w:rPr>
          <w:rFonts w:hint="eastAsia"/>
          <w:highlight w:val="none"/>
          <w:lang w:eastAsia="zh-CN"/>
        </w:rPr>
        <w:t>予以</w:t>
      </w:r>
      <w:r>
        <w:rPr>
          <w:rFonts w:hint="eastAsia"/>
          <w:highlight w:val="none"/>
        </w:rPr>
        <w:t>最高</w:t>
      </w:r>
      <w:r>
        <w:rPr>
          <w:rFonts w:hint="eastAsia"/>
          <w:highlight w:val="none"/>
          <w:lang w:val="en-US" w:eastAsia="zh-CN"/>
        </w:rPr>
        <w:t>不超过</w:t>
      </w:r>
      <w:r>
        <w:rPr>
          <w:rFonts w:hint="default"/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highlight w:val="none"/>
        </w:rPr>
        <w:t>万元</w:t>
      </w:r>
      <w:r>
        <w:rPr>
          <w:rFonts w:hint="eastAsia"/>
          <w:highlight w:val="none"/>
          <w:lang w:val="en-US" w:eastAsia="zh-CN"/>
        </w:rPr>
        <w:t>资助</w:t>
      </w:r>
      <w:r>
        <w:rPr>
          <w:rFonts w:hint="eastAsia"/>
          <w:highlight w:val="none"/>
        </w:rPr>
        <w:t>。</w:t>
      </w:r>
    </w:p>
    <w:p>
      <w:pPr>
        <w:overflowPunct w:val="0"/>
        <w:spacing w:line="560" w:lineRule="exact"/>
        <w:ind w:firstLine="640" w:firstLineChars="20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黑体" w:hAnsi="黑体" w:eastAsia="黑体"/>
          <w:highlight w:val="none"/>
          <w:lang w:val="en-US" w:eastAsia="zh-CN"/>
        </w:rPr>
        <w:t>优化</w:t>
      </w:r>
      <w:r>
        <w:rPr>
          <w:rFonts w:hint="eastAsia" w:ascii="黑体" w:hAnsi="黑体" w:eastAsia="黑体"/>
          <w:highlight w:val="none"/>
        </w:rPr>
        <w:t>产业</w:t>
      </w:r>
      <w:r>
        <w:rPr>
          <w:rFonts w:hint="eastAsia" w:ascii="黑体" w:hAnsi="黑体" w:eastAsia="黑体"/>
          <w:highlight w:val="none"/>
          <w:lang w:val="en-US" w:eastAsia="zh-CN"/>
        </w:rPr>
        <w:t>发展配套</w:t>
      </w:r>
      <w:r>
        <w:rPr>
          <w:rFonts w:hint="eastAsia" w:ascii="黑体" w:hAnsi="黑体" w:eastAsia="黑体"/>
          <w:highlight w:val="none"/>
        </w:rPr>
        <w:t>环境</w:t>
      </w:r>
    </w:p>
    <w:p>
      <w:pPr>
        <w:numPr>
          <w:ilvl w:val="0"/>
          <w:numId w:val="0"/>
        </w:numPr>
        <w:overflowPunct w:val="0"/>
        <w:spacing w:line="560" w:lineRule="exact"/>
        <w:ind w:firstLine="642" w:firstLineChars="200"/>
        <w:rPr>
          <w:rFonts w:hint="eastAsia"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十二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/>
          <w:b/>
          <w:bCs/>
          <w:highlight w:val="none"/>
        </w:rPr>
        <w:t>完善</w:t>
      </w:r>
      <w:r>
        <w:rPr>
          <w:rFonts w:hint="eastAsia"/>
          <w:b/>
          <w:bCs/>
          <w:highlight w:val="none"/>
          <w:lang w:val="en-US" w:eastAsia="zh-CN"/>
        </w:rPr>
        <w:t>基础</w:t>
      </w:r>
      <w:r>
        <w:rPr>
          <w:rFonts w:hint="eastAsia"/>
          <w:b/>
          <w:bCs/>
          <w:highlight w:val="none"/>
        </w:rPr>
        <w:t>设施</w:t>
      </w:r>
      <w:r>
        <w:rPr>
          <w:rFonts w:hint="eastAsia"/>
          <w:b/>
          <w:bCs/>
          <w:highlight w:val="none"/>
          <w:lang w:val="en-US" w:eastAsia="zh-CN"/>
        </w:rPr>
        <w:t>服务</w:t>
      </w:r>
      <w:r>
        <w:rPr>
          <w:rFonts w:hint="eastAsia"/>
          <w:b/>
          <w:bCs/>
          <w:highlight w:val="none"/>
        </w:rPr>
        <w:t>。</w:t>
      </w:r>
      <w:bookmarkStart w:id="5" w:name="OLE_LINK8"/>
      <w:r>
        <w:rPr>
          <w:rFonts w:hint="eastAsia"/>
          <w:b w:val="0"/>
          <w:bCs w:val="0"/>
          <w:highlight w:val="none"/>
          <w:lang w:val="en-US" w:eastAsia="zh-CN"/>
        </w:rPr>
        <w:t>加快</w:t>
      </w:r>
      <w:bookmarkEnd w:id="5"/>
      <w:r>
        <w:rPr>
          <w:rFonts w:hint="eastAsia"/>
          <w:highlight w:val="none"/>
        </w:rPr>
        <w:t>构建支撑智能交通和智慧城市协同</w:t>
      </w:r>
      <w:r>
        <w:rPr>
          <w:rFonts w:hint="eastAsia"/>
          <w:highlight w:val="none"/>
          <w:lang w:val="en-US" w:eastAsia="zh-CN"/>
        </w:rPr>
        <w:t>应用</w:t>
      </w:r>
      <w:r>
        <w:rPr>
          <w:rFonts w:hint="eastAsia"/>
          <w:highlight w:val="none"/>
        </w:rPr>
        <w:t>的道路交通环境</w:t>
      </w:r>
      <w:r>
        <w:rPr>
          <w:rFonts w:hint="eastAsia"/>
          <w:b w:val="0"/>
          <w:bCs w:val="0"/>
          <w:highlight w:val="none"/>
          <w:lang w:val="en-US" w:eastAsia="zh-CN"/>
        </w:rPr>
        <w:t>，</w:t>
      </w:r>
      <w:r>
        <w:rPr>
          <w:rFonts w:hint="eastAsia"/>
          <w:highlight w:val="none"/>
        </w:rPr>
        <w:t>分阶段、分区域开展道路设施智能化改造，部署智能信号灯、多功能智能杆、V2X路侧单元等设备，</w:t>
      </w:r>
      <w:r>
        <w:rPr>
          <w:rFonts w:hint="eastAsia"/>
          <w:highlight w:val="none"/>
          <w:lang w:val="en-US" w:eastAsia="zh-CN"/>
        </w:rPr>
        <w:t>增强</w:t>
      </w:r>
      <w:r>
        <w:rPr>
          <w:rFonts w:hint="eastAsia"/>
          <w:highlight w:val="none"/>
        </w:rPr>
        <w:t>数据融合</w:t>
      </w:r>
      <w:r>
        <w:rPr>
          <w:rFonts w:hint="eastAsia"/>
          <w:highlight w:val="none"/>
          <w:lang w:val="en-US" w:eastAsia="zh-CN"/>
        </w:rPr>
        <w:t>与安全防护能力，</w:t>
      </w:r>
      <w:bookmarkStart w:id="6" w:name="OLE_LINK9"/>
      <w:r>
        <w:rPr>
          <w:rFonts w:hint="eastAsia"/>
          <w:highlight w:val="none"/>
          <w:lang w:val="en-US" w:eastAsia="zh-CN"/>
        </w:rPr>
        <w:t>统筹</w:t>
      </w:r>
      <w:r>
        <w:rPr>
          <w:rFonts w:hint="eastAsia"/>
          <w:highlight w:val="none"/>
        </w:rPr>
        <w:t>建设智能网联汽车政府监管平台，</w:t>
      </w:r>
      <w:r>
        <w:rPr>
          <w:rFonts w:hint="eastAsia" w:ascii="仿宋_GB2312" w:hAnsi="仿宋_GB2312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实现车路云一体化监管</w:t>
      </w:r>
      <w:bookmarkEnd w:id="6"/>
      <w:r>
        <w:rPr>
          <w:rFonts w:hint="eastAsia"/>
          <w:highlight w:val="none"/>
          <w:lang w:eastAsia="zh-CN"/>
        </w:rPr>
        <w:t>。</w:t>
      </w:r>
    </w:p>
    <w:p>
      <w:pPr>
        <w:numPr>
          <w:ilvl w:val="0"/>
          <w:numId w:val="0"/>
        </w:numPr>
        <w:overflowPunct w:val="0"/>
        <w:spacing w:line="560" w:lineRule="exact"/>
        <w:ind w:firstLine="642" w:firstLineChars="200"/>
        <w:rPr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十三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default"/>
          <w:b/>
          <w:bCs/>
          <w:highlight w:val="none"/>
        </w:rPr>
        <w:t>支持</w:t>
      </w:r>
      <w:r>
        <w:rPr>
          <w:rFonts w:hint="eastAsia" w:cs="Times New Roman"/>
          <w:b/>
          <w:bCs/>
          <w:highlight w:val="none"/>
          <w:lang w:val="en-US" w:eastAsia="zh-CN"/>
        </w:rPr>
        <w:t>产业</w:t>
      </w:r>
      <w:r>
        <w:rPr>
          <w:rFonts w:hint="default"/>
          <w:b/>
          <w:bCs/>
          <w:highlight w:val="none"/>
        </w:rPr>
        <w:t>标准</w:t>
      </w:r>
      <w:r>
        <w:rPr>
          <w:rFonts w:hint="default" w:cs="Times New Roman"/>
          <w:b/>
          <w:bCs/>
          <w:highlight w:val="none"/>
        </w:rPr>
        <w:t>制</w:t>
      </w:r>
      <w:r>
        <w:rPr>
          <w:rFonts w:hint="eastAsia" w:cs="Times New Roman"/>
          <w:b/>
          <w:bCs/>
          <w:highlight w:val="none"/>
          <w:lang w:val="en-US" w:eastAsia="zh-CN"/>
        </w:rPr>
        <w:t>定</w:t>
      </w:r>
      <w:r>
        <w:rPr>
          <w:rFonts w:hint="default"/>
          <w:b/>
          <w:bCs/>
          <w:highlight w:val="none"/>
        </w:rPr>
        <w:t>。</w:t>
      </w:r>
      <w:r>
        <w:rPr>
          <w:rFonts w:hint="eastAsia"/>
          <w:highlight w:val="none"/>
        </w:rPr>
        <w:t>鼓励企业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机构</w:t>
      </w:r>
      <w:r>
        <w:rPr>
          <w:rFonts w:hint="eastAsia"/>
          <w:highlight w:val="none"/>
          <w:lang w:val="en-US" w:eastAsia="zh-CN"/>
        </w:rPr>
        <w:t>和社会组织</w:t>
      </w:r>
      <w:r>
        <w:rPr>
          <w:rFonts w:hint="eastAsia"/>
          <w:highlight w:val="none"/>
        </w:rPr>
        <w:t>积极开展技术、测试和检测等标准制修订，</w:t>
      </w:r>
      <w:r>
        <w:rPr>
          <w:rFonts w:hint="eastAsia"/>
          <w:highlight w:val="none"/>
          <w:lang w:val="en-US" w:eastAsia="zh-CN"/>
        </w:rPr>
        <w:t>对主导或者参与制订并</w:t>
      </w:r>
      <w:r>
        <w:rPr>
          <w:rFonts w:hint="eastAsia"/>
          <w:highlight w:val="none"/>
        </w:rPr>
        <w:t>获得发布的国际标准、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国家标准、行业标准</w:t>
      </w:r>
      <w:r>
        <w:rPr>
          <w:rFonts w:hint="eastAsia"/>
          <w:highlight w:val="none"/>
        </w:rPr>
        <w:t>的企业，</w:t>
      </w:r>
      <w:r>
        <w:rPr>
          <w:rFonts w:hint="eastAsia"/>
          <w:highlight w:val="none"/>
          <w:lang w:val="en-US" w:eastAsia="zh-CN"/>
        </w:rPr>
        <w:t>根据参与情况</w:t>
      </w:r>
      <w:r>
        <w:rPr>
          <w:rFonts w:hint="eastAsia"/>
          <w:highlight w:val="none"/>
          <w:lang w:eastAsia="zh-CN"/>
        </w:rPr>
        <w:t>予以</w:t>
      </w:r>
      <w:r>
        <w:rPr>
          <w:rFonts w:hint="eastAsia"/>
          <w:highlight w:val="none"/>
        </w:rPr>
        <w:t>最高</w:t>
      </w:r>
      <w:r>
        <w:rPr>
          <w:rFonts w:hint="eastAsia"/>
          <w:highlight w:val="none"/>
          <w:lang w:val="en-US" w:eastAsia="zh-CN"/>
        </w:rPr>
        <w:t>不超过1</w:t>
      </w:r>
      <w:r>
        <w:rPr>
          <w:rFonts w:hint="eastAsia"/>
          <w:highlight w:val="none"/>
        </w:rPr>
        <w:t>00万元资金支持。</w:t>
      </w:r>
    </w:p>
    <w:p>
      <w:pPr>
        <w:numPr>
          <w:ilvl w:val="0"/>
          <w:numId w:val="0"/>
        </w:numPr>
        <w:overflowPunct w:val="0"/>
        <w:spacing w:line="560" w:lineRule="exact"/>
        <w:ind w:firstLine="642" w:firstLineChars="200"/>
        <w:rPr>
          <w:rFonts w:hint="eastAsia"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十四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 w:ascii="Times New Roman" w:hAnsi="Times New Roman"/>
          <w:b/>
          <w:bCs/>
          <w:highlight w:val="none"/>
        </w:rPr>
        <w:t>加强行业交流</w:t>
      </w: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合作</w:t>
      </w:r>
      <w:r>
        <w:rPr>
          <w:rFonts w:hint="eastAsia" w:ascii="Times New Roman" w:hAnsi="Times New Roman"/>
          <w:b/>
          <w:bCs/>
          <w:highlight w:val="none"/>
        </w:rPr>
        <w:t>。</w:t>
      </w:r>
      <w:r>
        <w:rPr>
          <w:rFonts w:hint="eastAsia" w:ascii="Times New Roman" w:hAnsi="Times New Roman"/>
          <w:b w:val="0"/>
          <w:bCs w:val="0"/>
          <w:highlight w:val="none"/>
          <w:lang w:val="en-US" w:eastAsia="zh-CN"/>
        </w:rPr>
        <w:t>促进</w:t>
      </w:r>
      <w:r>
        <w:rPr>
          <w:rFonts w:hint="eastAsia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智能网联汽车产业联盟和行业协会发展，强化产业上下游联系</w:t>
      </w:r>
      <w:r>
        <w:rPr>
          <w:rFonts w:hint="eastAsia"/>
          <w:b w:val="0"/>
          <w:bCs w:val="0"/>
          <w:color w:val="auto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Cs w:val="32"/>
          <w:lang w:eastAsia="zh-CN"/>
        </w:rPr>
        <w:t>按项目择优</w:t>
      </w:r>
      <w:r>
        <w:rPr>
          <w:rFonts w:hint="eastAsia"/>
          <w:highlight w:val="none"/>
          <w:lang w:eastAsia="zh-CN"/>
        </w:rPr>
        <w:t>予以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Cs w:val="32"/>
          <w:lang w:eastAsia="zh-CN"/>
        </w:rPr>
        <w:t>最高</w:t>
      </w:r>
      <w:r>
        <w:rPr>
          <w:rFonts w:hint="eastAsia" w:cs="仿宋_GB2312"/>
          <w:b w:val="0"/>
          <w:bCs w:val="0"/>
          <w:spacing w:val="0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Cs w:val="32"/>
          <w:lang w:val="en-US" w:eastAsia="zh-CN"/>
        </w:rPr>
        <w:t>500万元资助</w:t>
      </w:r>
      <w:r>
        <w:rPr>
          <w:rFonts w:hint="eastAsia"/>
          <w:b w:val="0"/>
          <w:bCs w:val="0"/>
          <w:color w:val="auto"/>
          <w:highlight w:val="none"/>
          <w:shd w:val="clear" w:color="auto" w:fill="auto"/>
          <w:lang w:eastAsia="zh-CN"/>
        </w:rPr>
        <w:t>。</w:t>
      </w:r>
      <w:r>
        <w:rPr>
          <w:rFonts w:hint="eastAsia"/>
          <w:b w:val="0"/>
          <w:bCs w:val="0"/>
          <w:color w:val="auto"/>
          <w:highlight w:val="none"/>
          <w:shd w:val="clear" w:color="auto" w:fill="auto"/>
          <w:lang w:val="en-US" w:eastAsia="zh-CN"/>
        </w:rPr>
        <w:t>加强</w:t>
      </w:r>
      <w:r>
        <w:rPr>
          <w:rFonts w:hint="eastAsia" w:cs="仿宋_GB2312"/>
          <w:highlight w:val="none"/>
        </w:rPr>
        <w:t>与国内外行业组织、领先企业开展交流合作，搭建高水平的产业合作交流平台，对举办展会、高端论坛等具有国际影响力和行业带动力的活动，</w:t>
      </w:r>
      <w:r>
        <w:rPr>
          <w:rFonts w:hint="eastAsia"/>
          <w:highlight w:val="none"/>
          <w:lang w:eastAsia="zh-CN"/>
        </w:rPr>
        <w:t>予以</w:t>
      </w:r>
      <w:r>
        <w:rPr>
          <w:rFonts w:hint="eastAsia" w:cs="仿宋_GB2312"/>
          <w:highlight w:val="none"/>
        </w:rPr>
        <w:t>最高</w:t>
      </w:r>
      <w:r>
        <w:rPr>
          <w:rFonts w:hint="eastAsia" w:cs="仿宋_GB2312"/>
          <w:highlight w:val="none"/>
          <w:lang w:val="en-US" w:eastAsia="zh-CN"/>
        </w:rPr>
        <w:t>不超过</w:t>
      </w:r>
      <w:r>
        <w:rPr>
          <w:rFonts w:hint="eastAsia" w:cs="仿宋_GB2312"/>
          <w:highlight w:val="none"/>
        </w:rPr>
        <w:t>300万元资金支持。</w:t>
      </w:r>
    </w:p>
    <w:p>
      <w:pPr>
        <w:numPr>
          <w:ilvl w:val="0"/>
          <w:numId w:val="0"/>
        </w:numPr>
        <w:overflowPunct w:val="0"/>
        <w:spacing w:line="560" w:lineRule="exact"/>
        <w:ind w:firstLine="642" w:firstLineChars="200"/>
        <w:rPr>
          <w:rFonts w:ascii="Times New Roman" w:hAnsi="Times New Roman"/>
          <w:b/>
          <w:bCs/>
          <w:highlight w:val="yellow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十五</w:t>
      </w:r>
      <w:r>
        <w:rPr>
          <w:rFonts w:hint="eastAsia"/>
          <w:b/>
          <w:bCs/>
          <w:highlight w:val="none"/>
          <w:lang w:eastAsia="zh-CN"/>
        </w:rPr>
        <w:t>）</w:t>
      </w:r>
      <w:r>
        <w:rPr>
          <w:rFonts w:hint="eastAsia" w:ascii="Times New Roman" w:hAnsi="Times New Roman"/>
          <w:b/>
          <w:bCs/>
          <w:highlight w:val="none"/>
        </w:rPr>
        <w:t>加大人才引育</w:t>
      </w: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力度</w:t>
      </w:r>
      <w:r>
        <w:rPr>
          <w:rFonts w:hint="eastAsia" w:ascii="Times New Roman" w:hAnsi="Times New Roman"/>
          <w:b/>
          <w:bCs/>
          <w:highlight w:val="none"/>
        </w:rPr>
        <w:t>。</w:t>
      </w:r>
      <w:r>
        <w:rPr>
          <w:rFonts w:hint="eastAsia" w:ascii="仿宋_GB2312" w:hAnsi="仿宋_GB2312" w:cs="仿宋_GB2312"/>
          <w:highlight w:val="none"/>
        </w:rPr>
        <w:t>支持企业、高校、科研单位引入国内外智能网联汽车领域顶尖人才和团队</w:t>
      </w:r>
      <w:r>
        <w:rPr>
          <w:rFonts w:hint="eastAsia" w:cs="仿宋_GB2312"/>
          <w:highlight w:val="none"/>
        </w:rPr>
        <w:t>，</w:t>
      </w:r>
      <w:r>
        <w:rPr>
          <w:rFonts w:hint="eastAsia" w:cs="仿宋_GB2312"/>
          <w:highlight w:val="none"/>
          <w:lang w:val="en-US" w:eastAsia="zh-CN"/>
        </w:rPr>
        <w:t>按现有人才政策予以</w:t>
      </w:r>
      <w:r>
        <w:rPr>
          <w:rFonts w:hint="eastAsia" w:ascii="仿宋_GB2312" w:hAnsi="仿宋_GB2312" w:cs="仿宋_GB2312"/>
          <w:highlight w:val="none"/>
          <w:lang w:val="en-US" w:eastAsia="zh-CN"/>
        </w:rPr>
        <w:t>支持</w:t>
      </w:r>
      <w:r>
        <w:rPr>
          <w:rFonts w:hint="eastAsia" w:ascii="仿宋_GB2312" w:hAnsi="仿宋_GB2312" w:cs="仿宋_GB2312"/>
          <w:highlight w:val="none"/>
          <w:lang w:eastAsia="zh-CN"/>
        </w:rPr>
        <w:t>。支持设立智能网联汽车博士后科研工作</w:t>
      </w:r>
      <w:r>
        <w:rPr>
          <w:rFonts w:hint="eastAsia" w:cs="仿宋_GB2312"/>
          <w:highlight w:val="none"/>
          <w:lang w:val="en-US" w:eastAsia="zh-CN"/>
        </w:rPr>
        <w:t>站</w:t>
      </w:r>
      <w:r>
        <w:rPr>
          <w:rFonts w:hint="eastAsia" w:ascii="仿宋_GB2312" w:hAnsi="仿宋_GB2312" w:cs="仿宋_GB2312"/>
          <w:highlight w:val="none"/>
          <w:lang w:eastAsia="zh-CN"/>
        </w:rPr>
        <w:t>、博士后创新实践基地、校企合作人才培养基地等平台。</w:t>
      </w:r>
      <w:r>
        <w:rPr>
          <w:rFonts w:hint="eastAsia" w:ascii="仿宋_GB2312" w:hAnsi="仿宋_GB2312" w:cs="仿宋_GB2312"/>
          <w:highlight w:val="none"/>
          <w:lang w:val="en-US" w:eastAsia="zh-CN"/>
        </w:rPr>
        <w:t>鼓励有条件的</w:t>
      </w:r>
      <w:r>
        <w:rPr>
          <w:rFonts w:hint="eastAsia" w:cs="仿宋_GB2312"/>
          <w:highlight w:val="none"/>
          <w:lang w:val="en-US" w:eastAsia="zh-CN"/>
        </w:rPr>
        <w:t>企业与高校等</w:t>
      </w:r>
      <w:r>
        <w:rPr>
          <w:rFonts w:hint="eastAsia" w:ascii="仿宋_GB2312" w:hAnsi="仿宋_GB2312" w:cs="仿宋_GB2312"/>
          <w:highlight w:val="none"/>
          <w:lang w:val="en-US" w:eastAsia="zh-CN"/>
        </w:rPr>
        <w:t>共建高技能</w:t>
      </w:r>
      <w:r>
        <w:rPr>
          <w:rFonts w:hint="eastAsia" w:cs="仿宋_GB231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highlight w:val="none"/>
          <w:lang w:val="en-US" w:eastAsia="zh-CN"/>
        </w:rPr>
        <w:t>跨学科复合型人才培训基地，</w:t>
      </w:r>
      <w:r>
        <w:rPr>
          <w:rFonts w:hint="eastAsia" w:cs="仿宋_GB2312"/>
          <w:highlight w:val="none"/>
          <w:lang w:val="en-US" w:eastAsia="zh-CN"/>
        </w:rPr>
        <w:t>支持经认定的人才培训基地开展相关培训活动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overflowPunct w:val="0"/>
        <w:spacing w:line="560" w:lineRule="exact"/>
        <w:ind w:firstLine="642" w:firstLineChars="200"/>
        <w:rPr>
          <w:rFonts w:hint="eastAsia" w:ascii="楷体_GB2312" w:hAnsi="楷体_GB2312" w:eastAsia="楷体_GB2312" w:cs="楷体_GB2312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eastAsia="zh-CN"/>
        </w:rPr>
        <w:t>（</w:t>
      </w:r>
      <w:r>
        <w:rPr>
          <w:rFonts w:hint="eastAsia"/>
          <w:b/>
          <w:bCs/>
          <w:highlight w:val="none"/>
          <w:lang w:val="en-US" w:eastAsia="zh-CN"/>
        </w:rPr>
        <w:t>十六</w:t>
      </w:r>
      <w:r>
        <w:rPr>
          <w:rFonts w:hint="eastAsia"/>
          <w:b/>
          <w:bCs/>
          <w:highlight w:val="none"/>
          <w:lang w:eastAsia="zh-CN"/>
        </w:rPr>
        <w:t>）</w:t>
      </w:r>
      <w:bookmarkStart w:id="7" w:name="OLE_LINK3"/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强化金融服务支撑</w:t>
      </w:r>
      <w:bookmarkEnd w:id="7"/>
      <w:r>
        <w:rPr>
          <w:rFonts w:hint="eastAsia" w:ascii="Times New Roman" w:hAnsi="Times New Roman"/>
          <w:b/>
          <w:bCs/>
          <w:highlight w:val="none"/>
        </w:rPr>
        <w:t>。</w:t>
      </w:r>
      <w:r>
        <w:rPr>
          <w:rFonts w:hint="eastAsia" w:cs="仿宋_GB2312"/>
          <w:highlight w:val="none"/>
          <w:lang w:val="en-US" w:eastAsia="zh-CN"/>
        </w:rPr>
        <w:t>发挥财政资金引导作用，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积极吸引龙头企业、产业投资基金和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</w:t>
      </w:r>
      <w:r>
        <w:rPr>
          <w:rFonts w:hint="eastAsia" w:cs="仿宋_GB2312"/>
          <w:sz w:val="32"/>
          <w:szCs w:val="32"/>
          <w:highlight w:val="none"/>
          <w:lang w:eastAsia="zh-CN"/>
        </w:rPr>
        <w:t>，推动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设立</w:t>
      </w:r>
      <w:r>
        <w:rPr>
          <w:rFonts w:hint="eastAsia" w:ascii="仿宋_GB2312" w:hAnsi="仿宋_GB2312" w:cs="仿宋_GB2312"/>
          <w:highlight w:val="none"/>
          <w:lang w:val="en-US" w:eastAsia="zh-CN"/>
        </w:rPr>
        <w:t>智能网联汽车产业基金</w:t>
      </w:r>
      <w:r>
        <w:rPr>
          <w:rFonts w:hint="eastAsia" w:cs="仿宋_GB2312"/>
          <w:highlight w:val="none"/>
          <w:lang w:val="en-US" w:eastAsia="zh-CN"/>
        </w:rPr>
        <w:t>，重点支持落地我市的智能网联汽车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优质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企业和项目，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建立</w:t>
      </w:r>
      <w:r>
        <w:rPr>
          <w:rFonts w:hint="eastAsia" w:cs="仿宋_GB2312"/>
          <w:highlight w:val="none"/>
          <w:lang w:val="en-US" w:eastAsia="zh-CN"/>
        </w:rPr>
        <w:t>健全</w:t>
      </w:r>
      <w:r>
        <w:rPr>
          <w:rFonts w:hint="eastAsia" w:ascii="仿宋_GB2312" w:hAnsi="仿宋_GB2312" w:cs="仿宋_GB2312"/>
          <w:highlight w:val="none"/>
          <w:lang w:val="en-US" w:eastAsia="zh-CN"/>
        </w:rPr>
        <w:t>覆盖全链条的</w:t>
      </w:r>
      <w:r>
        <w:rPr>
          <w:rFonts w:hint="eastAsia" w:cs="仿宋_GB2312"/>
          <w:highlight w:val="none"/>
          <w:lang w:val="en-US" w:eastAsia="zh-CN"/>
        </w:rPr>
        <w:t>金融支撑</w:t>
      </w:r>
      <w:r>
        <w:rPr>
          <w:rFonts w:hint="eastAsia" w:ascii="仿宋_GB2312" w:hAnsi="仿宋_GB2312" w:cs="仿宋_GB2312"/>
          <w:highlight w:val="none"/>
          <w:lang w:val="en-US" w:eastAsia="zh-CN"/>
        </w:rPr>
        <w:t>体系</w:t>
      </w:r>
      <w:r>
        <w:rPr>
          <w:rFonts w:hint="eastAsia" w:cs="仿宋_GB2312"/>
          <w:highlight w:val="none"/>
          <w:lang w:val="en-US" w:eastAsia="zh-CN"/>
        </w:rPr>
        <w:t>。</w:t>
      </w:r>
      <w:bookmarkStart w:id="8" w:name="OLE_LINK10"/>
      <w:bookmarkStart w:id="9" w:name="OLE_LINK4"/>
      <w:r>
        <w:rPr>
          <w:rFonts w:hint="eastAsia" w:cs="仿宋_GB2312"/>
          <w:highlight w:val="none"/>
        </w:rPr>
        <w:t>鼓励保险企业开发覆盖智能网联汽车产品全链条风险的保险产品</w:t>
      </w:r>
      <w:r>
        <w:rPr>
          <w:rFonts w:hint="eastAsia" w:cs="仿宋_GB2312"/>
          <w:highlight w:val="none"/>
          <w:lang w:eastAsia="zh-CN"/>
        </w:rPr>
        <w:t>，</w:t>
      </w:r>
      <w:r>
        <w:rPr>
          <w:rFonts w:hint="eastAsia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优化智能网联汽车</w:t>
      </w:r>
      <w:r>
        <w:rPr>
          <w:rFonts w:hint="eastAsia" w:cs="仿宋_GB2312"/>
          <w:highlight w:val="none"/>
        </w:rPr>
        <w:t>商业</w:t>
      </w:r>
      <w:r>
        <w:rPr>
          <w:rFonts w:hint="eastAsia" w:cs="仿宋_GB2312"/>
          <w:highlight w:val="none"/>
          <w:lang w:val="en-US" w:eastAsia="zh-CN"/>
        </w:rPr>
        <w:t>保险</w:t>
      </w:r>
      <w:r>
        <w:rPr>
          <w:rFonts w:hint="eastAsia" w:cs="仿宋_GB2312"/>
          <w:highlight w:val="none"/>
        </w:rPr>
        <w:t>保障服务</w:t>
      </w:r>
      <w:bookmarkEnd w:id="8"/>
      <w:r>
        <w:rPr>
          <w:rFonts w:hint="eastAsia" w:cs="仿宋_GB2312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。</w:t>
      </w:r>
      <w:bookmarkEnd w:id="9"/>
    </w:p>
    <w:p>
      <w:pPr>
        <w:overflowPunct w:val="0"/>
        <w:spacing w:line="560" w:lineRule="exact"/>
        <w:ind w:firstLine="640" w:firstLineChars="200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五</w:t>
      </w:r>
      <w:r>
        <w:rPr>
          <w:rFonts w:hint="eastAsia" w:ascii="黑体" w:hAnsi="黑体" w:eastAsia="黑体"/>
        </w:rPr>
        <w:t>、附则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KBCDEE+FZFSK--GBK1-0" w:eastAsia="仿宋_GB2312"/>
          <w:sz w:val="32"/>
          <w:szCs w:val="32"/>
        </w:rPr>
      </w:pPr>
      <w:r>
        <w:rPr>
          <w:rFonts w:hint="eastAsia" w:hAnsi="KBCDEE+FZFSK--GBK1-0" w:cs="宋体"/>
          <w:kern w:val="0"/>
          <w:sz w:val="32"/>
          <w:szCs w:val="32"/>
          <w:lang w:val="en-US" w:eastAsia="zh-CN"/>
        </w:rPr>
        <w:t>本措施由市发展和改革委员会负责解释。</w:t>
      </w:r>
      <w:r>
        <w:rPr>
          <w:rFonts w:hint="eastAsia" w:hAnsi="KBCDEE+FZFSK--GBK1-0" w:cs="宋体"/>
          <w:kern w:val="0"/>
          <w:sz w:val="32"/>
          <w:szCs w:val="32"/>
          <w:lang w:eastAsia="zh-CN"/>
        </w:rPr>
        <w:t>鼓励</w:t>
      </w:r>
      <w:r>
        <w:rPr>
          <w:rFonts w:hint="eastAsia" w:ascii="仿宋_GB2312" w:hAnsi="KBCDEE+FZFSK--GBK1-0" w:eastAsia="仿宋_GB2312" w:cs="宋体"/>
          <w:kern w:val="0"/>
          <w:sz w:val="32"/>
          <w:szCs w:val="32"/>
        </w:rPr>
        <w:t>各区、各产业园区根据</w:t>
      </w:r>
      <w:r>
        <w:rPr>
          <w:rFonts w:hint="eastAsia" w:hAnsi="KBCDEE+FZFSK--GBK1-0" w:cs="宋体"/>
          <w:kern w:val="0"/>
          <w:sz w:val="32"/>
          <w:szCs w:val="32"/>
          <w:lang w:val="en-US" w:eastAsia="zh-CN"/>
        </w:rPr>
        <w:t>各自</w:t>
      </w:r>
      <w:r>
        <w:rPr>
          <w:rFonts w:hint="eastAsia" w:ascii="仿宋_GB2312" w:hAnsi="KBCDEE+FZFSK--GBK1-0" w:eastAsia="仿宋_GB2312" w:cs="宋体"/>
          <w:kern w:val="0"/>
          <w:sz w:val="32"/>
          <w:szCs w:val="32"/>
        </w:rPr>
        <w:t>产业规划布局</w:t>
      </w:r>
      <w:r>
        <w:rPr>
          <w:rFonts w:hint="eastAsia" w:hAnsi="KBCDEE+FZFSK--GBK1-0" w:cs="宋体"/>
          <w:kern w:val="0"/>
          <w:sz w:val="32"/>
          <w:szCs w:val="32"/>
          <w:lang w:val="en-US" w:eastAsia="zh-CN"/>
        </w:rPr>
        <w:t>特点独立</w:t>
      </w:r>
      <w:r>
        <w:rPr>
          <w:rFonts w:hint="eastAsia" w:ascii="仿宋_GB2312" w:hAnsi="KBCDEE+FZFSK--GBK1-0" w:eastAsia="仿宋_GB2312" w:cs="宋体"/>
          <w:kern w:val="0"/>
          <w:sz w:val="32"/>
          <w:szCs w:val="32"/>
        </w:rPr>
        <w:t>制定补充配套措施。本措施与本</w:t>
      </w:r>
      <w:r>
        <w:rPr>
          <w:rFonts w:hint="eastAsia" w:ascii="仿宋_GB2312" w:hAnsi="KBCDEE+FZFSK--GBK1-0" w:eastAsia="仿宋_GB2312"/>
          <w:sz w:val="32"/>
          <w:szCs w:val="32"/>
        </w:rPr>
        <w:t>市其他同类优惠措施，由企业按照就高不就低的原则自主选择申报，不重复资助。</w:t>
      </w:r>
    </w:p>
    <w:p>
      <w:pPr>
        <w:overflowPunct w:val="0"/>
        <w:spacing w:line="560" w:lineRule="exact"/>
        <w:ind w:firstLine="640" w:firstLineChars="200"/>
        <w:rPr>
          <w:rFonts w:hint="eastAsia" w:hAnsi="KBCDEE+FZFSK--GBK1-0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KBCDEE+FZFSK--GBK1-0" w:eastAsia="仿宋_GB2312" w:cs="宋体"/>
          <w:kern w:val="0"/>
          <w:sz w:val="32"/>
          <w:szCs w:val="32"/>
        </w:rPr>
        <w:t>本措施自</w:t>
      </w:r>
      <w:r>
        <w:rPr>
          <w:rFonts w:hint="eastAsia" w:ascii="仿宋_GB2312" w:hAnsi="KBCDEE+FZFSK--GBK1-0" w:eastAsia="仿宋_GB2312" w:cs="宋体"/>
          <w:kern w:val="0"/>
          <w:sz w:val="32"/>
          <w:szCs w:val="32"/>
          <w:highlight w:val="yellow"/>
        </w:rPr>
        <w:t>2022年X月X日起生效</w:t>
      </w:r>
      <w:r>
        <w:rPr>
          <w:rFonts w:hint="eastAsia" w:ascii="仿宋_GB2312" w:hAnsi="KBCDEE+FZFSK--GBK1-0" w:eastAsia="仿宋_GB2312" w:cs="宋体"/>
          <w:kern w:val="0"/>
          <w:sz w:val="32"/>
          <w:szCs w:val="32"/>
        </w:rPr>
        <w:t>，有效期5年</w:t>
      </w:r>
      <w:r>
        <w:rPr>
          <w:rFonts w:hint="eastAsia" w:hAnsi="KBCDEE+FZFSK--GBK1-0" w:cs="宋体"/>
          <w:kern w:val="0"/>
          <w:sz w:val="32"/>
          <w:szCs w:val="32"/>
          <w:lang w:val="en-US" w:eastAsia="zh-CN"/>
        </w:rPr>
        <w:t>，《深圳市关于支持智能网联汽车发展的若干措施》（深发改〔2020〕297号）废止。</w:t>
      </w:r>
    </w:p>
    <w:p/>
    <w:sectPr>
      <w:footerReference r:id="rId3" w:type="default"/>
      <w:pgSz w:w="11906" w:h="16838"/>
      <w:pgMar w:top="1440" w:right="1800" w:bottom="1440" w:left="1800" w:header="851" w:footer="737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altName w:val="URW Book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KBCDEE+FZFSK--GBK1-0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6C929"/>
    <w:multiLevelType w:val="singleLevel"/>
    <w:tmpl w:val="C9E6C9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false"/>
  <w:bordersDoNotSurroundFooter w:val="false"/>
  <w:trackRevisions w:val="true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zM2OTkwNDViMmYwY2ZiZGIyMzkzZDUzNTdlMmUifQ=="/>
  </w:docVars>
  <w:rsids>
    <w:rsidRoot w:val="00DC014A"/>
    <w:rsid w:val="002E0B39"/>
    <w:rsid w:val="00343083"/>
    <w:rsid w:val="003752C8"/>
    <w:rsid w:val="004A0F0A"/>
    <w:rsid w:val="005326D1"/>
    <w:rsid w:val="007C34AA"/>
    <w:rsid w:val="00CD6953"/>
    <w:rsid w:val="00D31559"/>
    <w:rsid w:val="00DC014A"/>
    <w:rsid w:val="00DD42E4"/>
    <w:rsid w:val="00EA7064"/>
    <w:rsid w:val="01191349"/>
    <w:rsid w:val="0154126C"/>
    <w:rsid w:val="01D92D9F"/>
    <w:rsid w:val="02041D7E"/>
    <w:rsid w:val="0252111F"/>
    <w:rsid w:val="02A36C44"/>
    <w:rsid w:val="038F541B"/>
    <w:rsid w:val="03CA6F85"/>
    <w:rsid w:val="03F71B90"/>
    <w:rsid w:val="04253630"/>
    <w:rsid w:val="054A333E"/>
    <w:rsid w:val="055A328F"/>
    <w:rsid w:val="062228A8"/>
    <w:rsid w:val="06232AE1"/>
    <w:rsid w:val="072F799E"/>
    <w:rsid w:val="07465DF0"/>
    <w:rsid w:val="07691ADF"/>
    <w:rsid w:val="07905DD1"/>
    <w:rsid w:val="07AD5E6F"/>
    <w:rsid w:val="083422DF"/>
    <w:rsid w:val="08FB4BF9"/>
    <w:rsid w:val="09271218"/>
    <w:rsid w:val="09630EDC"/>
    <w:rsid w:val="09B94F9F"/>
    <w:rsid w:val="0A536CF8"/>
    <w:rsid w:val="0B77774B"/>
    <w:rsid w:val="0BAB0918"/>
    <w:rsid w:val="0BEA7692"/>
    <w:rsid w:val="0C9C1749"/>
    <w:rsid w:val="0C9F0ADE"/>
    <w:rsid w:val="0CD033E6"/>
    <w:rsid w:val="0CD969C9"/>
    <w:rsid w:val="0E12576F"/>
    <w:rsid w:val="0E22633F"/>
    <w:rsid w:val="0E455054"/>
    <w:rsid w:val="0EF67D00"/>
    <w:rsid w:val="0F040A6B"/>
    <w:rsid w:val="0FBF1FB4"/>
    <w:rsid w:val="11160F29"/>
    <w:rsid w:val="11523511"/>
    <w:rsid w:val="11586462"/>
    <w:rsid w:val="12266F4A"/>
    <w:rsid w:val="130A183D"/>
    <w:rsid w:val="134D16F7"/>
    <w:rsid w:val="13FE520D"/>
    <w:rsid w:val="14021C6C"/>
    <w:rsid w:val="142C562E"/>
    <w:rsid w:val="143C4803"/>
    <w:rsid w:val="14812936"/>
    <w:rsid w:val="14BD73C7"/>
    <w:rsid w:val="14DE5E10"/>
    <w:rsid w:val="154C2A31"/>
    <w:rsid w:val="15520E4E"/>
    <w:rsid w:val="16090A11"/>
    <w:rsid w:val="160D6DC3"/>
    <w:rsid w:val="163C2ED4"/>
    <w:rsid w:val="167659D6"/>
    <w:rsid w:val="174A0FBA"/>
    <w:rsid w:val="17BF214B"/>
    <w:rsid w:val="181A12FF"/>
    <w:rsid w:val="18360DD0"/>
    <w:rsid w:val="186F6126"/>
    <w:rsid w:val="18E7195A"/>
    <w:rsid w:val="18F66F2C"/>
    <w:rsid w:val="191A76E7"/>
    <w:rsid w:val="193843DE"/>
    <w:rsid w:val="19C21A17"/>
    <w:rsid w:val="19E16A10"/>
    <w:rsid w:val="19EB59E5"/>
    <w:rsid w:val="19F027C3"/>
    <w:rsid w:val="1A0E4950"/>
    <w:rsid w:val="1A4B4E10"/>
    <w:rsid w:val="1A4F7B1A"/>
    <w:rsid w:val="1AAC0209"/>
    <w:rsid w:val="1AEF1DDC"/>
    <w:rsid w:val="1AFB664C"/>
    <w:rsid w:val="1B6D40A3"/>
    <w:rsid w:val="1B8B0824"/>
    <w:rsid w:val="1BA7326B"/>
    <w:rsid w:val="1C2E35CB"/>
    <w:rsid w:val="1C32252B"/>
    <w:rsid w:val="1C4C57FF"/>
    <w:rsid w:val="1C7B4A90"/>
    <w:rsid w:val="1CE27F12"/>
    <w:rsid w:val="1D4607AD"/>
    <w:rsid w:val="1D8A2434"/>
    <w:rsid w:val="1DEFEDB3"/>
    <w:rsid w:val="1E3E5BD7"/>
    <w:rsid w:val="1E863289"/>
    <w:rsid w:val="1F720A7A"/>
    <w:rsid w:val="1FA976C2"/>
    <w:rsid w:val="1FCD2416"/>
    <w:rsid w:val="20645F18"/>
    <w:rsid w:val="20C5105A"/>
    <w:rsid w:val="20C55ABD"/>
    <w:rsid w:val="2101522C"/>
    <w:rsid w:val="2138504E"/>
    <w:rsid w:val="21BA320B"/>
    <w:rsid w:val="2235722B"/>
    <w:rsid w:val="228323A4"/>
    <w:rsid w:val="22873169"/>
    <w:rsid w:val="228A52D3"/>
    <w:rsid w:val="23193BF4"/>
    <w:rsid w:val="232742CA"/>
    <w:rsid w:val="23AF570F"/>
    <w:rsid w:val="23C2760E"/>
    <w:rsid w:val="243957E6"/>
    <w:rsid w:val="243D5357"/>
    <w:rsid w:val="24905CA6"/>
    <w:rsid w:val="25290F56"/>
    <w:rsid w:val="252E77CB"/>
    <w:rsid w:val="25421E95"/>
    <w:rsid w:val="25613EAC"/>
    <w:rsid w:val="25D650E0"/>
    <w:rsid w:val="25D83D39"/>
    <w:rsid w:val="25D95AFA"/>
    <w:rsid w:val="27650FDE"/>
    <w:rsid w:val="2781369A"/>
    <w:rsid w:val="27C660DC"/>
    <w:rsid w:val="27D04EBB"/>
    <w:rsid w:val="28793409"/>
    <w:rsid w:val="28B70817"/>
    <w:rsid w:val="28BC2D42"/>
    <w:rsid w:val="29B81C08"/>
    <w:rsid w:val="2A833231"/>
    <w:rsid w:val="2B1D33CF"/>
    <w:rsid w:val="2B45623B"/>
    <w:rsid w:val="2C1716B5"/>
    <w:rsid w:val="2C371539"/>
    <w:rsid w:val="2C5F157F"/>
    <w:rsid w:val="2C6426F1"/>
    <w:rsid w:val="2D374AF2"/>
    <w:rsid w:val="2D4D3D15"/>
    <w:rsid w:val="2D4D587B"/>
    <w:rsid w:val="2DCD0CA2"/>
    <w:rsid w:val="2EAE750F"/>
    <w:rsid w:val="2EB7159D"/>
    <w:rsid w:val="2EBB6DB8"/>
    <w:rsid w:val="2F120B2A"/>
    <w:rsid w:val="2FB61070"/>
    <w:rsid w:val="2FFC1E00"/>
    <w:rsid w:val="305303BD"/>
    <w:rsid w:val="31486336"/>
    <w:rsid w:val="31A524AA"/>
    <w:rsid w:val="31D27B21"/>
    <w:rsid w:val="32213CBD"/>
    <w:rsid w:val="328533C1"/>
    <w:rsid w:val="32BC18C2"/>
    <w:rsid w:val="32E60A20"/>
    <w:rsid w:val="333454E6"/>
    <w:rsid w:val="333C0ACE"/>
    <w:rsid w:val="33A9714D"/>
    <w:rsid w:val="343479E4"/>
    <w:rsid w:val="355D1673"/>
    <w:rsid w:val="35D728D3"/>
    <w:rsid w:val="361951C0"/>
    <w:rsid w:val="36D026AB"/>
    <w:rsid w:val="374036BB"/>
    <w:rsid w:val="38907DD3"/>
    <w:rsid w:val="38AC2586"/>
    <w:rsid w:val="39121996"/>
    <w:rsid w:val="39736A2A"/>
    <w:rsid w:val="39A01D15"/>
    <w:rsid w:val="3A376DED"/>
    <w:rsid w:val="3A991BBE"/>
    <w:rsid w:val="3AE76AD1"/>
    <w:rsid w:val="3B2E60E2"/>
    <w:rsid w:val="3B8A0432"/>
    <w:rsid w:val="3BA57C6A"/>
    <w:rsid w:val="3C107791"/>
    <w:rsid w:val="3C6E22B3"/>
    <w:rsid w:val="3C941962"/>
    <w:rsid w:val="3CE55D65"/>
    <w:rsid w:val="3D084542"/>
    <w:rsid w:val="3D510A75"/>
    <w:rsid w:val="3D8F1760"/>
    <w:rsid w:val="3DAD1D09"/>
    <w:rsid w:val="3DEB5270"/>
    <w:rsid w:val="3E4821D0"/>
    <w:rsid w:val="3E4A5CBE"/>
    <w:rsid w:val="3EF945C3"/>
    <w:rsid w:val="3F1E2BD3"/>
    <w:rsid w:val="3FDFBA63"/>
    <w:rsid w:val="40106475"/>
    <w:rsid w:val="40615BDA"/>
    <w:rsid w:val="408A17A1"/>
    <w:rsid w:val="412070D7"/>
    <w:rsid w:val="413976AF"/>
    <w:rsid w:val="419E5CF9"/>
    <w:rsid w:val="41C21F3C"/>
    <w:rsid w:val="41CE6B33"/>
    <w:rsid w:val="422C52BE"/>
    <w:rsid w:val="42DA2462"/>
    <w:rsid w:val="43853221"/>
    <w:rsid w:val="43D47D05"/>
    <w:rsid w:val="43F7628D"/>
    <w:rsid w:val="44A71419"/>
    <w:rsid w:val="45F66658"/>
    <w:rsid w:val="466C3A46"/>
    <w:rsid w:val="468C0D6B"/>
    <w:rsid w:val="47554840"/>
    <w:rsid w:val="47BA09A2"/>
    <w:rsid w:val="48712F79"/>
    <w:rsid w:val="48896267"/>
    <w:rsid w:val="48C01C0D"/>
    <w:rsid w:val="491069A4"/>
    <w:rsid w:val="49301F41"/>
    <w:rsid w:val="4974366A"/>
    <w:rsid w:val="49C90BAD"/>
    <w:rsid w:val="4A2A68D0"/>
    <w:rsid w:val="4AEC6F9D"/>
    <w:rsid w:val="4B091B6A"/>
    <w:rsid w:val="4B2845C8"/>
    <w:rsid w:val="4B4E2A92"/>
    <w:rsid w:val="4B5A7881"/>
    <w:rsid w:val="4D2910C1"/>
    <w:rsid w:val="4E10402F"/>
    <w:rsid w:val="4E855D8B"/>
    <w:rsid w:val="4EBC1999"/>
    <w:rsid w:val="4EC6207A"/>
    <w:rsid w:val="4FCD042A"/>
    <w:rsid w:val="4FD26EBD"/>
    <w:rsid w:val="4FE556CC"/>
    <w:rsid w:val="4FEE214E"/>
    <w:rsid w:val="509E6843"/>
    <w:rsid w:val="50A04048"/>
    <w:rsid w:val="51156220"/>
    <w:rsid w:val="514D26BC"/>
    <w:rsid w:val="51E46EE6"/>
    <w:rsid w:val="5227636E"/>
    <w:rsid w:val="52550E45"/>
    <w:rsid w:val="529D5346"/>
    <w:rsid w:val="52C21DC2"/>
    <w:rsid w:val="535503F2"/>
    <w:rsid w:val="53861A88"/>
    <w:rsid w:val="539354E6"/>
    <w:rsid w:val="53C56EDD"/>
    <w:rsid w:val="53D05215"/>
    <w:rsid w:val="546B0211"/>
    <w:rsid w:val="54BE6276"/>
    <w:rsid w:val="5539656F"/>
    <w:rsid w:val="55783301"/>
    <w:rsid w:val="55C776C9"/>
    <w:rsid w:val="55D26A7A"/>
    <w:rsid w:val="55D57AC8"/>
    <w:rsid w:val="55F82A21"/>
    <w:rsid w:val="56431A60"/>
    <w:rsid w:val="56994DE8"/>
    <w:rsid w:val="56B676A3"/>
    <w:rsid w:val="57486922"/>
    <w:rsid w:val="578854E3"/>
    <w:rsid w:val="58870E5D"/>
    <w:rsid w:val="58D80D80"/>
    <w:rsid w:val="5AA65A66"/>
    <w:rsid w:val="5AC55B96"/>
    <w:rsid w:val="5BCF366A"/>
    <w:rsid w:val="5BD54254"/>
    <w:rsid w:val="5BE44B57"/>
    <w:rsid w:val="5DB669A1"/>
    <w:rsid w:val="5DED15CA"/>
    <w:rsid w:val="5DF078E3"/>
    <w:rsid w:val="5E0C1C5D"/>
    <w:rsid w:val="5F0915ED"/>
    <w:rsid w:val="5F2013BB"/>
    <w:rsid w:val="5F9C0663"/>
    <w:rsid w:val="5FC5111D"/>
    <w:rsid w:val="5FDF7509"/>
    <w:rsid w:val="6162069F"/>
    <w:rsid w:val="618D6BB5"/>
    <w:rsid w:val="619743F4"/>
    <w:rsid w:val="61CF0709"/>
    <w:rsid w:val="626746BB"/>
    <w:rsid w:val="626764BC"/>
    <w:rsid w:val="626B7A8A"/>
    <w:rsid w:val="631454E9"/>
    <w:rsid w:val="63995E7B"/>
    <w:rsid w:val="63F12212"/>
    <w:rsid w:val="645179B5"/>
    <w:rsid w:val="65611F37"/>
    <w:rsid w:val="656F43F3"/>
    <w:rsid w:val="65A20F5E"/>
    <w:rsid w:val="65C30511"/>
    <w:rsid w:val="65DD4355"/>
    <w:rsid w:val="66010543"/>
    <w:rsid w:val="66411264"/>
    <w:rsid w:val="667A3982"/>
    <w:rsid w:val="67184229"/>
    <w:rsid w:val="67442E01"/>
    <w:rsid w:val="67B900D9"/>
    <w:rsid w:val="67F85528"/>
    <w:rsid w:val="67FD45E9"/>
    <w:rsid w:val="688A4CB2"/>
    <w:rsid w:val="68A115E0"/>
    <w:rsid w:val="68C01409"/>
    <w:rsid w:val="6A3F17F0"/>
    <w:rsid w:val="6A9837FD"/>
    <w:rsid w:val="6AC3559C"/>
    <w:rsid w:val="6AEB402E"/>
    <w:rsid w:val="6B140E53"/>
    <w:rsid w:val="6B563571"/>
    <w:rsid w:val="6BCC4714"/>
    <w:rsid w:val="6C396E5A"/>
    <w:rsid w:val="6C48143E"/>
    <w:rsid w:val="6C9E3DC7"/>
    <w:rsid w:val="6CA16A6E"/>
    <w:rsid w:val="6CF65483"/>
    <w:rsid w:val="6CFC127E"/>
    <w:rsid w:val="6D2D5554"/>
    <w:rsid w:val="6D405719"/>
    <w:rsid w:val="6D5966A7"/>
    <w:rsid w:val="6DEE1BBD"/>
    <w:rsid w:val="6DEF5053"/>
    <w:rsid w:val="6E695D20"/>
    <w:rsid w:val="6E893795"/>
    <w:rsid w:val="6EFF5CCE"/>
    <w:rsid w:val="7009301E"/>
    <w:rsid w:val="70116AA5"/>
    <w:rsid w:val="711C2B67"/>
    <w:rsid w:val="71450349"/>
    <w:rsid w:val="71672240"/>
    <w:rsid w:val="71EF5BC0"/>
    <w:rsid w:val="72253999"/>
    <w:rsid w:val="72336AF1"/>
    <w:rsid w:val="725312F7"/>
    <w:rsid w:val="726C0ECA"/>
    <w:rsid w:val="72710B12"/>
    <w:rsid w:val="727260BA"/>
    <w:rsid w:val="72CB223B"/>
    <w:rsid w:val="72E95879"/>
    <w:rsid w:val="73390E6A"/>
    <w:rsid w:val="737E5413"/>
    <w:rsid w:val="73A67EBF"/>
    <w:rsid w:val="74C37339"/>
    <w:rsid w:val="74CD4286"/>
    <w:rsid w:val="74E25E76"/>
    <w:rsid w:val="750B34E4"/>
    <w:rsid w:val="757A65BB"/>
    <w:rsid w:val="75AF7716"/>
    <w:rsid w:val="75C27256"/>
    <w:rsid w:val="760B130D"/>
    <w:rsid w:val="768F4743"/>
    <w:rsid w:val="769949E7"/>
    <w:rsid w:val="771F4EC2"/>
    <w:rsid w:val="77456248"/>
    <w:rsid w:val="77B45654"/>
    <w:rsid w:val="77F966E1"/>
    <w:rsid w:val="77FE9EB0"/>
    <w:rsid w:val="7879264D"/>
    <w:rsid w:val="7896347E"/>
    <w:rsid w:val="789E0306"/>
    <w:rsid w:val="792275BE"/>
    <w:rsid w:val="7A3D3EBA"/>
    <w:rsid w:val="7A6714C0"/>
    <w:rsid w:val="7AF06245"/>
    <w:rsid w:val="7B755E4D"/>
    <w:rsid w:val="7BA556AD"/>
    <w:rsid w:val="7BFAD05B"/>
    <w:rsid w:val="7C003BCE"/>
    <w:rsid w:val="7C2F511B"/>
    <w:rsid w:val="7DD01020"/>
    <w:rsid w:val="7DD60465"/>
    <w:rsid w:val="7DF26667"/>
    <w:rsid w:val="7E391C0A"/>
    <w:rsid w:val="7E55068C"/>
    <w:rsid w:val="7E5A4546"/>
    <w:rsid w:val="7EC33EF7"/>
    <w:rsid w:val="7EFF9139"/>
    <w:rsid w:val="7F062F96"/>
    <w:rsid w:val="7F16276D"/>
    <w:rsid w:val="7F661CCA"/>
    <w:rsid w:val="7F7A8A70"/>
    <w:rsid w:val="7FB70471"/>
    <w:rsid w:val="7FDF08CE"/>
    <w:rsid w:val="87EBB45F"/>
    <w:rsid w:val="B9F69C7F"/>
    <w:rsid w:val="BFF3B51A"/>
    <w:rsid w:val="D1FED0DB"/>
    <w:rsid w:val="D8F793A3"/>
    <w:rsid w:val="DFDE8085"/>
    <w:rsid w:val="DFFF46D6"/>
    <w:rsid w:val="EF7EE3E2"/>
    <w:rsid w:val="F1DFE310"/>
    <w:rsid w:val="F767B644"/>
    <w:rsid w:val="FE7D9A5A"/>
    <w:rsid w:val="FF8D5130"/>
    <w:rsid w:val="FFBD54E9"/>
    <w:rsid w:val="FFBFF0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2">
    <w:name w:val="页脚 Char"/>
    <w:basedOn w:val="8"/>
    <w:link w:val="4"/>
    <w:qFormat/>
    <w:uiPriority w:val="99"/>
    <w:rPr>
      <w:rFonts w:ascii="仿宋_GB2312" w:hAnsi="仿宋_GB2312" w:eastAsia="仿宋_GB2312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仿宋_GB2312" w:hAnsi="仿宋_GB2312" w:eastAsia="仿宋_GB2312" w:cs="Times New Roman"/>
      <w:sz w:val="18"/>
      <w:szCs w:val="18"/>
    </w:rPr>
  </w:style>
  <w:style w:type="character" w:customStyle="1" w:styleId="14">
    <w:name w:val="calendar-head__prev-range-btn"/>
    <w:basedOn w:val="8"/>
    <w:qFormat/>
    <w:uiPriority w:val="0"/>
    <w:rPr>
      <w:vanish/>
    </w:rPr>
  </w:style>
  <w:style w:type="character" w:customStyle="1" w:styleId="15">
    <w:name w:val="hover"/>
    <w:basedOn w:val="8"/>
    <w:qFormat/>
    <w:uiPriority w:val="0"/>
    <w:rPr>
      <w:color w:val="2F6EA2"/>
    </w:rPr>
  </w:style>
  <w:style w:type="character" w:customStyle="1" w:styleId="16">
    <w:name w:val="calendar-head__text-display"/>
    <w:basedOn w:val="8"/>
    <w:qFormat/>
    <w:uiPriority w:val="0"/>
    <w:rPr>
      <w:vanish/>
    </w:rPr>
  </w:style>
  <w:style w:type="character" w:customStyle="1" w:styleId="17">
    <w:name w:val="active"/>
    <w:basedOn w:val="8"/>
    <w:qFormat/>
    <w:uiPriority w:val="0"/>
    <w:rPr>
      <w:color w:val="333333"/>
    </w:rPr>
  </w:style>
  <w:style w:type="character" w:customStyle="1" w:styleId="18">
    <w:name w:val="calendar-head__next-range-btn"/>
    <w:basedOn w:val="8"/>
    <w:qFormat/>
    <w:uiPriority w:val="0"/>
    <w:rPr>
      <w:vanish/>
    </w:rPr>
  </w:style>
  <w:style w:type="character" w:customStyle="1" w:styleId="19">
    <w:name w:val="calendar-head__next-year-btn"/>
    <w:basedOn w:val="8"/>
    <w:qFormat/>
    <w:uiPriority w:val="0"/>
  </w:style>
  <w:style w:type="character" w:customStyle="1" w:styleId="20">
    <w:name w:val="calendar-head__year-range"/>
    <w:basedOn w:val="8"/>
    <w:qFormat/>
    <w:uiPriority w:val="0"/>
    <w:rPr>
      <w:vanish/>
    </w:rPr>
  </w:style>
  <w:style w:type="character" w:customStyle="1" w:styleId="21">
    <w:name w:val="calendar-head__next-month-bt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2328</Words>
  <Characters>2406</Characters>
  <Lines>20</Lines>
  <Paragraphs>5</Paragraphs>
  <TotalTime>15</TotalTime>
  <ScaleCrop>false</ScaleCrop>
  <LinksUpToDate>false</LinksUpToDate>
  <CharactersWithSpaces>2406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2020-05-04T10:26:00Z</dcterms:created>
  <dc:creator>汤靖</dc:creator>
  <cp:lastModifiedBy>张晋玮</cp:lastModifiedBy>
  <cp:lastPrinted>2022-09-20T08:10:00Z</cp:lastPrinted>
  <dcterms:modified xsi:type="dcterms:W3CDTF">2022-10-11T17:26:27Z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0ECF096D3B2B455EB60BB8249C6F9274</vt:lpwstr>
  </property>
</Properties>
</file>