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480" w:lineRule="auto"/>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p>
    <w:p>
      <w:pPr>
        <w:widowControl/>
        <w:shd w:val="clear" w:color="auto" w:fill="FFFFFF"/>
        <w:spacing w:line="480" w:lineRule="auto"/>
        <w:jc w:val="center"/>
        <w:rPr>
          <w:rFonts w:ascii="宋体" w:hAnsi="宋体" w:eastAsia="宋体" w:cs="宋体"/>
          <w:b/>
          <w:color w:val="000000" w:themeColor="text1"/>
          <w:kern w:val="0"/>
          <w:sz w:val="44"/>
          <w:szCs w:val="44"/>
          <w14:textFill>
            <w14:solidFill>
              <w14:schemeClr w14:val="tx1"/>
            </w14:solidFill>
          </w14:textFill>
        </w:rPr>
      </w:pPr>
    </w:p>
    <w:p>
      <w:pPr>
        <w:widowControl/>
        <w:shd w:val="clear" w:color="auto" w:fill="FFFFFF"/>
        <w:spacing w:line="480" w:lineRule="auto"/>
        <w:jc w:val="center"/>
        <w:rPr>
          <w:rFonts w:hint="eastAsia" w:ascii="宋体" w:hAnsi="宋体" w:eastAsia="宋体" w:cs="宋体"/>
          <w:b/>
          <w:color w:val="000000" w:themeColor="text1"/>
          <w:kern w:val="0"/>
          <w:sz w:val="44"/>
          <w:szCs w:val="44"/>
          <w14:textFill>
            <w14:solidFill>
              <w14:schemeClr w14:val="tx1"/>
            </w14:solidFill>
          </w14:textFill>
        </w:rPr>
      </w:pPr>
      <w:r>
        <w:rPr>
          <w:rFonts w:hint="eastAsia" w:ascii="宋体" w:hAnsi="宋体" w:eastAsia="宋体" w:cs="宋体"/>
          <w:b/>
          <w:color w:val="000000" w:themeColor="text1"/>
          <w:kern w:val="0"/>
          <w:sz w:val="44"/>
          <w:szCs w:val="44"/>
          <w14:textFill>
            <w14:solidFill>
              <w14:schemeClr w14:val="tx1"/>
            </w14:solidFill>
          </w14:textFill>
        </w:rPr>
        <w:t>2023年度总部企业复查申报指南</w:t>
      </w:r>
    </w:p>
    <w:p>
      <w:pPr>
        <w:pStyle w:val="2"/>
      </w:pPr>
      <w:bookmarkStart w:id="0" w:name="_GoBack"/>
      <w:bookmarkEnd w:id="0"/>
    </w:p>
    <w:p>
      <w:pPr>
        <w:widowControl/>
        <w:shd w:val="clear" w:color="auto" w:fill="FFFFFF"/>
        <w:wordWrap w:val="0"/>
        <w:spacing w:line="480" w:lineRule="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根据《深圳市鼓励总部企业</w:t>
      </w:r>
      <w:r>
        <w:rPr>
          <w:rFonts w:hint="eastAsia" w:ascii="仿宋_GB2312" w:hAnsi="微软雅黑" w:eastAsia="仿宋_GB2312" w:cs="宋体"/>
          <w:color w:val="000000" w:themeColor="text1"/>
          <w:kern w:val="0"/>
          <w:sz w:val="32"/>
          <w:szCs w:val="32"/>
          <w:lang w:eastAsia="zh-CN"/>
          <w14:textFill>
            <w14:solidFill>
              <w14:schemeClr w14:val="tx1"/>
            </w14:solidFill>
          </w14:textFill>
        </w:rPr>
        <w:t>高质量</w:t>
      </w:r>
      <w:r>
        <w:rPr>
          <w:rFonts w:hint="eastAsia" w:ascii="仿宋_GB2312" w:hAnsi="微软雅黑" w:eastAsia="仿宋_GB2312" w:cs="宋体"/>
          <w:color w:val="000000" w:themeColor="text1"/>
          <w:kern w:val="0"/>
          <w:sz w:val="32"/>
          <w:szCs w:val="32"/>
          <w14:textFill>
            <w14:solidFill>
              <w14:schemeClr w14:val="tx1"/>
            </w14:solidFill>
          </w14:textFill>
        </w:rPr>
        <w:t>发展实施办法》（深府规〔20</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21</w:t>
      </w:r>
      <w:r>
        <w:rPr>
          <w:rFonts w:hint="eastAsia"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5</w:t>
      </w:r>
      <w:r>
        <w:rPr>
          <w:rFonts w:hint="eastAsia" w:ascii="仿宋_GB2312" w:hAnsi="微软雅黑" w:eastAsia="仿宋_GB2312" w:cs="宋体"/>
          <w:color w:val="000000" w:themeColor="text1"/>
          <w:kern w:val="0"/>
          <w:sz w:val="32"/>
          <w:szCs w:val="32"/>
          <w14:textFill>
            <w14:solidFill>
              <w14:schemeClr w14:val="tx1"/>
            </w14:solidFill>
          </w14:textFill>
        </w:rPr>
        <w:t>号，以下简称《实施办法》）有关规定，为做好</w:t>
      </w:r>
      <w:r>
        <w:rPr>
          <w:rFonts w:ascii="仿宋_GB2312" w:hAnsi="微软雅黑" w:eastAsia="仿宋_GB2312" w:cs="宋体"/>
          <w:color w:val="000000" w:themeColor="text1"/>
          <w:kern w:val="0"/>
          <w:sz w:val="32"/>
          <w:szCs w:val="32"/>
          <w14:textFill>
            <w14:solidFill>
              <w14:schemeClr w14:val="tx1"/>
            </w14:solidFill>
          </w14:textFill>
        </w:rPr>
        <w:t>20</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23</w:t>
      </w:r>
      <w:r>
        <w:rPr>
          <w:rFonts w:ascii="仿宋_GB2312" w:hAnsi="微软雅黑" w:eastAsia="仿宋_GB2312" w:cs="宋体"/>
          <w:color w:val="000000" w:themeColor="text1"/>
          <w:kern w:val="0"/>
          <w:sz w:val="32"/>
          <w:szCs w:val="32"/>
          <w14:textFill>
            <w14:solidFill>
              <w14:schemeClr w14:val="tx1"/>
            </w14:solidFill>
          </w14:textFill>
        </w:rPr>
        <w:t>年度深圳市总部企业复查工作</w:t>
      </w:r>
      <w:r>
        <w:rPr>
          <w:rFonts w:hint="eastAsia" w:ascii="仿宋_GB2312" w:hAnsi="微软雅黑" w:eastAsia="仿宋_GB2312" w:cs="宋体"/>
          <w:color w:val="000000" w:themeColor="text1"/>
          <w:kern w:val="0"/>
          <w:sz w:val="32"/>
          <w:szCs w:val="32"/>
          <w14:textFill>
            <w14:solidFill>
              <w14:schemeClr w14:val="tx1"/>
            </w14:solidFill>
          </w14:textFill>
        </w:rPr>
        <w:t>，特制定本申报指南。</w:t>
      </w:r>
    </w:p>
    <w:p>
      <w:pPr>
        <w:widowControl/>
        <w:shd w:val="clear" w:color="auto" w:fill="FFFFFF"/>
        <w:wordWrap w:val="0"/>
        <w:spacing w:line="480" w:lineRule="auto"/>
        <w:ind w:firstLine="645"/>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lang w:eastAsia="zh-CN"/>
          <w14:textFill>
            <w14:solidFill>
              <w14:schemeClr w14:val="tx1"/>
            </w14:solidFill>
          </w14:textFill>
        </w:rPr>
        <w:t>一</w:t>
      </w:r>
      <w:r>
        <w:rPr>
          <w:rFonts w:hint="eastAsia" w:ascii="黑体" w:hAnsi="黑体" w:eastAsia="黑体" w:cs="宋体"/>
          <w:color w:val="000000" w:themeColor="text1"/>
          <w:kern w:val="0"/>
          <w:sz w:val="32"/>
          <w:szCs w:val="32"/>
          <w14:textFill>
            <w14:solidFill>
              <w14:schemeClr w14:val="tx1"/>
            </w14:solidFill>
          </w14:textFill>
        </w:rPr>
        <w:t>、申报和审核程序</w:t>
      </w:r>
    </w:p>
    <w:p>
      <w:pPr>
        <w:widowControl/>
        <w:shd w:val="clear" w:color="auto" w:fill="FFFFFF"/>
        <w:wordWrap w:val="0"/>
        <w:spacing w:line="480" w:lineRule="auto"/>
        <w:rPr>
          <w:rFonts w:ascii="楷体_GB2312" w:hAnsi="微软雅黑" w:eastAsia="楷体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　　（一）申报受理时间及网上申报入口</w:t>
      </w:r>
    </w:p>
    <w:p>
      <w:pPr>
        <w:widowControl/>
        <w:shd w:val="clear" w:color="auto" w:fill="FFFFFF"/>
        <w:wordWrap w:val="0"/>
        <w:spacing w:line="480" w:lineRule="auto"/>
        <w:ind w:firstLine="645"/>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1.申报受理时间：</w:t>
      </w:r>
      <w:r>
        <w:rPr>
          <w:rFonts w:hint="eastAsia" w:ascii="仿宋_GB2312" w:hAnsi="微软雅黑" w:eastAsia="仿宋_GB2312" w:cs="宋体"/>
          <w:color w:val="000000" w:themeColor="text1"/>
          <w:kern w:val="0"/>
          <w:sz w:val="32"/>
          <w:szCs w:val="32"/>
          <w:lang w:eastAsia="zh-CN"/>
          <w14:textFill>
            <w14:solidFill>
              <w14:schemeClr w14:val="tx1"/>
            </w14:solidFill>
          </w14:textFill>
        </w:rPr>
        <w:t>即日起</w:t>
      </w:r>
      <w:r>
        <w:rPr>
          <w:rFonts w:ascii="仿宋_GB2312" w:hAnsi="微软雅黑" w:eastAsia="仿宋_GB2312" w:cs="宋体"/>
          <w:color w:val="000000" w:themeColor="text1"/>
          <w:kern w:val="0"/>
          <w:sz w:val="32"/>
          <w:szCs w:val="32"/>
          <w14:textFill>
            <w14:solidFill>
              <w14:schemeClr w14:val="tx1"/>
            </w14:solidFill>
          </w14:textFill>
        </w:rPr>
        <w:t>至</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2023年3</w:t>
      </w:r>
      <w:r>
        <w:rPr>
          <w:rFonts w:hint="eastAsia" w:ascii="仿宋_GB2312" w:hAnsi="微软雅黑" w:eastAsia="仿宋_GB2312" w:cs="宋体"/>
          <w:color w:val="000000" w:themeColor="text1"/>
          <w:kern w:val="0"/>
          <w:sz w:val="32"/>
          <w:szCs w:val="32"/>
          <w14:textFill>
            <w14:solidFill>
              <w14:schemeClr w14:val="tx1"/>
            </w14:solidFill>
          </w14:textFill>
        </w:rPr>
        <w:t>月</w:t>
      </w:r>
      <w:r>
        <w:rPr>
          <w:rFonts w:hint="eastAsia" w:ascii="仿宋_GB2312" w:hAnsi="微软雅黑" w:eastAsia="仿宋_GB2312" w:cs="宋体"/>
          <w:color w:val="000000" w:themeColor="text1"/>
          <w:kern w:val="0"/>
          <w:sz w:val="32"/>
          <w:szCs w:val="32"/>
          <w:highlight w:val="none"/>
          <w:lang w:val="en-US" w:eastAsia="zh-CN"/>
          <w14:textFill>
            <w14:solidFill>
              <w14:schemeClr w14:val="tx1"/>
            </w14:solidFill>
          </w14:textFill>
        </w:rPr>
        <w:t>17</w:t>
      </w:r>
      <w:r>
        <w:rPr>
          <w:rFonts w:hint="eastAsia" w:ascii="仿宋_GB2312" w:hAnsi="微软雅黑" w:eastAsia="仿宋_GB2312" w:cs="宋体"/>
          <w:color w:val="000000" w:themeColor="text1"/>
          <w:kern w:val="0"/>
          <w:sz w:val="32"/>
          <w:szCs w:val="32"/>
          <w14:textFill>
            <w14:solidFill>
              <w14:schemeClr w14:val="tx1"/>
            </w14:solidFill>
          </w14:textFill>
        </w:rPr>
        <w:t>日。</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2.访问入口：直接访问</w:t>
      </w:r>
      <w:r>
        <w:rPr>
          <w:rFonts w:hint="eastAsia" w:ascii="仿宋_GB2312" w:hAnsi="微软雅黑" w:eastAsia="仿宋_GB2312" w:cs="宋体"/>
          <w:color w:val="000000" w:themeColor="text1"/>
          <w:kern w:val="0"/>
          <w:sz w:val="32"/>
          <w:szCs w:val="32"/>
          <w14:textFill>
            <w14:solidFill>
              <w14:schemeClr w14:val="tx1"/>
            </w14:solidFill>
          </w14:textFill>
        </w:rPr>
        <w:fldChar w:fldCharType="begin"/>
      </w:r>
      <w:r>
        <w:rPr>
          <w:rFonts w:hint="eastAsia" w:ascii="仿宋_GB2312" w:hAnsi="微软雅黑" w:eastAsia="仿宋_GB2312" w:cs="宋体"/>
          <w:color w:val="000000" w:themeColor="text1"/>
          <w:kern w:val="0"/>
          <w:sz w:val="32"/>
          <w:szCs w:val="32"/>
          <w14:textFill>
            <w14:solidFill>
              <w14:schemeClr w14:val="tx1"/>
            </w14:solidFill>
          </w14:textFill>
        </w:rPr>
        <w:instrText xml:space="preserve"> HYPERLINK "http://wsbs.sz.gov.cn/shenzhen/project/guide?code=90002700169396609313440300" </w:instrText>
      </w:r>
      <w:r>
        <w:rPr>
          <w:rFonts w:hint="eastAsia" w:ascii="仿宋_GB2312" w:hAnsi="微软雅黑" w:eastAsia="仿宋_GB2312" w:cs="宋体"/>
          <w:color w:val="000000" w:themeColor="text1"/>
          <w:kern w:val="0"/>
          <w:sz w:val="32"/>
          <w:szCs w:val="32"/>
          <w14:textFill>
            <w14:solidFill>
              <w14:schemeClr w14:val="tx1"/>
            </w14:solidFill>
          </w14:textFill>
        </w:rPr>
        <w:fldChar w:fldCharType="separate"/>
      </w:r>
      <w:r>
        <w:rPr>
          <w:rFonts w:hint="eastAsia" w:ascii="仿宋_GB2312" w:hAnsi="微软雅黑" w:eastAsia="仿宋_GB2312" w:cs="宋体"/>
          <w:color w:val="000000" w:themeColor="text1"/>
          <w:kern w:val="0"/>
          <w:sz w:val="32"/>
          <w:szCs w:val="32"/>
          <w14:textFill>
            <w14:solidFill>
              <w14:schemeClr w14:val="tx1"/>
            </w14:solidFill>
          </w14:textFill>
        </w:rPr>
        <w:t>http</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s</w:t>
      </w:r>
      <w:r>
        <w:rPr>
          <w:rFonts w:hint="eastAsia"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w</w:t>
      </w:r>
      <w:r>
        <w:rPr>
          <w:rFonts w:hint="eastAsia" w:ascii="仿宋_GB2312" w:hAnsi="微软雅黑" w:eastAsia="仿宋_GB2312" w:cs="宋体"/>
          <w:color w:val="000000" w:themeColor="text1"/>
          <w:kern w:val="0"/>
          <w:sz w:val="32"/>
          <w:szCs w:val="32"/>
          <w14:textFill>
            <w14:solidFill>
              <w14:schemeClr w14:val="tx1"/>
            </w14:solidFill>
          </w14:textFill>
        </w:rPr>
        <w:fldChar w:fldCharType="end"/>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ww.gdzwfw.gov.cn/portal/guide/11440300693966093K3442001032000</w:t>
      </w:r>
      <w:r>
        <w:rPr>
          <w:rFonts w:hint="eastAsia" w:ascii="仿宋_GB2312" w:hAnsi="微软雅黑" w:eastAsia="仿宋_GB2312" w:cs="宋体"/>
          <w:color w:val="000000" w:themeColor="text1"/>
          <w:kern w:val="0"/>
          <w:sz w:val="32"/>
          <w:szCs w:val="32"/>
          <w14:textFill>
            <w14:solidFill>
              <w14:schemeClr w14:val="tx1"/>
            </w14:solidFill>
          </w14:textFill>
        </w:rPr>
        <w:t xml:space="preserve"> </w:t>
      </w:r>
      <w:r>
        <w:rPr>
          <w:rFonts w:hint="eastAsia" w:ascii="仿宋_GB2312" w:hAnsi="微软雅黑" w:eastAsia="仿宋_GB2312" w:cs="宋体"/>
          <w:color w:val="000000" w:themeColor="text1"/>
          <w:kern w:val="0"/>
          <w:sz w:val="32"/>
          <w:szCs w:val="32"/>
          <w:lang w:eastAsia="zh-CN"/>
          <w14:textFill>
            <w14:solidFill>
              <w14:schemeClr w14:val="tx1"/>
            </w14:solidFill>
          </w14:textFill>
        </w:rPr>
        <w:t>点击左上角“在线办理”</w:t>
      </w:r>
      <w:r>
        <w:rPr>
          <w:rFonts w:ascii="仿宋_GB2312" w:hAnsi="微软雅黑" w:eastAsia="仿宋_GB2312" w:cs="宋体"/>
          <w:color w:val="000000" w:themeColor="text1"/>
          <w:kern w:val="0"/>
          <w:sz w:val="32"/>
          <w:szCs w:val="32"/>
          <w14:textFill>
            <w14:solidFill>
              <w14:schemeClr w14:val="tx1"/>
            </w14:solidFill>
          </w14:textFill>
        </w:rPr>
        <w:t>。</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（注：</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1.</w:t>
      </w:r>
      <w:r>
        <w:rPr>
          <w:rFonts w:ascii="仿宋_GB2312" w:hAnsi="微软雅黑" w:eastAsia="仿宋_GB2312" w:cs="宋体"/>
          <w:color w:val="000000" w:themeColor="text1"/>
          <w:kern w:val="0"/>
          <w:sz w:val="32"/>
          <w:szCs w:val="32"/>
          <w14:textFill>
            <w14:solidFill>
              <w14:schemeClr w14:val="tx1"/>
            </w14:solidFill>
          </w14:textFill>
        </w:rPr>
        <w:t>网上申报需按申报页面提示，申请注册</w:t>
      </w:r>
      <w:r>
        <w:rPr>
          <w:rFonts w:hint="eastAsia" w:ascii="仿宋_GB2312" w:hAnsi="微软雅黑" w:eastAsia="仿宋_GB2312" w:cs="宋体"/>
          <w:color w:val="000000" w:themeColor="text1"/>
          <w:kern w:val="0"/>
          <w:sz w:val="32"/>
          <w:szCs w:val="32"/>
          <w14:textFill>
            <w14:solidFill>
              <w14:schemeClr w14:val="tx1"/>
            </w14:solidFill>
          </w14:textFill>
        </w:rPr>
        <w:t>广东省网上</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政务服务网法人账号</w:t>
      </w:r>
      <w:r>
        <w:rPr>
          <w:rFonts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lang w:eastAsia="zh-CN"/>
          <w14:textFill>
            <w14:solidFill>
              <w14:schemeClr w14:val="tx1"/>
            </w14:solidFill>
          </w14:textFill>
        </w:rPr>
        <w:t>并按要求提交法人授权书，</w:t>
      </w:r>
      <w:r>
        <w:rPr>
          <w:rFonts w:hint="eastAsia" w:ascii="仿宋_GB2312" w:hAnsi="微软雅黑" w:eastAsia="仿宋_GB2312" w:cs="宋体"/>
          <w:color w:val="000000" w:themeColor="text1"/>
          <w:kern w:val="0"/>
          <w:sz w:val="32"/>
          <w:szCs w:val="32"/>
          <w14:textFill>
            <w14:solidFill>
              <w14:schemeClr w14:val="tx1"/>
            </w14:solidFill>
          </w14:textFill>
        </w:rPr>
        <w:t>技术支持电话：</w:t>
      </w:r>
      <w:r>
        <w:rPr>
          <w:rFonts w:hint="eastAsia" w:ascii="仿宋_GB2312" w:hAnsi="微软雅黑" w:eastAsia="仿宋_GB2312" w:cs="宋体"/>
          <w:color w:val="000000" w:themeColor="text1"/>
          <w:kern w:val="0"/>
          <w:sz w:val="32"/>
          <w:szCs w:val="32"/>
          <w:highlight w:val="none"/>
          <w14:textFill>
            <w14:solidFill>
              <w14:schemeClr w14:val="tx1"/>
            </w14:solidFill>
          </w14:textFill>
        </w:rPr>
        <w:t>88127037</w:t>
      </w:r>
      <w:r>
        <w:rPr>
          <w:rFonts w:hint="eastAsia" w:ascii="仿宋_GB2312" w:hAnsi="微软雅黑" w:eastAsia="仿宋_GB2312" w:cs="宋体"/>
          <w:color w:val="000000" w:themeColor="text1"/>
          <w:kern w:val="0"/>
          <w:sz w:val="32"/>
          <w:szCs w:val="32"/>
          <w:highlight w:val="none"/>
          <w:lang w:eastAsia="zh-CN"/>
          <w14:textFill>
            <w14:solidFill>
              <w14:schemeClr w14:val="tx1"/>
            </w14:solidFill>
          </w14:textFill>
        </w:rPr>
        <w:t>，技术咨询qq群：338039045</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。2.如原有</w:t>
      </w:r>
      <w:r>
        <w:rPr>
          <w:rFonts w:hint="eastAsia" w:ascii="仿宋_GB2312" w:hAnsi="微软雅黑" w:eastAsia="仿宋_GB2312" w:cs="宋体"/>
          <w:color w:val="000000" w:themeColor="text1"/>
          <w:kern w:val="0"/>
          <w:sz w:val="32"/>
          <w:szCs w:val="32"/>
          <w:highlight w:val="none"/>
          <w:lang w:val="en-US" w:eastAsia="zh-CN"/>
          <w14:textFill>
            <w14:solidFill>
              <w14:schemeClr w14:val="tx1"/>
            </w14:solidFill>
          </w14:textFill>
        </w:rPr>
        <w:t>申报账号丢失，新账号需重新关联，请将公司名称和新申请账号发送至 zhc@fgw.sz.gov.cn</w:t>
      </w:r>
      <w:r>
        <w:rPr>
          <w:rFonts w:ascii="仿宋_GB2312" w:hAnsi="微软雅黑" w:eastAsia="仿宋_GB2312" w:cs="宋体"/>
          <w:color w:val="000000" w:themeColor="text1"/>
          <w:kern w:val="0"/>
          <w:sz w:val="32"/>
          <w:szCs w:val="32"/>
          <w14:textFill>
            <w14:solidFill>
              <w14:schemeClr w14:val="tx1"/>
            </w14:solidFill>
          </w14:textFill>
        </w:rPr>
        <w:t>）</w:t>
      </w:r>
    </w:p>
    <w:p>
      <w:pPr>
        <w:widowControl/>
        <w:shd w:val="clear" w:color="auto" w:fill="FFFFFF"/>
        <w:wordWrap w:val="0"/>
        <w:spacing w:line="480" w:lineRule="auto"/>
        <w:rPr>
          <w:rFonts w:hint="eastAsia" w:ascii="楷体_GB2312" w:hAnsi="微软雅黑" w:eastAsia="楷体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　　（二）有关部门审核及核算</w:t>
      </w:r>
    </w:p>
    <w:p>
      <w:pPr>
        <w:widowControl/>
        <w:shd w:val="clear" w:color="auto" w:fill="FFFFFF"/>
        <w:wordWrap w:val="0"/>
        <w:spacing w:line="480" w:lineRule="auto"/>
        <w:ind w:firstLine="645"/>
        <w:rPr>
          <w:rFonts w:hint="eastAsia" w:ascii="仿宋_GB2312" w:hAnsi="微软雅黑" w:eastAsia="仿宋_GB2312" w:cs="宋体"/>
          <w:color w:val="000000" w:themeColor="text1"/>
          <w:kern w:val="0"/>
          <w:sz w:val="32"/>
          <w:szCs w:val="32"/>
          <w:lang w:eastAsia="zh-CN"/>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1.市</w:t>
      </w:r>
      <w:r>
        <w:rPr>
          <w:rFonts w:hint="eastAsia" w:ascii="仿宋_GB2312" w:hAnsi="微软雅黑" w:eastAsia="仿宋_GB2312" w:cs="宋体"/>
          <w:color w:val="000000" w:themeColor="text1"/>
          <w:kern w:val="0"/>
          <w:sz w:val="32"/>
          <w:szCs w:val="32"/>
          <w:lang w:eastAsia="zh-CN"/>
          <w14:textFill>
            <w14:solidFill>
              <w14:schemeClr w14:val="tx1"/>
            </w14:solidFill>
          </w14:textFill>
        </w:rPr>
        <w:t>发展改革</w:t>
      </w:r>
      <w:r>
        <w:rPr>
          <w:rFonts w:hint="eastAsia" w:ascii="仿宋_GB2312" w:hAnsi="微软雅黑" w:eastAsia="仿宋_GB2312" w:cs="宋体"/>
          <w:color w:val="000000" w:themeColor="text1"/>
          <w:kern w:val="0"/>
          <w:sz w:val="32"/>
          <w:szCs w:val="32"/>
          <w14:textFill>
            <w14:solidFill>
              <w14:schemeClr w14:val="tx1"/>
            </w14:solidFill>
          </w14:textFill>
        </w:rPr>
        <w:t>部门</w:t>
      </w:r>
      <w:r>
        <w:rPr>
          <w:rFonts w:hint="eastAsia" w:ascii="仿宋_GB2312" w:hAnsi="微软雅黑" w:eastAsia="仿宋_GB2312" w:cs="宋体"/>
          <w:color w:val="000000" w:themeColor="text1"/>
          <w:kern w:val="0"/>
          <w:sz w:val="32"/>
          <w:szCs w:val="32"/>
          <w:lang w:eastAsia="zh-CN"/>
          <w14:textFill>
            <w14:solidFill>
              <w14:schemeClr w14:val="tx1"/>
            </w14:solidFill>
          </w14:textFill>
        </w:rPr>
        <w:t>初审，</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负责对申报单位基本条件、材料合规性等情况进行形式审查。</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w:t>
      </w:r>
      <w:r>
        <w:rPr>
          <w:rFonts w:hint="eastAsia" w:ascii="仿宋_GB2312" w:hAnsi="微软雅黑" w:eastAsia="仿宋_GB2312" w:cs="宋体"/>
          <w:color w:val="000000" w:themeColor="text1"/>
          <w:kern w:val="0"/>
          <w:sz w:val="32"/>
          <w:szCs w:val="32"/>
          <w14:textFill>
            <w14:solidFill>
              <w14:schemeClr w14:val="tx1"/>
            </w14:solidFill>
          </w14:textFill>
        </w:rPr>
        <w:t>.市</w:t>
      </w:r>
      <w:r>
        <w:rPr>
          <w:rFonts w:hint="eastAsia" w:ascii="仿宋_GB2312" w:hAnsi="微软雅黑" w:eastAsia="仿宋_GB2312" w:cs="宋体"/>
          <w:color w:val="000000" w:themeColor="text1"/>
          <w:kern w:val="0"/>
          <w:sz w:val="32"/>
          <w:szCs w:val="32"/>
          <w:lang w:eastAsia="zh-CN"/>
          <w14:textFill>
            <w14:solidFill>
              <w14:schemeClr w14:val="tx1"/>
            </w14:solidFill>
          </w14:textFill>
        </w:rPr>
        <w:t>税务</w:t>
      </w:r>
      <w:r>
        <w:rPr>
          <w:rFonts w:hint="eastAsia" w:ascii="仿宋_GB2312" w:hAnsi="微软雅黑" w:eastAsia="仿宋_GB2312" w:cs="宋体"/>
          <w:color w:val="000000" w:themeColor="text1"/>
          <w:kern w:val="0"/>
          <w:sz w:val="32"/>
          <w:szCs w:val="32"/>
          <w14:textFill>
            <w14:solidFill>
              <w14:schemeClr w14:val="tx1"/>
            </w14:solidFill>
          </w14:textFill>
        </w:rPr>
        <w:t>、统计部门负责审核核算企业形成地方财力和在深统计的产值规模（营业收入）；市市场监管部门负责审核企业的注册登记和股权情况。</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3</w:t>
      </w:r>
      <w:r>
        <w:rPr>
          <w:rFonts w:hint="eastAsia" w:ascii="仿宋_GB2312" w:hAnsi="微软雅黑" w:eastAsia="仿宋_GB2312" w:cs="宋体"/>
          <w:color w:val="000000" w:themeColor="text1"/>
          <w:kern w:val="0"/>
          <w:sz w:val="32"/>
          <w:szCs w:val="32"/>
          <w14:textFill>
            <w14:solidFill>
              <w14:schemeClr w14:val="tx1"/>
            </w14:solidFill>
          </w14:textFill>
        </w:rPr>
        <w:t>.市发展改革部门根据市税务、统计、市场监管等有关部门的核算结果，对申报企业是否符合总部企业条件进行复查。</w:t>
      </w:r>
    </w:p>
    <w:p>
      <w:pPr>
        <w:widowControl/>
        <w:shd w:val="clear" w:color="auto" w:fill="FFFFFF"/>
        <w:wordWrap w:val="0"/>
        <w:spacing w:line="480" w:lineRule="auto"/>
        <w:rPr>
          <w:rFonts w:ascii="楷体_GB2312" w:hAnsi="微软雅黑" w:eastAsia="楷体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　　（三）复查结果反馈</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市发展改革部门将复查结果反馈企业，</w:t>
      </w:r>
      <w:r>
        <w:rPr>
          <w:rFonts w:hint="eastAsia" w:ascii="仿宋_GB2312" w:hAnsi="微软雅黑" w:eastAsia="仿宋_GB2312" w:cs="宋体"/>
          <w:color w:val="000000" w:themeColor="text1"/>
          <w:kern w:val="0"/>
          <w:sz w:val="32"/>
          <w:szCs w:val="32"/>
          <w:lang w:eastAsia="zh-CN"/>
          <w14:textFill>
            <w14:solidFill>
              <w14:schemeClr w14:val="tx1"/>
            </w14:solidFill>
          </w14:textFill>
        </w:rPr>
        <w:t>一</w:t>
      </w:r>
      <w:r>
        <w:rPr>
          <w:rFonts w:hint="eastAsia" w:ascii="仿宋_GB2312" w:hAnsi="微软雅黑" w:eastAsia="仿宋_GB2312" w:cs="宋体"/>
          <w:color w:val="000000" w:themeColor="text1"/>
          <w:kern w:val="0"/>
          <w:sz w:val="32"/>
          <w:szCs w:val="32"/>
          <w14:textFill>
            <w14:solidFill>
              <w14:schemeClr w14:val="tx1"/>
            </w14:solidFill>
          </w14:textFill>
        </w:rPr>
        <w:t>年复查不符合条件的企业，由行业主管部门会同企业落户区政府进行约谈，连续两年复查不符合条件的企业调整出总部企业名录。</w:t>
      </w:r>
    </w:p>
    <w:p>
      <w:pPr>
        <w:widowControl/>
        <w:shd w:val="clear" w:color="auto" w:fill="FFFFFF"/>
        <w:wordWrap w:val="0"/>
        <w:spacing w:line="480" w:lineRule="auto"/>
        <w:rPr>
          <w:rFonts w:ascii="楷体_GB2312" w:hAnsi="微软雅黑" w:eastAsia="楷体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　　（四）提交</w:t>
      </w:r>
      <w:r>
        <w:rPr>
          <w:rFonts w:hint="eastAsia" w:ascii="楷体_GB2312" w:hAnsi="微软雅黑" w:eastAsia="楷体_GB2312" w:cs="宋体"/>
          <w:color w:val="000000" w:themeColor="text1"/>
          <w:kern w:val="0"/>
          <w:sz w:val="32"/>
          <w:szCs w:val="32"/>
          <w:lang w:eastAsia="zh-CN"/>
          <w14:textFill>
            <w14:solidFill>
              <w14:schemeClr w14:val="tx1"/>
            </w14:solidFill>
          </w14:textFill>
        </w:rPr>
        <w:t>集体讨论</w:t>
      </w:r>
      <w:r>
        <w:rPr>
          <w:rFonts w:hint="eastAsia" w:ascii="楷体_GB2312" w:hAnsi="微软雅黑" w:eastAsia="楷体_GB2312" w:cs="宋体"/>
          <w:color w:val="000000" w:themeColor="text1"/>
          <w:kern w:val="0"/>
          <w:sz w:val="32"/>
          <w:szCs w:val="32"/>
          <w14:textFill>
            <w14:solidFill>
              <w14:schemeClr w14:val="tx1"/>
            </w14:solidFill>
          </w14:textFill>
        </w:rPr>
        <w:t>审定</w:t>
      </w:r>
    </w:p>
    <w:p>
      <w:pPr>
        <w:widowControl/>
        <w:shd w:val="clear" w:color="auto" w:fill="FFFFFF"/>
        <w:wordWrap w:val="0"/>
        <w:spacing w:line="480" w:lineRule="auto"/>
        <w:rPr>
          <w:rFonts w:ascii="黑体" w:hAnsi="黑体" w:eastAsia="黑体"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市发展改革部门将</w:t>
      </w:r>
      <w:r>
        <w:rPr>
          <w:rFonts w:hint="eastAsia" w:ascii="仿宋_GB2312" w:hAnsi="微软雅黑" w:eastAsia="仿宋_GB2312" w:cs="宋体"/>
          <w:color w:val="000000" w:themeColor="text1"/>
          <w:kern w:val="0"/>
          <w:sz w:val="32"/>
          <w:szCs w:val="32"/>
          <w:lang w:eastAsia="zh-CN"/>
          <w14:textFill>
            <w14:solidFill>
              <w14:schemeClr w14:val="tx1"/>
            </w14:solidFill>
          </w14:textFill>
        </w:rPr>
        <w:t>复查</w:t>
      </w:r>
      <w:r>
        <w:rPr>
          <w:rFonts w:hint="eastAsia" w:ascii="仿宋_GB2312" w:hAnsi="微软雅黑" w:eastAsia="仿宋_GB2312" w:cs="宋体"/>
          <w:color w:val="000000" w:themeColor="text1"/>
          <w:kern w:val="0"/>
          <w:sz w:val="32"/>
          <w:szCs w:val="32"/>
          <w14:textFill>
            <w14:solidFill>
              <w14:schemeClr w14:val="tx1"/>
            </w14:solidFill>
          </w14:textFill>
        </w:rPr>
        <w:t>结果提交</w:t>
      </w:r>
      <w:r>
        <w:rPr>
          <w:rFonts w:hint="eastAsia" w:ascii="仿宋_GB2312" w:hAnsi="微软雅黑" w:eastAsia="仿宋_GB2312" w:cs="宋体"/>
          <w:color w:val="000000" w:themeColor="text1"/>
          <w:kern w:val="0"/>
          <w:sz w:val="32"/>
          <w:szCs w:val="32"/>
          <w:lang w:eastAsia="zh-CN"/>
          <w14:textFill>
            <w14:solidFill>
              <w14:schemeClr w14:val="tx1"/>
            </w14:solidFill>
          </w14:textFill>
        </w:rPr>
        <w:t>部门内集体讨论</w:t>
      </w:r>
      <w:r>
        <w:rPr>
          <w:rFonts w:hint="eastAsia" w:ascii="仿宋_GB2312" w:hAnsi="微软雅黑" w:eastAsia="仿宋_GB2312" w:cs="宋体"/>
          <w:color w:val="000000" w:themeColor="text1"/>
          <w:kern w:val="0"/>
          <w:sz w:val="32"/>
          <w:szCs w:val="32"/>
          <w14:textFill>
            <w14:solidFill>
              <w14:schemeClr w14:val="tx1"/>
            </w14:solidFill>
          </w14:textFill>
        </w:rPr>
        <w:t>审定。</w:t>
      </w:r>
      <w:r>
        <w:rPr>
          <w:rFonts w:hint="eastAsia" w:ascii="黑体" w:hAnsi="黑体" w:eastAsia="黑体" w:cs="宋体"/>
          <w:color w:val="000000" w:themeColor="text1"/>
          <w:kern w:val="0"/>
          <w:sz w:val="32"/>
          <w:szCs w:val="32"/>
          <w14:textFill>
            <w14:solidFill>
              <w14:schemeClr w14:val="tx1"/>
            </w14:solidFill>
          </w14:textFill>
        </w:rPr>
        <w:t>　　</w:t>
      </w:r>
    </w:p>
    <w:p>
      <w:pPr>
        <w:widowControl/>
        <w:shd w:val="clear" w:color="auto" w:fill="FFFFFF"/>
        <w:wordWrap w:val="0"/>
        <w:spacing w:line="480" w:lineRule="auto"/>
        <w:ind w:left="0" w:leftChars="0"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lang w:eastAsia="zh-CN"/>
          <w14:textFill>
            <w14:solidFill>
              <w14:schemeClr w14:val="tx1"/>
            </w14:solidFill>
          </w14:textFill>
        </w:rPr>
        <w:t>二</w:t>
      </w:r>
      <w:r>
        <w:rPr>
          <w:rFonts w:hint="eastAsia" w:ascii="黑体" w:hAnsi="黑体" w:eastAsia="黑体" w:cs="宋体"/>
          <w:color w:val="000000" w:themeColor="text1"/>
          <w:kern w:val="0"/>
          <w:sz w:val="32"/>
          <w:szCs w:val="32"/>
          <w14:textFill>
            <w14:solidFill>
              <w14:schemeClr w14:val="tx1"/>
            </w14:solidFill>
          </w14:textFill>
        </w:rPr>
        <w:t>、具体申报要求和申报流程</w:t>
      </w:r>
    </w:p>
    <w:p>
      <w:pPr>
        <w:widowControl/>
        <w:shd w:val="clear" w:color="auto" w:fill="FFFFFF"/>
        <w:wordWrap w:val="0"/>
        <w:spacing w:line="480" w:lineRule="auto"/>
        <w:ind w:firstLine="640" w:firstLineChars="200"/>
        <w:rPr>
          <w:rFonts w:hint="eastAsia" w:ascii="楷体_GB2312" w:hAnsi="微软雅黑" w:eastAsia="楷体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lang w:eastAsia="zh-CN"/>
          <w14:textFill>
            <w14:solidFill>
              <w14:schemeClr w14:val="tx1"/>
            </w14:solidFill>
          </w14:textFill>
        </w:rPr>
        <w:t>（一）</w:t>
      </w:r>
      <w:r>
        <w:rPr>
          <w:rFonts w:hint="eastAsia" w:ascii="楷体_GB2312" w:hAnsi="微软雅黑" w:eastAsia="楷体_GB2312" w:cs="宋体"/>
          <w:color w:val="000000" w:themeColor="text1"/>
          <w:kern w:val="0"/>
          <w:sz w:val="32"/>
          <w:szCs w:val="32"/>
          <w14:textFill>
            <w14:solidFill>
              <w14:schemeClr w14:val="tx1"/>
            </w14:solidFill>
          </w14:textFill>
        </w:rPr>
        <w:t>申报范围</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符合《实施办法》</w:t>
      </w:r>
      <w:r>
        <w:rPr>
          <w:rFonts w:ascii="仿宋_GB2312" w:hAnsi="微软雅黑" w:eastAsia="仿宋_GB2312" w:cs="宋体"/>
          <w:color w:val="000000" w:themeColor="text1"/>
          <w:kern w:val="0"/>
          <w:sz w:val="32"/>
          <w:szCs w:val="32"/>
          <w14:textFill>
            <w14:solidFill>
              <w14:schemeClr w14:val="tx1"/>
            </w14:solidFill>
          </w14:textFill>
        </w:rPr>
        <w:t>规定条件，</w:t>
      </w:r>
      <w:r>
        <w:rPr>
          <w:rFonts w:hint="eastAsia" w:ascii="仿宋_GB2312" w:hAnsi="微软雅黑" w:eastAsia="仿宋_GB2312" w:cs="宋体"/>
          <w:color w:val="000000" w:themeColor="text1"/>
          <w:kern w:val="0"/>
          <w:sz w:val="32"/>
          <w:szCs w:val="32"/>
          <w:lang w:eastAsia="zh-CN"/>
          <w14:textFill>
            <w14:solidFill>
              <w14:schemeClr w14:val="tx1"/>
            </w14:solidFill>
          </w14:textFill>
        </w:rPr>
        <w:t>已向</w:t>
      </w:r>
      <w:r>
        <w:rPr>
          <w:rFonts w:hint="eastAsia" w:ascii="仿宋_GB2312" w:hAnsi="微软雅黑" w:eastAsia="仿宋_GB2312" w:cs="宋体"/>
          <w:color w:val="000000" w:themeColor="text1"/>
          <w:kern w:val="0"/>
          <w:sz w:val="32"/>
          <w:szCs w:val="32"/>
          <w14:textFill>
            <w14:solidFill>
              <w14:schemeClr w14:val="tx1"/>
            </w14:solidFill>
          </w14:textFill>
        </w:rPr>
        <w:t>市发展改革部门</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提交申请，并经审核</w:t>
      </w:r>
      <w:r>
        <w:rPr>
          <w:rFonts w:ascii="仿宋_GB2312" w:hAnsi="微软雅黑" w:eastAsia="仿宋_GB2312" w:cs="宋体"/>
          <w:color w:val="000000" w:themeColor="text1"/>
          <w:kern w:val="0"/>
          <w:sz w:val="32"/>
          <w:szCs w:val="32"/>
          <w14:textFill>
            <w14:solidFill>
              <w14:schemeClr w14:val="tx1"/>
            </w14:solidFill>
          </w14:textFill>
        </w:rPr>
        <w:t>通过的企业</w:t>
      </w:r>
      <w:r>
        <w:rPr>
          <w:rFonts w:hint="eastAsia" w:ascii="仿宋_GB2312" w:hAnsi="微软雅黑" w:eastAsia="仿宋_GB2312" w:cs="宋体"/>
          <w:color w:val="000000" w:themeColor="text1"/>
          <w:kern w:val="0"/>
          <w:sz w:val="32"/>
          <w:szCs w:val="32"/>
          <w14:textFill>
            <w14:solidFill>
              <w14:schemeClr w14:val="tx1"/>
            </w14:solidFill>
          </w14:textFill>
        </w:rPr>
        <w:t>。</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（注：在</w:t>
      </w:r>
      <w:r>
        <w:rPr>
          <w:rFonts w:hint="eastAsia" w:ascii="仿宋_GB2312" w:hAnsi="微软雅黑" w:eastAsia="仿宋_GB2312" w:cs="宋体"/>
          <w:color w:val="000000" w:themeColor="text1"/>
          <w:kern w:val="0"/>
          <w:sz w:val="32"/>
          <w:szCs w:val="32"/>
          <w14:textFill>
            <w14:solidFill>
              <w14:schemeClr w14:val="tx1"/>
            </w14:solidFill>
          </w14:textFill>
        </w:rPr>
        <w:t>20</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23</w:t>
      </w:r>
      <w:r>
        <w:rPr>
          <w:rFonts w:hint="eastAsia" w:ascii="仿宋_GB2312" w:hAnsi="微软雅黑" w:eastAsia="仿宋_GB2312" w:cs="宋体"/>
          <w:color w:val="000000" w:themeColor="text1"/>
          <w:kern w:val="0"/>
          <w:sz w:val="32"/>
          <w:szCs w:val="32"/>
          <w14:textFill>
            <w14:solidFill>
              <w14:schemeClr w14:val="tx1"/>
            </w14:solidFill>
          </w14:textFill>
        </w:rPr>
        <w:t>年</w:t>
      </w:r>
      <w:r>
        <w:rPr>
          <w:rFonts w:hint="eastAsia" w:ascii="仿宋_GB2312" w:hAnsi="微软雅黑" w:eastAsia="仿宋_GB2312" w:cs="宋体"/>
          <w:color w:val="000000" w:themeColor="text1"/>
          <w:kern w:val="0"/>
          <w:sz w:val="32"/>
          <w:szCs w:val="32"/>
          <w:lang w:eastAsia="zh-CN"/>
          <w14:textFill>
            <w14:solidFill>
              <w14:schemeClr w14:val="tx1"/>
            </w14:solidFill>
          </w14:textFill>
        </w:rPr>
        <w:t>申请且以</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2022年数据为基础核定</w:t>
      </w:r>
      <w:r>
        <w:rPr>
          <w:rFonts w:hint="eastAsia" w:ascii="仿宋_GB2312" w:hAnsi="微软雅黑" w:eastAsia="仿宋_GB2312" w:cs="宋体"/>
          <w:color w:val="000000" w:themeColor="text1"/>
          <w:kern w:val="0"/>
          <w:sz w:val="32"/>
          <w:szCs w:val="32"/>
          <w14:textFill>
            <w14:solidFill>
              <w14:schemeClr w14:val="tx1"/>
            </w14:solidFill>
          </w14:textFill>
        </w:rPr>
        <w:t>通过的总部企业，不需进行总部企业资格复查，具体以复查申报页面的提示为准</w:t>
      </w:r>
      <w:r>
        <w:rPr>
          <w:rFonts w:ascii="仿宋_GB2312" w:hAnsi="微软雅黑" w:eastAsia="仿宋_GB2312" w:cs="宋体"/>
          <w:color w:val="000000" w:themeColor="text1"/>
          <w:kern w:val="0"/>
          <w:sz w:val="32"/>
          <w:szCs w:val="32"/>
          <w14:textFill>
            <w14:solidFill>
              <w14:schemeClr w14:val="tx1"/>
            </w14:solidFill>
          </w14:textFill>
        </w:rPr>
        <w:t>）</w:t>
      </w:r>
    </w:p>
    <w:p>
      <w:pPr>
        <w:widowControl/>
        <w:shd w:val="clear" w:color="auto" w:fill="FFFFFF"/>
        <w:wordWrap w:val="0"/>
        <w:spacing w:line="480" w:lineRule="auto"/>
        <w:ind w:firstLine="640" w:firstLineChars="200"/>
        <w:rPr>
          <w:rFonts w:hint="eastAsia" w:ascii="楷体_GB2312" w:hAnsi="微软雅黑" w:eastAsia="楷体_GB2312" w:cs="宋体"/>
          <w:color w:val="000000" w:themeColor="text1"/>
          <w:kern w:val="0"/>
          <w:sz w:val="32"/>
          <w:szCs w:val="32"/>
          <w:lang w:eastAsia="zh-CN"/>
          <w14:textFill>
            <w14:solidFill>
              <w14:schemeClr w14:val="tx1"/>
            </w14:solidFill>
          </w14:textFill>
        </w:rPr>
      </w:pPr>
    </w:p>
    <w:p>
      <w:pPr>
        <w:widowControl/>
        <w:shd w:val="clear" w:color="auto" w:fill="FFFFFF"/>
        <w:wordWrap w:val="0"/>
        <w:spacing w:line="480" w:lineRule="auto"/>
        <w:ind w:firstLine="640" w:firstLineChars="200"/>
        <w:rPr>
          <w:rFonts w:hint="eastAsia" w:ascii="楷体_GB2312" w:hAnsi="微软雅黑" w:eastAsia="楷体_GB2312" w:cs="宋体"/>
          <w:color w:val="000000" w:themeColor="text1"/>
          <w:kern w:val="0"/>
          <w:sz w:val="32"/>
          <w:szCs w:val="32"/>
          <w:lang w:eastAsia="zh-CN"/>
          <w14:textFill>
            <w14:solidFill>
              <w14:schemeClr w14:val="tx1"/>
            </w14:solidFill>
          </w14:textFill>
        </w:rPr>
      </w:pPr>
    </w:p>
    <w:p>
      <w:pPr>
        <w:widowControl/>
        <w:shd w:val="clear" w:color="auto" w:fill="FFFFFF"/>
        <w:wordWrap w:val="0"/>
        <w:spacing w:line="480" w:lineRule="auto"/>
        <w:ind w:firstLine="640" w:firstLineChars="200"/>
        <w:rPr>
          <w:rFonts w:hint="eastAsia" w:ascii="楷体_GB2312" w:hAnsi="微软雅黑" w:eastAsia="楷体_GB2312" w:cs="宋体"/>
          <w:color w:val="000000" w:themeColor="text1"/>
          <w:kern w:val="0"/>
          <w:sz w:val="32"/>
          <w:szCs w:val="32"/>
          <w:lang w:eastAsia="zh-CN"/>
          <w14:textFill>
            <w14:solidFill>
              <w14:schemeClr w14:val="tx1"/>
            </w14:solidFill>
          </w14:textFill>
        </w:rPr>
      </w:pPr>
    </w:p>
    <w:p>
      <w:pPr>
        <w:widowControl/>
        <w:shd w:val="clear" w:color="auto" w:fill="FFFFFF"/>
        <w:wordWrap w:val="0"/>
        <w:spacing w:line="480" w:lineRule="auto"/>
        <w:ind w:firstLine="640" w:firstLineChars="200"/>
        <w:rPr>
          <w:rFonts w:hint="eastAsia" w:ascii="楷体_GB2312" w:hAnsi="微软雅黑" w:eastAsia="楷体_GB2312" w:cs="宋体"/>
          <w:color w:val="000000" w:themeColor="text1"/>
          <w:kern w:val="0"/>
          <w:sz w:val="32"/>
          <w:szCs w:val="32"/>
          <w:lang w:eastAsia="zh-CN"/>
          <w14:textFill>
            <w14:solidFill>
              <w14:schemeClr w14:val="tx1"/>
            </w14:solidFill>
          </w14:textFill>
        </w:rPr>
      </w:pPr>
    </w:p>
    <w:p>
      <w:pPr>
        <w:widowControl/>
        <w:shd w:val="clear" w:color="auto" w:fill="FFFFFF"/>
        <w:wordWrap w:val="0"/>
        <w:spacing w:line="480" w:lineRule="auto"/>
        <w:ind w:firstLine="640" w:firstLineChars="200"/>
        <w:rPr>
          <w:rFonts w:hint="eastAsia" w:ascii="楷体_GB2312" w:hAnsi="微软雅黑" w:eastAsia="楷体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lang w:eastAsia="zh-CN"/>
          <w14:textFill>
            <w14:solidFill>
              <w14:schemeClr w14:val="tx1"/>
            </w14:solidFill>
          </w14:textFill>
        </w:rPr>
        <w:t>（二）</w:t>
      </w:r>
      <w:r>
        <w:rPr>
          <w:rFonts w:hint="eastAsia" w:ascii="楷体_GB2312" w:hAnsi="微软雅黑" w:eastAsia="楷体_GB2312" w:cs="宋体"/>
          <w:color w:val="000000" w:themeColor="text1"/>
          <w:kern w:val="0"/>
          <w:sz w:val="32"/>
          <w:szCs w:val="32"/>
          <w14:textFill>
            <w14:solidFill>
              <w14:schemeClr w14:val="tx1"/>
            </w14:solidFill>
          </w14:textFill>
        </w:rPr>
        <w:t>复查标准</w:t>
      </w:r>
    </w:p>
    <w:tbl>
      <w:tblPr>
        <w:tblStyle w:val="8"/>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547"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总部企业类型</w:t>
            </w:r>
          </w:p>
        </w:tc>
        <w:tc>
          <w:tcPr>
            <w:tcW w:w="5749" w:type="dxa"/>
            <w:vAlign w:val="center"/>
          </w:tcPr>
          <w:p>
            <w:pPr>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rPr>
              <w:t>资格复查</w:t>
            </w:r>
            <w:r>
              <w:rPr>
                <w:rFonts w:hint="eastAsia" w:ascii="仿宋_GB2312" w:hAnsi="仿宋_GB2312" w:eastAsia="仿宋_GB2312" w:cs="仿宋_GB2312"/>
                <w:b/>
                <w:sz w:val="28"/>
                <w:szCs w:val="28"/>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547" w:type="dxa"/>
            <w:vAlign w:val="center"/>
          </w:tcPr>
          <w:p>
            <w:pPr>
              <w:jc w:val="center"/>
              <w:rPr>
                <w:rFonts w:hint="eastAsia" w:ascii="仿宋_GB2312" w:hAnsi="黑体" w:eastAsia="仿宋_GB2312" w:cs="Times New Roman"/>
                <w:b/>
                <w:sz w:val="24"/>
                <w:szCs w:val="24"/>
                <w:lang w:eastAsia="zh-CN"/>
              </w:rPr>
            </w:pPr>
            <w:r>
              <w:rPr>
                <w:rFonts w:hint="eastAsia" w:ascii="仿宋_GB2312" w:hAnsi="黑体" w:eastAsia="仿宋_GB2312" w:cs="Times New Roman"/>
                <w:b/>
                <w:sz w:val="24"/>
                <w:szCs w:val="24"/>
                <w:lang w:eastAsia="zh-CN"/>
              </w:rPr>
              <w:t>《实施办法》第三条（一）项</w:t>
            </w:r>
          </w:p>
        </w:tc>
        <w:tc>
          <w:tcPr>
            <w:tcW w:w="5749" w:type="dxa"/>
            <w:vAlign w:val="center"/>
          </w:tcPr>
          <w:p>
            <w:pPr>
              <w:jc w:val="center"/>
              <w:rPr>
                <w:rFonts w:ascii="仿宋_GB2312" w:hAnsi="黑体" w:eastAsia="仿宋_GB2312" w:cs="Times New Roman"/>
                <w:sz w:val="24"/>
                <w:szCs w:val="24"/>
              </w:rPr>
            </w:pPr>
            <w:r>
              <w:rPr>
                <w:rFonts w:hint="eastAsia" w:ascii="仿宋_GB2312" w:hAnsi="黑体" w:eastAsia="仿宋_GB2312" w:cs="Times New Roman"/>
                <w:sz w:val="24"/>
                <w:szCs w:val="24"/>
              </w:rPr>
              <w:t>须</w:t>
            </w:r>
            <w:r>
              <w:rPr>
                <w:rFonts w:ascii="仿宋_GB2312" w:hAnsi="黑体" w:eastAsia="仿宋_GB2312" w:cs="Times New Roman"/>
                <w:sz w:val="24"/>
                <w:szCs w:val="24"/>
              </w:rPr>
              <w:t>达到</w:t>
            </w:r>
            <w:r>
              <w:rPr>
                <w:rFonts w:hint="eastAsia" w:ascii="仿宋_GB2312" w:hAnsi="黑体" w:eastAsia="仿宋_GB2312" w:cs="Times New Roman"/>
                <w:sz w:val="24"/>
                <w:szCs w:val="24"/>
              </w:rPr>
              <w:t>《实施办法》第三条第</w:t>
            </w:r>
            <w:r>
              <w:rPr>
                <w:rFonts w:ascii="仿宋_GB2312" w:hAnsi="黑体" w:eastAsia="仿宋_GB2312" w:cs="Times New Roman"/>
                <w:sz w:val="24"/>
                <w:szCs w:val="24"/>
              </w:rPr>
              <w:t>（</w:t>
            </w:r>
            <w:r>
              <w:rPr>
                <w:rFonts w:hint="eastAsia" w:ascii="仿宋_GB2312" w:hAnsi="黑体" w:eastAsia="仿宋_GB2312" w:cs="Times New Roman"/>
                <w:sz w:val="24"/>
                <w:szCs w:val="24"/>
              </w:rPr>
              <w:t>一</w:t>
            </w:r>
            <w:r>
              <w:rPr>
                <w:rFonts w:ascii="仿宋_GB2312" w:hAnsi="黑体" w:eastAsia="仿宋_GB2312" w:cs="Times New Roman"/>
                <w:sz w:val="24"/>
                <w:szCs w:val="24"/>
              </w:rPr>
              <w:t>）</w:t>
            </w:r>
            <w:r>
              <w:rPr>
                <w:rFonts w:hint="eastAsia" w:ascii="仿宋_GB2312" w:hAnsi="黑体" w:eastAsia="仿宋_GB2312" w:cs="Times New Roman"/>
                <w:sz w:val="24"/>
                <w:szCs w:val="24"/>
              </w:rPr>
              <w:t>项</w:t>
            </w:r>
            <w:r>
              <w:rPr>
                <w:rFonts w:ascii="仿宋_GB2312" w:hAnsi="黑体" w:eastAsia="仿宋_GB2312" w:cs="Times New Roman"/>
                <w:sz w:val="24"/>
                <w:szCs w:val="24"/>
              </w:rPr>
              <w:t>的条件</w:t>
            </w:r>
            <w:r>
              <w:rPr>
                <w:rFonts w:hint="eastAsia" w:ascii="仿宋_GB2312" w:hAnsi="黑体"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jc w:val="center"/>
        </w:trPr>
        <w:tc>
          <w:tcPr>
            <w:tcW w:w="2547" w:type="dxa"/>
            <w:vAlign w:val="center"/>
          </w:tcPr>
          <w:p>
            <w:pPr>
              <w:jc w:val="center"/>
              <w:rPr>
                <w:rFonts w:ascii="仿宋_GB2312" w:hAnsi="黑体" w:eastAsia="仿宋_GB2312" w:cs="Times New Roman"/>
                <w:b/>
                <w:sz w:val="24"/>
                <w:szCs w:val="24"/>
              </w:rPr>
            </w:pPr>
            <w:r>
              <w:rPr>
                <w:rFonts w:hint="eastAsia" w:ascii="仿宋_GB2312" w:hAnsi="黑体" w:eastAsia="仿宋_GB2312" w:cs="Times New Roman"/>
                <w:b/>
                <w:sz w:val="24"/>
                <w:szCs w:val="24"/>
                <w:lang w:eastAsia="zh-CN"/>
              </w:rPr>
              <w:t>《实施办法》第三条（二）（三）（四）（五）项</w:t>
            </w:r>
          </w:p>
        </w:tc>
        <w:tc>
          <w:tcPr>
            <w:tcW w:w="5749" w:type="dxa"/>
            <w:vAlign w:val="center"/>
          </w:tcPr>
          <w:p>
            <w:pPr>
              <w:ind w:firstLine="360" w:firstLineChars="150"/>
              <w:rPr>
                <w:rFonts w:ascii="仿宋_GB2312" w:hAnsi="华文仿宋" w:eastAsia="仿宋_GB2312" w:cs="仿宋_GB2312"/>
                <w:sz w:val="24"/>
                <w:szCs w:val="24"/>
                <w:highlight w:val="none"/>
              </w:rPr>
            </w:pPr>
            <w:r>
              <w:rPr>
                <w:rFonts w:hint="eastAsia" w:ascii="仿宋_GB2312" w:hAnsi="华文仿宋" w:eastAsia="仿宋_GB2312" w:cs="仿宋_GB2312"/>
                <w:sz w:val="24"/>
                <w:szCs w:val="24"/>
                <w:highlight w:val="none"/>
                <w:lang w:val="zh-CN"/>
              </w:rPr>
              <w:t>1.在</w:t>
            </w:r>
            <w:r>
              <w:rPr>
                <w:rFonts w:ascii="仿宋_GB2312" w:hAnsi="华文仿宋" w:eastAsia="仿宋_GB2312" w:cs="仿宋_GB2312"/>
                <w:sz w:val="24"/>
                <w:szCs w:val="24"/>
                <w:highlight w:val="none"/>
                <w:lang w:val="zh-CN"/>
              </w:rPr>
              <w:t>其承诺或协议约定年限，实现</w:t>
            </w:r>
            <w:r>
              <w:rPr>
                <w:rFonts w:hint="eastAsia" w:ascii="仿宋_GB2312" w:hAnsi="华文仿宋" w:eastAsia="仿宋_GB2312" w:cs="仿宋_GB2312"/>
                <w:sz w:val="24"/>
                <w:szCs w:val="24"/>
                <w:highlight w:val="none"/>
                <w:lang w:val="zh-CN"/>
              </w:rPr>
              <w:t>其</w:t>
            </w:r>
            <w:r>
              <w:rPr>
                <w:rFonts w:ascii="仿宋_GB2312" w:hAnsi="华文仿宋" w:eastAsia="仿宋_GB2312" w:cs="仿宋_GB2312"/>
                <w:sz w:val="24"/>
                <w:szCs w:val="24"/>
                <w:highlight w:val="none"/>
                <w:lang w:val="zh-CN"/>
              </w:rPr>
              <w:t>承诺或约定的</w:t>
            </w:r>
            <w:r>
              <w:rPr>
                <w:rFonts w:hint="eastAsia" w:ascii="仿宋_GB2312" w:hAnsi="华文仿宋" w:eastAsia="仿宋_GB2312" w:cs="仿宋_GB2312"/>
                <w:sz w:val="24"/>
                <w:szCs w:val="24"/>
                <w:highlight w:val="none"/>
                <w:lang w:val="zh-CN"/>
              </w:rPr>
              <w:t>相关事项</w:t>
            </w:r>
            <w:r>
              <w:rPr>
                <w:rFonts w:ascii="仿宋_GB2312" w:hAnsi="华文仿宋" w:eastAsia="仿宋_GB2312" w:cs="仿宋_GB2312"/>
                <w:sz w:val="24"/>
                <w:szCs w:val="24"/>
                <w:highlight w:val="none"/>
              </w:rPr>
              <w:t>。</w:t>
            </w:r>
          </w:p>
          <w:p>
            <w:pPr>
              <w:ind w:firstLine="360" w:firstLineChars="150"/>
              <w:rPr>
                <w:rFonts w:ascii="仿宋_GB2312" w:hAnsi="华文仿宋" w:eastAsia="仿宋_GB2312" w:cs="仿宋_GB2312"/>
                <w:sz w:val="24"/>
                <w:szCs w:val="24"/>
                <w:lang w:val="zh-CN"/>
              </w:rPr>
            </w:pPr>
            <w:r>
              <w:rPr>
                <w:rFonts w:ascii="仿宋_GB2312" w:hAnsi="华文仿宋" w:eastAsia="仿宋_GB2312" w:cs="仿宋_GB2312"/>
                <w:sz w:val="24"/>
                <w:szCs w:val="24"/>
                <w:highlight w:val="none"/>
              </w:rPr>
              <w:t>2.</w:t>
            </w:r>
            <w:r>
              <w:rPr>
                <w:rFonts w:hint="eastAsia" w:ascii="仿宋_GB2312" w:hAnsi="华文仿宋" w:eastAsia="仿宋_GB2312" w:cs="仿宋_GB2312"/>
                <w:sz w:val="24"/>
                <w:szCs w:val="24"/>
                <w:highlight w:val="none"/>
                <w:lang w:val="zh-CN"/>
              </w:rPr>
              <w:t>在</w:t>
            </w:r>
            <w:r>
              <w:rPr>
                <w:rFonts w:ascii="仿宋_GB2312" w:hAnsi="华文仿宋" w:eastAsia="仿宋_GB2312" w:cs="仿宋_GB2312"/>
                <w:sz w:val="24"/>
                <w:szCs w:val="24"/>
                <w:highlight w:val="none"/>
                <w:lang w:val="zh-CN"/>
              </w:rPr>
              <w:t>其承诺或协议约定年限</w:t>
            </w:r>
            <w:r>
              <w:rPr>
                <w:rFonts w:hint="eastAsia" w:ascii="仿宋_GB2312" w:hAnsi="华文仿宋" w:eastAsia="仿宋_GB2312" w:cs="仿宋_GB2312"/>
                <w:sz w:val="24"/>
                <w:szCs w:val="24"/>
                <w:highlight w:val="none"/>
                <w:lang w:val="zh-CN"/>
              </w:rPr>
              <w:t>届满后，</w:t>
            </w:r>
            <w:r>
              <w:rPr>
                <w:rFonts w:ascii="仿宋_GB2312" w:hAnsi="华文仿宋" w:eastAsia="仿宋_GB2312" w:cs="仿宋_GB2312"/>
                <w:sz w:val="24"/>
                <w:szCs w:val="24"/>
                <w:highlight w:val="none"/>
              </w:rPr>
              <w:t>须达到</w:t>
            </w:r>
            <w:r>
              <w:rPr>
                <w:rFonts w:hint="eastAsia" w:ascii="仿宋_GB2312" w:hAnsi="黑体" w:eastAsia="仿宋_GB2312" w:cs="Times New Roman"/>
                <w:sz w:val="24"/>
                <w:szCs w:val="24"/>
                <w:highlight w:val="none"/>
              </w:rPr>
              <w:t>《实施办法》第三条第</w:t>
            </w:r>
            <w:r>
              <w:rPr>
                <w:rFonts w:ascii="仿宋_GB2312" w:hAnsi="黑体" w:eastAsia="仿宋_GB2312" w:cs="Times New Roman"/>
                <w:sz w:val="24"/>
                <w:szCs w:val="24"/>
                <w:highlight w:val="none"/>
              </w:rPr>
              <w:t>（</w:t>
            </w:r>
            <w:r>
              <w:rPr>
                <w:rFonts w:hint="eastAsia" w:ascii="仿宋_GB2312" w:hAnsi="黑体" w:eastAsia="仿宋_GB2312" w:cs="Times New Roman"/>
                <w:sz w:val="24"/>
                <w:szCs w:val="24"/>
                <w:highlight w:val="none"/>
              </w:rPr>
              <w:t>一</w:t>
            </w:r>
            <w:r>
              <w:rPr>
                <w:rFonts w:ascii="仿宋_GB2312" w:hAnsi="黑体" w:eastAsia="仿宋_GB2312" w:cs="Times New Roman"/>
                <w:sz w:val="24"/>
                <w:szCs w:val="24"/>
                <w:highlight w:val="none"/>
              </w:rPr>
              <w:t>）</w:t>
            </w:r>
            <w:r>
              <w:rPr>
                <w:rFonts w:hint="eastAsia" w:ascii="仿宋_GB2312" w:hAnsi="黑体" w:eastAsia="仿宋_GB2312" w:cs="Times New Roman"/>
                <w:sz w:val="24"/>
                <w:szCs w:val="24"/>
                <w:highlight w:val="none"/>
              </w:rPr>
              <w:t>项</w:t>
            </w:r>
            <w:r>
              <w:rPr>
                <w:rFonts w:ascii="仿宋_GB2312" w:hAnsi="黑体" w:eastAsia="仿宋_GB2312" w:cs="Times New Roman"/>
                <w:sz w:val="24"/>
                <w:szCs w:val="24"/>
                <w:highlight w:val="none"/>
              </w:rPr>
              <w:t>的条件</w:t>
            </w:r>
            <w:r>
              <w:rPr>
                <w:rFonts w:hint="eastAsia" w:ascii="仿宋_GB2312" w:hAnsi="黑体" w:eastAsia="仿宋_GB2312" w:cs="Times New Roman"/>
                <w:sz w:val="24"/>
                <w:szCs w:val="24"/>
                <w:highlight w:val="none"/>
              </w:rPr>
              <w:t>。</w:t>
            </w:r>
          </w:p>
        </w:tc>
      </w:tr>
    </w:tbl>
    <w:p>
      <w:pPr>
        <w:widowControl/>
        <w:shd w:val="clear" w:color="auto" w:fill="FFFFFF"/>
        <w:wordWrap w:val="0"/>
        <w:spacing w:line="480" w:lineRule="auto"/>
        <w:ind w:firstLine="640" w:firstLineChars="200"/>
        <w:rPr>
          <w:rFonts w:hint="eastAsia" w:ascii="楷体_GB2312" w:hAnsi="微软雅黑" w:eastAsia="楷体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lang w:eastAsia="zh-CN"/>
          <w14:textFill>
            <w14:solidFill>
              <w14:schemeClr w14:val="tx1"/>
            </w14:solidFill>
          </w14:textFill>
        </w:rPr>
        <w:t>（三）</w:t>
      </w:r>
      <w:r>
        <w:rPr>
          <w:rFonts w:hint="eastAsia" w:ascii="楷体_GB2312" w:hAnsi="微软雅黑" w:eastAsia="楷体_GB2312" w:cs="宋体"/>
          <w:color w:val="000000" w:themeColor="text1"/>
          <w:kern w:val="0"/>
          <w:sz w:val="32"/>
          <w:szCs w:val="32"/>
          <w14:textFill>
            <w14:solidFill>
              <w14:schemeClr w14:val="tx1"/>
            </w14:solidFill>
          </w14:textFill>
        </w:rPr>
        <w:t>申报</w:t>
      </w:r>
      <w:r>
        <w:rPr>
          <w:rFonts w:hint="eastAsia" w:ascii="楷体_GB2312" w:hAnsi="微软雅黑" w:eastAsia="楷体_GB2312" w:cs="宋体"/>
          <w:color w:val="000000" w:themeColor="text1"/>
          <w:kern w:val="0"/>
          <w:sz w:val="32"/>
          <w:szCs w:val="32"/>
          <w:lang w:eastAsia="zh-CN"/>
          <w14:textFill>
            <w14:solidFill>
              <w14:schemeClr w14:val="tx1"/>
            </w14:solidFill>
          </w14:textFill>
        </w:rPr>
        <w:t>材料</w:t>
      </w:r>
    </w:p>
    <w:p>
      <w:pPr>
        <w:widowControl/>
        <w:shd w:val="clear" w:color="auto" w:fill="FFFFFF"/>
        <w:wordWrap w:val="0"/>
        <w:spacing w:line="480" w:lineRule="auto"/>
        <w:ind w:firstLine="645"/>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1.</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总部企业复查申请表</w:t>
      </w:r>
    </w:p>
    <w:p>
      <w:pPr>
        <w:widowControl/>
        <w:shd w:val="clear" w:color="auto" w:fill="FFFFFF"/>
        <w:wordWrap w:val="0"/>
        <w:spacing w:line="480" w:lineRule="auto"/>
        <w:ind w:firstLine="645"/>
        <w:rPr>
          <w:rFonts w:hint="eastAsia" w:ascii="仿宋_GB2312" w:hAnsi="微软雅黑" w:eastAsia="仿宋_GB2312" w:cs="宋体"/>
          <w:color w:val="000000" w:themeColor="text1"/>
          <w:kern w:val="0"/>
          <w:sz w:val="32"/>
          <w:szCs w:val="32"/>
          <w:lang w:eastAsia="zh-CN"/>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w:t>
      </w:r>
      <w:r>
        <w:rPr>
          <w:rFonts w:hint="eastAsia" w:ascii="仿宋_GB2312" w:hAnsi="微软雅黑" w:eastAsia="仿宋_GB2312" w:cs="宋体"/>
          <w:color w:val="000000" w:themeColor="text1"/>
          <w:kern w:val="0"/>
          <w:sz w:val="32"/>
          <w:szCs w:val="32"/>
          <w:lang w:eastAsia="zh-CN"/>
          <w14:textFill>
            <w14:solidFill>
              <w14:schemeClr w14:val="tx1"/>
            </w14:solidFill>
          </w14:textFill>
        </w:rPr>
        <w:t>申报企业营业执照</w:t>
      </w:r>
    </w:p>
    <w:p>
      <w:pPr>
        <w:pStyle w:val="2"/>
        <w:ind w:firstLine="640" w:firstLineChars="200"/>
        <w:rPr>
          <w:rFonts w:hint="default" w:ascii="仿宋_GB2312" w:hAnsi="微软雅黑"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t>3.申报企业分支机构及下属公司情况，如包含控股未达到50%但可以实际控制的子公司，需提交申报企业的2022年度审计报告，审计报告中子公司名单须包含该子公司。如审计报告暂无法提供，请于审计报告出具后5个工作日内联系我委（联系电话：</w:t>
      </w:r>
      <w:r>
        <w:rPr>
          <w:rFonts w:hint="eastAsia" w:ascii="仿宋_GB2312" w:hAnsi="Times New Roman" w:eastAsia="仿宋_GB2312" w:cs="仿宋_GB2312"/>
          <w:sz w:val="32"/>
          <w:szCs w:val="32"/>
          <w:lang w:val="en-US" w:eastAsia="zh-CN"/>
        </w:rPr>
        <w:t>88120451、88127230</w:t>
      </w:r>
      <w:r>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t>）并发送至邮箱</w:t>
      </w:r>
      <w:r>
        <w:rPr>
          <w:rFonts w:hint="eastAsia" w:ascii="仿宋_GB2312" w:hAnsi="微软雅黑" w:eastAsia="仿宋_GB2312" w:cs="宋体"/>
          <w:color w:val="000000" w:themeColor="text1"/>
          <w:kern w:val="0"/>
          <w:sz w:val="32"/>
          <w:szCs w:val="32"/>
          <w:highlight w:val="none"/>
          <w:lang w:val="en-US" w:eastAsia="zh-CN"/>
          <w14:textFill>
            <w14:solidFill>
              <w14:schemeClr w14:val="tx1"/>
            </w14:solidFill>
          </w14:textFill>
        </w:rPr>
        <w:t>zhc@fgw.sz.gov.cn。</w:t>
      </w:r>
    </w:p>
    <w:p>
      <w:pPr>
        <w:pStyle w:val="2"/>
        <w:ind w:firstLine="640" w:firstLineChars="200"/>
        <w:rPr>
          <w:rFonts w:hint="default" w:ascii="仿宋_GB2312" w:hAnsi="微软雅黑"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t>4.其他需要补充说明的材料</w:t>
      </w:r>
    </w:p>
    <w:p>
      <w:pPr>
        <w:widowControl/>
        <w:shd w:val="clear" w:color="auto" w:fill="FFFFFF"/>
        <w:wordWrap w:val="0"/>
        <w:spacing w:line="480" w:lineRule="auto"/>
        <w:ind w:firstLine="640" w:firstLineChars="200"/>
        <w:rPr>
          <w:rFonts w:hint="eastAsia" w:ascii="楷体_GB2312" w:hAnsi="微软雅黑" w:eastAsia="楷体_GB2312" w:cs="宋体"/>
          <w:color w:val="000000" w:themeColor="text1"/>
          <w:kern w:val="0"/>
          <w:sz w:val="32"/>
          <w:szCs w:val="32"/>
          <w:lang w:eastAsia="zh-CN"/>
          <w14:textFill>
            <w14:solidFill>
              <w14:schemeClr w14:val="tx1"/>
            </w14:solidFill>
          </w14:textFill>
        </w:rPr>
      </w:pPr>
      <w:r>
        <w:rPr>
          <w:rFonts w:hint="eastAsia" w:ascii="楷体_GB2312" w:hAnsi="微软雅黑" w:eastAsia="楷体_GB2312" w:cs="宋体"/>
          <w:color w:val="000000" w:themeColor="text1"/>
          <w:kern w:val="0"/>
          <w:sz w:val="32"/>
          <w:szCs w:val="32"/>
          <w:lang w:eastAsia="zh-CN"/>
          <w14:textFill>
            <w14:solidFill>
              <w14:schemeClr w14:val="tx1"/>
            </w14:solidFill>
          </w14:textFill>
        </w:rPr>
        <w:t>（四）申报流程</w:t>
      </w:r>
    </w:p>
    <w:p>
      <w:pPr>
        <w:widowControl/>
        <w:shd w:val="clear" w:color="auto" w:fill="FFFFFF"/>
        <w:wordWrap w:val="0"/>
        <w:spacing w:line="480" w:lineRule="auto"/>
        <w:ind w:firstLine="645"/>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1.</w:t>
      </w:r>
      <w:r>
        <w:rPr>
          <w:rFonts w:hint="eastAsia" w:ascii="仿宋_GB2312" w:hAnsi="微软雅黑" w:eastAsia="仿宋_GB2312" w:cs="宋体"/>
          <w:color w:val="000000" w:themeColor="text1"/>
          <w:kern w:val="0"/>
          <w:sz w:val="32"/>
          <w:szCs w:val="32"/>
          <w14:textFill>
            <w14:solidFill>
              <w14:schemeClr w14:val="tx1"/>
            </w14:solidFill>
          </w14:textFill>
        </w:rPr>
        <w:t>进入“</w:t>
      </w:r>
      <w:r>
        <w:rPr>
          <w:rFonts w:hint="eastAsia" w:ascii="仿宋_GB2312" w:hAnsi="微软雅黑" w:eastAsia="仿宋_GB2312" w:cs="宋体"/>
          <w:color w:val="000000" w:themeColor="text1"/>
          <w:kern w:val="0"/>
          <w:sz w:val="32"/>
          <w:szCs w:val="32"/>
          <w:lang w:eastAsia="zh-CN"/>
          <w14:textFill>
            <w14:solidFill>
              <w14:schemeClr w14:val="tx1"/>
            </w14:solidFill>
          </w14:textFill>
        </w:rPr>
        <w:t>在线办理</w:t>
      </w:r>
      <w:r>
        <w:rPr>
          <w:rFonts w:hint="eastAsia" w:ascii="仿宋_GB2312" w:hAnsi="微软雅黑" w:eastAsia="仿宋_GB2312" w:cs="宋体"/>
          <w:color w:val="000000" w:themeColor="text1"/>
          <w:kern w:val="0"/>
          <w:sz w:val="32"/>
          <w:szCs w:val="32"/>
          <w14:textFill>
            <w14:solidFill>
              <w14:schemeClr w14:val="tx1"/>
            </w14:solidFill>
          </w14:textFill>
        </w:rPr>
        <w:t>”-“总部企业服务事项”-“复查”</w:t>
      </w:r>
    </w:p>
    <w:p>
      <w:pPr>
        <w:widowControl/>
        <w:shd w:val="clear" w:color="auto" w:fill="FFFFFF"/>
        <w:wordWrap w:val="0"/>
        <w:spacing w:line="480" w:lineRule="auto"/>
        <w:jc w:val="center"/>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drawing>
          <wp:inline distT="0" distB="0" distL="0" distR="0">
            <wp:extent cx="5195570" cy="2640965"/>
            <wp:effectExtent l="0" t="0" r="508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195570" cy="2640965"/>
                    </a:xfrm>
                    <a:prstGeom prst="rect">
                      <a:avLst/>
                    </a:prstGeom>
                  </pic:spPr>
                </pic:pic>
              </a:graphicData>
            </a:graphic>
          </wp:inline>
        </w:drawing>
      </w:r>
    </w:p>
    <w:p>
      <w:pPr>
        <w:widowControl/>
        <w:shd w:val="clear" w:color="auto" w:fill="FFFFFF"/>
        <w:wordWrap w:val="0"/>
        <w:spacing w:line="480" w:lineRule="auto"/>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（注：无需进行</w:t>
      </w:r>
      <w:r>
        <w:rPr>
          <w:rFonts w:hint="eastAsia" w:ascii="仿宋_GB2312" w:hAnsi="微软雅黑" w:eastAsia="仿宋_GB2312" w:cs="宋体"/>
          <w:color w:val="000000" w:themeColor="text1"/>
          <w:kern w:val="0"/>
          <w:sz w:val="32"/>
          <w:szCs w:val="32"/>
          <w14:textFill>
            <w14:solidFill>
              <w14:schemeClr w14:val="tx1"/>
            </w14:solidFill>
          </w14:textFill>
        </w:rPr>
        <w:t>总部企业资格复查的企业将提示“您的企业不符合复查要求”</w:t>
      </w:r>
      <w:r>
        <w:rPr>
          <w:rFonts w:ascii="仿宋_GB2312" w:hAnsi="微软雅黑" w:eastAsia="仿宋_GB2312" w:cs="宋体"/>
          <w:color w:val="000000" w:themeColor="text1"/>
          <w:kern w:val="0"/>
          <w:sz w:val="32"/>
          <w:szCs w:val="32"/>
          <w14:textFill>
            <w14:solidFill>
              <w14:schemeClr w14:val="tx1"/>
            </w14:solidFill>
          </w14:textFill>
        </w:rPr>
        <w:t>）</w:t>
      </w:r>
    </w:p>
    <w:p>
      <w:pPr>
        <w:widowControl/>
        <w:shd w:val="clear" w:color="auto" w:fill="FFFFFF"/>
        <w:wordWrap w:val="0"/>
        <w:spacing w:line="480" w:lineRule="auto"/>
        <w:ind w:firstLine="645"/>
        <w:rPr>
          <w:rFonts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根据复查申报页面要求，填报相关内容。</w:t>
      </w:r>
    </w:p>
    <w:p>
      <w:pPr>
        <w:widowControl/>
        <w:shd w:val="clear" w:color="auto" w:fill="FFFFFF"/>
        <w:wordWrap w:val="0"/>
        <w:spacing w:line="480" w:lineRule="auto"/>
        <w:ind w:firstLine="645"/>
        <w:rPr>
          <w:rFonts w:ascii="仿宋_GB2312" w:hAnsi="黑体" w:eastAsia="仿宋_GB2312"/>
          <w:sz w:val="32"/>
          <w:szCs w:val="32"/>
        </w:rPr>
      </w:pPr>
      <w:r>
        <w:rPr>
          <w:rFonts w:hint="eastAsia" w:ascii="仿宋_GB2312" w:hAnsi="黑体" w:eastAsia="仿宋_GB2312"/>
          <w:sz w:val="32"/>
          <w:szCs w:val="32"/>
          <w:lang w:val="en-US" w:eastAsia="zh-CN"/>
        </w:rPr>
        <w:t>3.</w:t>
      </w:r>
      <w:r>
        <w:rPr>
          <w:rFonts w:ascii="仿宋_GB2312" w:hAnsi="黑体" w:eastAsia="仿宋_GB2312"/>
          <w:sz w:val="32"/>
          <w:szCs w:val="32"/>
        </w:rPr>
        <w:t>点击页面下方的“提交”按钮完成复查申报。</w:t>
      </w:r>
    </w:p>
    <w:p>
      <w:pPr>
        <w:widowControl/>
        <w:shd w:val="clear" w:color="auto" w:fill="FFFFFF"/>
        <w:wordWrap w:val="0"/>
        <w:spacing w:line="480" w:lineRule="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　　</w:t>
      </w:r>
      <w:r>
        <w:rPr>
          <w:rFonts w:hint="eastAsia" w:ascii="黑体" w:hAnsi="黑体" w:eastAsia="黑体" w:cs="宋体"/>
          <w:color w:val="000000" w:themeColor="text1"/>
          <w:kern w:val="0"/>
          <w:sz w:val="32"/>
          <w:szCs w:val="32"/>
          <w:lang w:eastAsia="zh-CN"/>
          <w14:textFill>
            <w14:solidFill>
              <w14:schemeClr w14:val="tx1"/>
            </w14:solidFill>
          </w14:textFill>
        </w:rPr>
        <w:t>三</w:t>
      </w:r>
      <w:r>
        <w:rPr>
          <w:rFonts w:hint="eastAsia" w:ascii="黑体" w:hAnsi="黑体" w:eastAsia="黑体" w:cs="宋体"/>
          <w:color w:val="000000" w:themeColor="text1"/>
          <w:kern w:val="0"/>
          <w:sz w:val="32"/>
          <w:szCs w:val="32"/>
          <w14:textFill>
            <w14:solidFill>
              <w14:schemeClr w14:val="tx1"/>
            </w14:solidFill>
          </w14:textFill>
        </w:rPr>
        <w:t>、</w:t>
      </w:r>
      <w:r>
        <w:rPr>
          <w:rFonts w:hint="eastAsia" w:ascii="黑体" w:hAnsi="黑体" w:eastAsia="黑体" w:cs="宋体"/>
          <w:color w:val="000000" w:themeColor="text1"/>
          <w:kern w:val="0"/>
          <w:sz w:val="32"/>
          <w:szCs w:val="32"/>
          <w:lang w:eastAsia="zh-CN"/>
          <w14:textFill>
            <w14:solidFill>
              <w14:schemeClr w14:val="tx1"/>
            </w14:solidFill>
          </w14:textFill>
        </w:rPr>
        <w:t>需重点说明的</w:t>
      </w:r>
      <w:r>
        <w:rPr>
          <w:rFonts w:hint="eastAsia" w:ascii="黑体" w:hAnsi="黑体" w:eastAsia="黑体" w:cs="宋体"/>
          <w:color w:val="000000" w:themeColor="text1"/>
          <w:kern w:val="0"/>
          <w:sz w:val="32"/>
          <w:szCs w:val="32"/>
          <w14:textFill>
            <w14:solidFill>
              <w14:schemeClr w14:val="tx1"/>
            </w14:solidFill>
          </w14:textFill>
        </w:rPr>
        <w:t>事项</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（一）关于总部企业统计核算范围</w:t>
      </w:r>
    </w:p>
    <w:p>
      <w:pPr>
        <w:ind w:firstLine="640" w:firstLineChars="200"/>
        <w:rPr>
          <w:rFonts w:hint="default" w:ascii="仿宋_GB2312" w:hAnsi="黑体" w:eastAsia="仿宋_GB2312"/>
          <w:b/>
          <w:bCs/>
          <w:sz w:val="32"/>
          <w:szCs w:val="32"/>
          <w:highlight w:val="none"/>
          <w:lang w:val="en-US" w:eastAsia="zh-CN"/>
        </w:rPr>
      </w:pPr>
      <w:r>
        <w:rPr>
          <w:rFonts w:hint="eastAsia" w:ascii="仿宋_GB2312" w:hAnsi="Times New Roman" w:eastAsia="仿宋_GB2312" w:cs="Times New Roman"/>
          <w:sz w:val="32"/>
          <w:szCs w:val="32"/>
        </w:rPr>
        <w:t>《实施办法》所称总部企业产值规模（营业收入）、形成的地方财力以申报企业独立法人（含分支机构）及其能够并入财务报表且实际控制的我市公司作为统计核算口径</w:t>
      </w:r>
      <w:r>
        <w:rPr>
          <w:rFonts w:hint="eastAsia" w:ascii="仿宋_GB2312" w:hAnsi="Times New Roman" w:eastAsia="仿宋_GB2312" w:cs="Times New Roman"/>
          <w:sz w:val="32"/>
          <w:szCs w:val="32"/>
          <w:lang w:eastAsia="zh-CN"/>
        </w:rPr>
        <w:t>，</w:t>
      </w:r>
      <w:r>
        <w:rPr>
          <w:rFonts w:hint="eastAsia" w:ascii="仿宋_GB2312" w:hAnsi="黑体" w:eastAsia="仿宋_GB2312"/>
          <w:sz w:val="32"/>
          <w:szCs w:val="32"/>
          <w:highlight w:val="none"/>
          <w:lang w:eastAsia="zh-CN"/>
        </w:rPr>
        <w:t>以经审计的财务报告及形成实际控制的相关证明材料为准</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b/>
          <w:bCs/>
          <w:sz w:val="32"/>
          <w:szCs w:val="32"/>
          <w:lang w:val="en-US" w:eastAsia="zh-CN"/>
        </w:rPr>
        <w:t>申报系统已根据总部企业核定申报时提供的下属子公司名单进行初始化设置，总部企业下属子公司如在认定后至2022年12月31日存在股权变更、新增设立、注销登记等特殊情形，可在系统内增减相应公司信息，并附相关说明材料（上传至“其他需要补充说明的材料”）。非上述情形的，子公司名单不得变更。</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rPr>
        <w:t>总部企业的产值规模（营业收入）和地方财力，</w:t>
      </w:r>
      <w:r>
        <w:rPr>
          <w:rFonts w:ascii="仿宋_GB2312" w:hAnsi="黑体" w:eastAsia="仿宋_GB2312"/>
          <w:sz w:val="32"/>
          <w:szCs w:val="32"/>
        </w:rPr>
        <w:t>以</w:t>
      </w:r>
      <w:r>
        <w:rPr>
          <w:rFonts w:hint="eastAsia" w:ascii="仿宋_GB2312" w:hAnsi="黑体" w:eastAsia="仿宋_GB2312"/>
          <w:sz w:val="32"/>
          <w:szCs w:val="32"/>
        </w:rPr>
        <w:t>市</w:t>
      </w:r>
      <w:r>
        <w:rPr>
          <w:rFonts w:ascii="仿宋_GB2312" w:hAnsi="黑体" w:eastAsia="仿宋_GB2312"/>
          <w:sz w:val="32"/>
          <w:szCs w:val="32"/>
        </w:rPr>
        <w:t>统计、</w:t>
      </w:r>
      <w:r>
        <w:rPr>
          <w:rFonts w:hint="eastAsia" w:ascii="仿宋_GB2312" w:hAnsi="黑体" w:eastAsia="仿宋_GB2312"/>
          <w:sz w:val="32"/>
          <w:szCs w:val="32"/>
        </w:rPr>
        <w:t>税务</w:t>
      </w:r>
      <w:r>
        <w:rPr>
          <w:rFonts w:ascii="仿宋_GB2312" w:hAnsi="黑体" w:eastAsia="仿宋_GB2312"/>
          <w:sz w:val="32"/>
          <w:szCs w:val="32"/>
        </w:rPr>
        <w:t>部门提供的数据</w:t>
      </w:r>
      <w:r>
        <w:rPr>
          <w:rFonts w:hint="eastAsia" w:ascii="仿宋_GB2312" w:hAnsi="黑体" w:eastAsia="仿宋_GB2312"/>
          <w:sz w:val="32"/>
          <w:szCs w:val="32"/>
        </w:rPr>
        <w:t>为准</w:t>
      </w:r>
      <w:r>
        <w:rPr>
          <w:rFonts w:ascii="仿宋_GB2312" w:hAnsi="黑体" w:eastAsia="仿宋_GB2312"/>
          <w:sz w:val="32"/>
          <w:szCs w:val="32"/>
        </w:rPr>
        <w:t>。</w:t>
      </w:r>
      <w:r>
        <w:rPr>
          <w:rFonts w:hint="eastAsia" w:ascii="仿宋_GB2312" w:hAnsi="Times New Roman" w:eastAsia="仿宋_GB2312" w:cs="Times New Roman"/>
          <w:sz w:val="32"/>
          <w:szCs w:val="32"/>
        </w:rPr>
        <w:t>各年度股权关系以当年12月31日股权登记状况为准</w:t>
      </w:r>
      <w:r>
        <w:rPr>
          <w:rFonts w:hint="eastAsia" w:ascii="仿宋_GB2312" w:hAnsi="黑体" w:eastAsia="仿宋_GB2312"/>
          <w:sz w:val="32"/>
          <w:szCs w:val="32"/>
          <w:highlight w:val="none"/>
          <w:lang w:eastAsia="zh-CN"/>
        </w:rPr>
        <w:t>。</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（二）关于形成本市地方财力</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实施办法》所称形成本市地方财力，是指申报企业在我市缴纳的税款入库期内，企业所得税、增值税、城市维护建设税、印花税、地方教育费附加、教育费附加、房产税、城镇土地使用税、文化事业建设费计入地方分成部分。</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（三）关于不重复统计原则</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申报企业的下属公司独立提出申请享受总部企业支持政策的，其下属公司在本市统计核算的产值规模（营业收入）和形成地方财力不再重复计入作为上级公司的申报企业。</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四</w:t>
      </w:r>
      <w:r>
        <w:rPr>
          <w:rFonts w:hint="eastAsia" w:ascii="楷体_GB2312" w:hAnsi="Times New Roman" w:eastAsia="楷体_GB2312" w:cs="Times New Roman"/>
          <w:sz w:val="32"/>
          <w:szCs w:val="32"/>
        </w:rPr>
        <w:t>）关于申报材料真实可靠原则</w:t>
      </w:r>
    </w:p>
    <w:p>
      <w:pPr>
        <w:ind w:firstLine="640" w:firstLineChars="200"/>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申报企业对提交材料的真实性负责，以隐瞒真实情况、弄虚作假等行为获得总部企业资格的，按照《实施办法》第二十</w:t>
      </w:r>
      <w:r>
        <w:rPr>
          <w:rFonts w:hint="eastAsia" w:ascii="仿宋_GB2312" w:hAnsi="微软雅黑" w:eastAsia="仿宋_GB2312" w:cs="宋体"/>
          <w:color w:val="000000" w:themeColor="text1"/>
          <w:kern w:val="0"/>
          <w:sz w:val="32"/>
          <w:szCs w:val="32"/>
          <w:lang w:eastAsia="zh-CN"/>
          <w14:textFill>
            <w14:solidFill>
              <w14:schemeClr w14:val="tx1"/>
            </w14:solidFill>
          </w14:textFill>
        </w:rPr>
        <w:t>八</w:t>
      </w:r>
      <w:r>
        <w:rPr>
          <w:rFonts w:hint="eastAsia" w:ascii="仿宋_GB2312" w:hAnsi="微软雅黑" w:eastAsia="仿宋_GB2312" w:cs="宋体"/>
          <w:color w:val="000000" w:themeColor="text1"/>
          <w:kern w:val="0"/>
          <w:sz w:val="32"/>
          <w:szCs w:val="32"/>
          <w14:textFill>
            <w14:solidFill>
              <w14:schemeClr w14:val="tx1"/>
            </w14:solidFill>
          </w14:textFill>
        </w:rPr>
        <w:t>条的规定处理。</w:t>
      </w:r>
    </w:p>
    <w:p>
      <w:pPr>
        <w:ind w:firstLine="640" w:firstLineChars="200"/>
        <w:rPr>
          <w:rFonts w:hint="eastAsia" w:ascii="楷体_GB2312" w:hAnsi="Times New Roman" w:eastAsia="楷体_GB2312" w:cs="Times New Roman"/>
          <w:sz w:val="32"/>
          <w:szCs w:val="32"/>
          <w:lang w:eastAsia="zh-CN"/>
        </w:rPr>
      </w:pP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六</w:t>
      </w:r>
      <w:r>
        <w:rPr>
          <w:rFonts w:hint="eastAsia" w:ascii="楷体_GB2312" w:hAnsi="Times New Roman" w:eastAsia="楷体_GB2312" w:cs="Times New Roman"/>
          <w:sz w:val="32"/>
          <w:szCs w:val="32"/>
        </w:rPr>
        <w:t>）关于</w:t>
      </w:r>
      <w:r>
        <w:rPr>
          <w:rFonts w:hint="eastAsia" w:ascii="楷体_GB2312" w:hAnsi="Times New Roman" w:eastAsia="楷体_GB2312" w:cs="Times New Roman"/>
          <w:sz w:val="32"/>
          <w:szCs w:val="32"/>
          <w:lang w:eastAsia="zh-CN"/>
        </w:rPr>
        <w:t>有关材料主体情况</w:t>
      </w:r>
    </w:p>
    <w:p>
      <w:pPr>
        <w:ind w:firstLine="640" w:firstLineChars="200"/>
        <w:rPr>
          <w:rFonts w:hint="eastAsia"/>
          <w:lang w:eastAsia="zh-CN"/>
        </w:rPr>
      </w:pPr>
      <w:r>
        <w:rPr>
          <w:rFonts w:hint="eastAsia" w:ascii="仿宋_GB2312" w:hAnsi="微软雅黑" w:eastAsia="仿宋_GB2312" w:cs="宋体"/>
          <w:color w:val="000000" w:themeColor="text1"/>
          <w:kern w:val="0"/>
          <w:sz w:val="32"/>
          <w:szCs w:val="32"/>
          <w14:textFill>
            <w14:solidFill>
              <w14:schemeClr w14:val="tx1"/>
            </w14:solidFill>
          </w14:textFill>
        </w:rPr>
        <w:t>申报企业</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所提供的有关材料上的企业名称对应的统一社会信用代码须与申报企业一致</w:t>
      </w:r>
      <w:r>
        <w:rPr>
          <w:rFonts w:hint="eastAsia" w:ascii="仿宋_GB2312" w:hAnsi="微软雅黑" w:eastAsia="仿宋_GB2312" w:cs="宋体"/>
          <w:color w:val="000000" w:themeColor="text1"/>
          <w:kern w:val="0"/>
          <w:sz w:val="32"/>
          <w:szCs w:val="32"/>
          <w14:textFill>
            <w14:solidFill>
              <w14:schemeClr w14:val="tx1"/>
            </w14:solidFill>
          </w14:textFill>
        </w:rPr>
        <w:t>。</w:t>
      </w:r>
    </w:p>
    <w:p>
      <w:pPr>
        <w:ind w:firstLine="640" w:firstLineChars="200"/>
        <w:rPr>
          <w:rFonts w:hint="eastAsia" w:ascii="楷体_GB2312" w:hAnsi="Times New Roman" w:eastAsia="楷体_GB2312" w:cs="Times New Roman"/>
          <w:sz w:val="32"/>
          <w:szCs w:val="32"/>
          <w:lang w:eastAsia="zh-CN"/>
        </w:rPr>
      </w:pP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七</w:t>
      </w:r>
      <w:r>
        <w:rPr>
          <w:rFonts w:hint="eastAsia" w:ascii="楷体_GB2312" w:hAnsi="Times New Roman" w:eastAsia="楷体_GB2312" w:cs="Times New Roman"/>
          <w:sz w:val="32"/>
          <w:szCs w:val="32"/>
        </w:rPr>
        <w:t>）关于</w:t>
      </w:r>
      <w:r>
        <w:rPr>
          <w:rFonts w:hint="eastAsia" w:ascii="楷体_GB2312" w:hAnsi="Times New Roman" w:eastAsia="楷体_GB2312" w:cs="Times New Roman"/>
          <w:sz w:val="32"/>
          <w:szCs w:val="32"/>
          <w:lang w:eastAsia="zh-CN"/>
        </w:rPr>
        <w:t>企业信用</w:t>
      </w:r>
    </w:p>
    <w:p>
      <w:pPr>
        <w:ind w:firstLine="640" w:firstLineChars="200"/>
      </w:pPr>
      <w:r>
        <w:rPr>
          <w:rFonts w:hint="eastAsia" w:ascii="仿宋_GB2312" w:hAnsi="微软雅黑" w:eastAsia="仿宋_GB2312" w:cs="宋体"/>
          <w:color w:val="000000" w:themeColor="text1"/>
          <w:kern w:val="0"/>
          <w:sz w:val="32"/>
          <w:szCs w:val="32"/>
          <w14:textFill>
            <w14:solidFill>
              <w14:schemeClr w14:val="tx1"/>
            </w14:solidFill>
          </w14:textFill>
        </w:rPr>
        <w:t>申报企业</w:t>
      </w:r>
      <w:r>
        <w:rPr>
          <w:rFonts w:hint="eastAsia" w:ascii="仿宋_GB2312" w:hAnsi="微软雅黑" w:eastAsia="仿宋_GB2312" w:cs="宋体"/>
          <w:color w:val="000000" w:themeColor="text1"/>
          <w:kern w:val="0"/>
          <w:sz w:val="32"/>
          <w:szCs w:val="32"/>
          <w:lang w:eastAsia="zh-CN"/>
          <w14:textFill>
            <w14:solidFill>
              <w14:schemeClr w14:val="tx1"/>
            </w14:solidFill>
          </w14:textFill>
        </w:rPr>
        <w:t>被纳入失信联合惩戒对象范围的，依法限制参与政府资金扶持。</w:t>
      </w:r>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9618605"/>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050184"/>
    <w:rsid w:val="00050184"/>
    <w:rsid w:val="000B23C9"/>
    <w:rsid w:val="000D1E45"/>
    <w:rsid w:val="000D3921"/>
    <w:rsid w:val="0018484F"/>
    <w:rsid w:val="00302A2A"/>
    <w:rsid w:val="00380444"/>
    <w:rsid w:val="0038358F"/>
    <w:rsid w:val="003C29C0"/>
    <w:rsid w:val="0053745E"/>
    <w:rsid w:val="005B603C"/>
    <w:rsid w:val="005E3644"/>
    <w:rsid w:val="006241BB"/>
    <w:rsid w:val="006B0E1E"/>
    <w:rsid w:val="00742945"/>
    <w:rsid w:val="00782724"/>
    <w:rsid w:val="007A027F"/>
    <w:rsid w:val="007C265D"/>
    <w:rsid w:val="00811C06"/>
    <w:rsid w:val="00864D99"/>
    <w:rsid w:val="008719D3"/>
    <w:rsid w:val="00887EDB"/>
    <w:rsid w:val="008B61FD"/>
    <w:rsid w:val="00975F41"/>
    <w:rsid w:val="009B3B79"/>
    <w:rsid w:val="009B61BC"/>
    <w:rsid w:val="00A04B52"/>
    <w:rsid w:val="00A527F5"/>
    <w:rsid w:val="00AE390B"/>
    <w:rsid w:val="00AF2B04"/>
    <w:rsid w:val="00B14A8C"/>
    <w:rsid w:val="00B173BA"/>
    <w:rsid w:val="00B629E7"/>
    <w:rsid w:val="00B70F6E"/>
    <w:rsid w:val="00C01605"/>
    <w:rsid w:val="00C4301D"/>
    <w:rsid w:val="00C53216"/>
    <w:rsid w:val="00CA5D2F"/>
    <w:rsid w:val="00CE16C8"/>
    <w:rsid w:val="00D0574C"/>
    <w:rsid w:val="00DE5BF0"/>
    <w:rsid w:val="00EB15A2"/>
    <w:rsid w:val="00ED1EDF"/>
    <w:rsid w:val="00EE53BE"/>
    <w:rsid w:val="00EF414C"/>
    <w:rsid w:val="00F04F86"/>
    <w:rsid w:val="00F60AB0"/>
    <w:rsid w:val="00FB3061"/>
    <w:rsid w:val="01755601"/>
    <w:rsid w:val="018B6C68"/>
    <w:rsid w:val="04FC4F23"/>
    <w:rsid w:val="057F2F56"/>
    <w:rsid w:val="06FE40BF"/>
    <w:rsid w:val="07487B45"/>
    <w:rsid w:val="09EC1642"/>
    <w:rsid w:val="0EA425EF"/>
    <w:rsid w:val="10330C8C"/>
    <w:rsid w:val="10C00AA6"/>
    <w:rsid w:val="15E80AB0"/>
    <w:rsid w:val="16C1160E"/>
    <w:rsid w:val="178E5479"/>
    <w:rsid w:val="17B70E6A"/>
    <w:rsid w:val="18ED1991"/>
    <w:rsid w:val="196573FA"/>
    <w:rsid w:val="1A3958EB"/>
    <w:rsid w:val="1C675416"/>
    <w:rsid w:val="1D49254C"/>
    <w:rsid w:val="1ED9699D"/>
    <w:rsid w:val="1FE25BFC"/>
    <w:rsid w:val="22402E4B"/>
    <w:rsid w:val="232C09FB"/>
    <w:rsid w:val="23644DE6"/>
    <w:rsid w:val="24045E44"/>
    <w:rsid w:val="25584103"/>
    <w:rsid w:val="284B3F04"/>
    <w:rsid w:val="28A7691E"/>
    <w:rsid w:val="2EA10140"/>
    <w:rsid w:val="2F414F73"/>
    <w:rsid w:val="2FC239D0"/>
    <w:rsid w:val="306E479B"/>
    <w:rsid w:val="32841442"/>
    <w:rsid w:val="368C2BD5"/>
    <w:rsid w:val="394A1E71"/>
    <w:rsid w:val="3C8A6A00"/>
    <w:rsid w:val="3E6B6718"/>
    <w:rsid w:val="3FAB5391"/>
    <w:rsid w:val="40783FEE"/>
    <w:rsid w:val="40942F2A"/>
    <w:rsid w:val="40E719C8"/>
    <w:rsid w:val="45AD3CE0"/>
    <w:rsid w:val="465E1D8B"/>
    <w:rsid w:val="468347C6"/>
    <w:rsid w:val="468D35D9"/>
    <w:rsid w:val="48354B73"/>
    <w:rsid w:val="495D1C15"/>
    <w:rsid w:val="4C9637EE"/>
    <w:rsid w:val="4CA92A9E"/>
    <w:rsid w:val="4FE15779"/>
    <w:rsid w:val="505621F1"/>
    <w:rsid w:val="5370085D"/>
    <w:rsid w:val="577C1BFE"/>
    <w:rsid w:val="586F443C"/>
    <w:rsid w:val="59210F58"/>
    <w:rsid w:val="59C27D4E"/>
    <w:rsid w:val="5CAA5906"/>
    <w:rsid w:val="61C358DA"/>
    <w:rsid w:val="646D0119"/>
    <w:rsid w:val="68DB11FE"/>
    <w:rsid w:val="69231A7D"/>
    <w:rsid w:val="6A275B71"/>
    <w:rsid w:val="6A3C4524"/>
    <w:rsid w:val="6C394B07"/>
    <w:rsid w:val="6D71420D"/>
    <w:rsid w:val="6D860C2F"/>
    <w:rsid w:val="70203747"/>
    <w:rsid w:val="73085187"/>
    <w:rsid w:val="73D062CB"/>
    <w:rsid w:val="73ED4BC1"/>
    <w:rsid w:val="7568727A"/>
    <w:rsid w:val="7649061F"/>
    <w:rsid w:val="76B35DCB"/>
    <w:rsid w:val="78CF6A96"/>
    <w:rsid w:val="7FD06EFD"/>
    <w:rsid w:val="7FD81B0D"/>
    <w:rsid w:val="7FF24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paragraph" w:styleId="3">
    <w:name w:val="Balloon Text"/>
    <w:basedOn w:val="1"/>
    <w:link w:val="23"/>
    <w:unhideWhenUsed/>
    <w:qFormat/>
    <w:uiPriority w:val="99"/>
    <w:rPr>
      <w:sz w:val="18"/>
      <w:szCs w:val="18"/>
    </w:r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unhideWhenUsed/>
    <w:qFormat/>
    <w:uiPriority w:val="99"/>
    <w:rPr>
      <w:color w:val="954F72" w:themeColor="followedHyperlink"/>
      <w:u w:val="single"/>
      <w14:textFill>
        <w14:solidFill>
          <w14:schemeClr w14:val="folHlink"/>
        </w14:solidFill>
      </w14:textFill>
    </w:rPr>
  </w:style>
  <w:style w:type="character" w:styleId="11">
    <w:name w:val="Emphasis"/>
    <w:basedOn w:val="9"/>
    <w:qFormat/>
    <w:uiPriority w:val="20"/>
  </w:style>
  <w:style w:type="character" w:styleId="12">
    <w:name w:val="Hyperlink"/>
    <w:basedOn w:val="9"/>
    <w:unhideWhenUsed/>
    <w:qFormat/>
    <w:uiPriority w:val="99"/>
    <w:rPr>
      <w:color w:val="0000FF"/>
      <w:u w:val="single"/>
    </w:rPr>
  </w:style>
  <w:style w:type="character" w:customStyle="1" w:styleId="13">
    <w:name w:val="apple-converted-space"/>
    <w:basedOn w:val="9"/>
    <w:qFormat/>
    <w:uiPriority w:val="0"/>
  </w:style>
  <w:style w:type="paragraph" w:customStyle="1" w:styleId="14">
    <w:name w:val="HTML Top of Form"/>
    <w:basedOn w:val="1"/>
    <w:next w:val="1"/>
    <w:link w:val="15"/>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5">
    <w:name w:val="z-窗体顶端 Char"/>
    <w:basedOn w:val="9"/>
    <w:link w:val="14"/>
    <w:semiHidden/>
    <w:qFormat/>
    <w:uiPriority w:val="99"/>
    <w:rPr>
      <w:rFonts w:ascii="Arial" w:hAnsi="Arial" w:eastAsia="宋体" w:cs="Arial"/>
      <w:vanish/>
      <w:kern w:val="0"/>
      <w:sz w:val="16"/>
      <w:szCs w:val="16"/>
    </w:rPr>
  </w:style>
  <w:style w:type="paragraph" w:customStyle="1" w:styleId="16">
    <w:name w:val="HTML Bottom of Form"/>
    <w:basedOn w:val="1"/>
    <w:next w:val="1"/>
    <w:link w:val="17"/>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7">
    <w:name w:val="z-窗体底端 Char"/>
    <w:basedOn w:val="9"/>
    <w:link w:val="16"/>
    <w:semiHidden/>
    <w:qFormat/>
    <w:uiPriority w:val="99"/>
    <w:rPr>
      <w:rFonts w:ascii="Arial" w:hAnsi="Arial" w:eastAsia="宋体" w:cs="Arial"/>
      <w:vanish/>
      <w:kern w:val="0"/>
      <w:sz w:val="16"/>
      <w:szCs w:val="16"/>
    </w:rPr>
  </w:style>
  <w:style w:type="character" w:customStyle="1" w:styleId="18">
    <w:name w:val="da"/>
    <w:basedOn w:val="9"/>
    <w:qFormat/>
    <w:uiPriority w:val="0"/>
  </w:style>
  <w:style w:type="character" w:customStyle="1" w:styleId="19">
    <w:name w:val="zhong"/>
    <w:basedOn w:val="9"/>
    <w:qFormat/>
    <w:uiPriority w:val="0"/>
  </w:style>
  <w:style w:type="character" w:customStyle="1" w:styleId="20">
    <w:name w:val="xiao"/>
    <w:basedOn w:val="9"/>
    <w:qFormat/>
    <w:uiPriority w:val="0"/>
  </w:style>
  <w:style w:type="character" w:customStyle="1" w:styleId="21">
    <w:name w:val="页眉 Char"/>
    <w:basedOn w:val="9"/>
    <w:link w:val="5"/>
    <w:qFormat/>
    <w:uiPriority w:val="99"/>
    <w:rPr>
      <w:sz w:val="18"/>
      <w:szCs w:val="18"/>
    </w:rPr>
  </w:style>
  <w:style w:type="character" w:customStyle="1" w:styleId="22">
    <w:name w:val="页脚 Char"/>
    <w:basedOn w:val="9"/>
    <w:link w:val="4"/>
    <w:qFormat/>
    <w:uiPriority w:val="99"/>
    <w:rPr>
      <w:sz w:val="18"/>
      <w:szCs w:val="18"/>
    </w:rPr>
  </w:style>
  <w:style w:type="character" w:customStyle="1" w:styleId="23">
    <w:name w:val="批注框文本 Char"/>
    <w:basedOn w:val="9"/>
    <w:link w:val="3"/>
    <w:semiHidden/>
    <w:qFormat/>
    <w:uiPriority w:val="99"/>
    <w:rPr>
      <w:sz w:val="18"/>
      <w:szCs w:val="18"/>
    </w:rPr>
  </w:style>
  <w:style w:type="character" w:customStyle="1" w:styleId="24">
    <w:name w:val="hover38"/>
    <w:basedOn w:val="9"/>
    <w:qFormat/>
    <w:uiPriority w:val="0"/>
    <w:rPr>
      <w:color w:val="3094E2"/>
    </w:rPr>
  </w:style>
  <w:style w:type="character" w:customStyle="1" w:styleId="25">
    <w:name w:val="hover39"/>
    <w:basedOn w:val="9"/>
    <w:qFormat/>
    <w:uiPriority w:val="0"/>
  </w:style>
  <w:style w:type="character" w:customStyle="1" w:styleId="26">
    <w:name w:val="hover40"/>
    <w:basedOn w:val="9"/>
    <w:qFormat/>
    <w:uiPriority w:val="0"/>
    <w:rPr>
      <w:shd w:val="clear" w:fill="1776CC"/>
    </w:rPr>
  </w:style>
  <w:style w:type="character" w:customStyle="1" w:styleId="27">
    <w:name w:val="hover41"/>
    <w:basedOn w:val="9"/>
    <w:qFormat/>
    <w:uiPriority w:val="0"/>
  </w:style>
  <w:style w:type="character" w:customStyle="1" w:styleId="28">
    <w:name w:val="hover42"/>
    <w:basedOn w:val="9"/>
    <w:qFormat/>
    <w:uiPriority w:val="0"/>
  </w:style>
  <w:style w:type="character" w:customStyle="1" w:styleId="29">
    <w:name w:val="hover43"/>
    <w:basedOn w:val="9"/>
    <w:qFormat/>
    <w:uiPriority w:val="0"/>
    <w:rPr>
      <w:color w:val="3094E2"/>
    </w:rPr>
  </w:style>
  <w:style w:type="character" w:customStyle="1" w:styleId="30">
    <w:name w:val="hover44"/>
    <w:basedOn w:val="9"/>
    <w:qFormat/>
    <w:uiPriority w:val="0"/>
    <w:rPr>
      <w:shd w:val="clear" w:fill="CBE2FF"/>
    </w:rPr>
  </w:style>
  <w:style w:type="character" w:customStyle="1" w:styleId="31">
    <w:name w:val="first-child2"/>
    <w:basedOn w:val="9"/>
    <w:qFormat/>
    <w:uiPriority w:val="0"/>
  </w:style>
  <w:style w:type="character" w:customStyle="1" w:styleId="32">
    <w:name w:val="first-child3"/>
    <w:basedOn w:val="9"/>
    <w:qFormat/>
    <w:uiPriority w:val="0"/>
  </w:style>
  <w:style w:type="character" w:customStyle="1" w:styleId="33">
    <w:name w:val="nth-child(2)"/>
    <w:basedOn w:val="9"/>
    <w:qFormat/>
    <w:uiPriority w:val="0"/>
  </w:style>
  <w:style w:type="character" w:customStyle="1" w:styleId="34">
    <w:name w:val="before2"/>
    <w:basedOn w:val="9"/>
    <w:qFormat/>
    <w:uiPriority w:val="0"/>
  </w:style>
  <w:style w:type="character" w:customStyle="1" w:styleId="35">
    <w:name w:val="loap_active6"/>
    <w:basedOn w:val="9"/>
    <w:qFormat/>
    <w:uiPriority w:val="0"/>
    <w:rPr>
      <w:color w:val="3094E2"/>
    </w:rPr>
  </w:style>
  <w:style w:type="character" w:customStyle="1" w:styleId="36">
    <w:name w:val="loap_active7"/>
    <w:basedOn w:val="9"/>
    <w:qFormat/>
    <w:uiPriority w:val="0"/>
    <w:rPr>
      <w:color w:val="3094E2"/>
      <w:shd w:val="clear" w:fill="FFFFFF"/>
    </w:rPr>
  </w:style>
  <w:style w:type="character" w:customStyle="1" w:styleId="37">
    <w:name w:val="time_frame"/>
    <w:basedOn w:val="9"/>
    <w:qFormat/>
    <w:uiPriority w:val="0"/>
  </w:style>
  <w:style w:type="character" w:customStyle="1" w:styleId="38">
    <w:name w:val="after2"/>
    <w:basedOn w:val="9"/>
    <w:qFormat/>
    <w:uiPriority w:val="0"/>
  </w:style>
  <w:style w:type="character" w:customStyle="1" w:styleId="39">
    <w:name w:val="after3"/>
    <w:basedOn w:val="9"/>
    <w:qFormat/>
    <w:uiPriority w:val="0"/>
  </w:style>
  <w:style w:type="character" w:customStyle="1" w:styleId="40">
    <w:name w:val="lc2_menubar_label"/>
    <w:basedOn w:val="9"/>
    <w:qFormat/>
    <w:uiPriority w:val="0"/>
  </w:style>
  <w:style w:type="character" w:customStyle="1" w:styleId="41">
    <w:name w:val="yttz_hylx"/>
    <w:basedOn w:val="9"/>
    <w:qFormat/>
    <w:uiPriority w:val="0"/>
  </w:style>
  <w:style w:type="character" w:customStyle="1" w:styleId="42">
    <w:name w:val="oatab_active2"/>
    <w:basedOn w:val="9"/>
    <w:qFormat/>
    <w:uiPriority w:val="0"/>
  </w:style>
  <w:style w:type="character" w:customStyle="1" w:styleId="43">
    <w:name w:val="oatab_active3"/>
    <w:basedOn w:val="9"/>
    <w:qFormat/>
    <w:uiPriority w:val="0"/>
    <w:rPr>
      <w:color w:val="FFFFFF"/>
    </w:rPr>
  </w:style>
  <w:style w:type="character" w:customStyle="1" w:styleId="44">
    <w:name w:val="oatab_active4"/>
    <w:basedOn w:val="9"/>
    <w:qFormat/>
    <w:uiPriority w:val="0"/>
    <w:rPr>
      <w:color w:val="0079D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1750</Words>
  <Characters>1928</Characters>
  <Lines>27</Lines>
  <Paragraphs>7</Paragraphs>
  <TotalTime>2</TotalTime>
  <ScaleCrop>false</ScaleCrop>
  <LinksUpToDate>false</LinksUpToDate>
  <CharactersWithSpaces>1946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2018-05-19T14:36:00Z</dcterms:created>
  <dc:creator>Administrator</dc:creator>
  <cp:lastModifiedBy>WPS_1581317969</cp:lastModifiedBy>
  <cp:lastPrinted>2023-03-02T08:47:00Z</cp:lastPrinted>
  <dcterms:modified xsi:type="dcterms:W3CDTF">2023-03-06T06:14:18Z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88F9BF5197B542A2A7856B567F06F60B</vt:lpwstr>
  </property>
</Properties>
</file>