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p>
    <w:p>
      <w:pPr>
        <w:adjustRightInd w:val="0"/>
        <w:snapToGrid w:val="0"/>
        <w:jc w:val="left"/>
        <w:rPr>
          <w:rFonts w:ascii="宋体" w:hAnsi="宋体" w:cs="Arial"/>
          <w:b/>
          <w:bCs/>
          <w:sz w:val="32"/>
          <w:szCs w:val="44"/>
        </w:rPr>
      </w:pPr>
      <w:r>
        <w:rPr>
          <w:rFonts w:hint="eastAsia" w:ascii="宋体" w:hAnsi="宋体" w:cs="Arial"/>
          <w:b/>
          <w:bCs/>
          <w:sz w:val="32"/>
          <w:szCs w:val="44"/>
        </w:rPr>
        <w:t>深圳市文化场馆建设布局研究课题项目</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ind w:left="420" w:leftChars="200"/>
        <w:jc w:val="center"/>
        <w:rPr>
          <w:rFonts w:ascii="方正小标宋简体" w:hAnsi="宋体" w:cs="Arial"/>
          <w:sz w:val="48"/>
          <w:szCs w:val="48"/>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2年</w:t>
      </w:r>
      <w:r>
        <w:rPr>
          <w:rFonts w:ascii="宋体" w:hAnsi="宋体"/>
          <w:b/>
          <w:bCs/>
          <w:sz w:val="32"/>
          <w:szCs w:val="32"/>
        </w:rPr>
        <w:t>5</w:t>
      </w:r>
      <w:r>
        <w:rPr>
          <w:rFonts w:hint="eastAsia" w:ascii="宋体" w:hAnsi="宋体"/>
          <w:b/>
          <w:bCs/>
          <w:sz w:val="32"/>
          <w:szCs w:val="32"/>
        </w:rPr>
        <w:t>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深圳市文化场馆建设布局研究</w:t>
      </w:r>
    </w:p>
    <w:p>
      <w:pPr>
        <w:adjustRightInd w:val="0"/>
        <w:snapToGrid w:val="0"/>
        <w:jc w:val="center"/>
        <w:rPr>
          <w:rFonts w:ascii="宋体" w:hAnsi="宋体" w:cs="Arial"/>
          <w:b/>
          <w:bCs/>
          <w:sz w:val="44"/>
          <w:szCs w:val="44"/>
        </w:rPr>
      </w:pPr>
      <w:r>
        <w:rPr>
          <w:rFonts w:hint="eastAsia" w:ascii="宋体" w:hAnsi="宋体" w:cs="Arial"/>
          <w:b/>
          <w:bCs/>
          <w:sz w:val="44"/>
          <w:szCs w:val="44"/>
        </w:rPr>
        <w:t>课题项目招标书</w:t>
      </w:r>
    </w:p>
    <w:p>
      <w:pPr>
        <w:spacing w:line="560" w:lineRule="exact"/>
        <w:ind w:firstLine="643" w:firstLineChars="200"/>
        <w:rPr>
          <w:rFonts w:ascii="黑体" w:hAnsi="黑体" w:eastAsia="黑体"/>
          <w:b/>
          <w:bCs/>
          <w:sz w:val="32"/>
          <w:szCs w:val="32"/>
        </w:rPr>
      </w:pP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（一）项目名称：深圳市文化场馆建设布局研究。</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ascii="仿宋_GB2312" w:hAnsi="仿宋" w:eastAsia="仿宋_GB2312" w:cs="仿宋_GB2312"/>
          <w:sz w:val="32"/>
          <w:szCs w:val="32"/>
        </w:rPr>
        <w:t>100</w:t>
      </w:r>
      <w:r>
        <w:rPr>
          <w:rFonts w:hint="eastAsia" w:ascii="仿宋_GB2312" w:hAnsi="仿宋" w:eastAsia="仿宋_GB2312" w:cs="仿宋_GB2312"/>
          <w:sz w:val="32"/>
          <w:szCs w:val="32"/>
        </w:rPr>
        <w:t>万元以下。</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二、项目内容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（一）前瞻研判国内外文化场馆建设总体形势。全面把握全球文化场馆建设趋势，系统梳理我国文化场馆建设政策导向，在全球坐标系和国家发展大局中厘清深圳推进文化场馆建设的方向。</w:t>
      </w:r>
    </w:p>
    <w:p>
      <w:pPr>
        <w:spacing w:line="560" w:lineRule="exact"/>
        <w:ind w:firstLine="640" w:firstLineChars="200"/>
        <w:rPr>
          <w:rFonts w:ascii="仿宋_GB2312" w:hAnsi="等线" w:eastAsia="仿宋_GB2312"/>
          <w:sz w:val="32"/>
          <w:szCs w:val="32"/>
        </w:rPr>
      </w:pPr>
      <w:r>
        <w:rPr>
          <w:rFonts w:hint="eastAsia" w:ascii="仿宋_GB2312" w:hAnsi="仿宋_GB2312" w:eastAsia="仿宋_GB2312" w:cs="仿宋_GB2312"/>
          <w:bCs/>
          <w:sz w:val="32"/>
          <w:szCs w:val="32"/>
        </w:rPr>
        <w:t>（二）分析深圳文化场馆建设现状和问题。</w:t>
      </w:r>
      <w:r>
        <w:rPr>
          <w:rFonts w:hint="eastAsia" w:ascii="仿宋_GB2312" w:hAnsi="等线" w:eastAsia="仿宋_GB2312"/>
          <w:sz w:val="32"/>
          <w:szCs w:val="32"/>
        </w:rPr>
        <w:t>基于广泛深入调查研究，摸排深圳文化场馆建设和需求情况，重点围绕场馆类型、数量规模、空间布局、投融资模式、运营管理等方面，总结分析文化场馆发展现状特点和短板问题。</w:t>
      </w:r>
    </w:p>
    <w:p>
      <w:pPr>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bCs/>
          <w:sz w:val="32"/>
          <w:szCs w:val="32"/>
        </w:rPr>
        <w:t>（三）研究提出深圳文化场馆发展总体思路。充分借鉴国内外先进城市典型案例经验做法，</w:t>
      </w:r>
      <w:r>
        <w:rPr>
          <w:rFonts w:hint="eastAsia" w:ascii="仿宋_GB2312" w:eastAsia="仿宋_GB2312"/>
          <w:kern w:val="0"/>
          <w:sz w:val="32"/>
          <w:szCs w:val="32"/>
        </w:rPr>
        <w:t>结合当前深圳文化场馆建设布局总体现状特点和存在问题，研究提出未来一段时期深圳文化场馆建设布局的总体思路。</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（四）充分论证重点文化场馆建设必要性。</w:t>
      </w:r>
      <w:r>
        <w:rPr>
          <w:rFonts w:ascii="仿宋_GB2312" w:hAnsi="仿宋_GB2312" w:eastAsia="仿宋_GB2312" w:cs="仿宋_GB2312"/>
          <w:bCs/>
          <w:sz w:val="32"/>
          <w:szCs w:val="32"/>
        </w:rPr>
        <w:t>结合深圳</w:t>
      </w:r>
      <w:r>
        <w:rPr>
          <w:rFonts w:hint="eastAsia" w:ascii="仿宋_GB2312" w:hAnsi="仿宋_GB2312" w:eastAsia="仿宋_GB2312" w:cs="仿宋_GB2312"/>
          <w:bCs/>
          <w:sz w:val="32"/>
          <w:szCs w:val="32"/>
        </w:rPr>
        <w:t>文化场馆建设运营总体思路，重点聚焦未来谋划储备文化场馆项目，充分</w:t>
      </w:r>
      <w:r>
        <w:rPr>
          <w:rFonts w:ascii="仿宋_GB2312" w:hAnsi="仿宋_GB2312" w:eastAsia="仿宋_GB2312" w:cs="仿宋_GB2312"/>
          <w:bCs/>
          <w:sz w:val="32"/>
          <w:szCs w:val="32"/>
        </w:rPr>
        <w:t>论证项目</w:t>
      </w:r>
      <w:r>
        <w:rPr>
          <w:rFonts w:hint="eastAsia" w:ascii="仿宋_GB2312" w:hAnsi="仿宋_GB2312" w:eastAsia="仿宋_GB2312" w:cs="仿宋_GB2312"/>
          <w:bCs/>
          <w:sz w:val="32"/>
          <w:szCs w:val="32"/>
        </w:rPr>
        <w:t>建设必要性、可行性等内容。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（五）研提深圳文化场馆建设重点项目实施建议。</w:t>
      </w:r>
      <w:r>
        <w:rPr>
          <w:rFonts w:hint="eastAsia" w:ascii="仿宋_GB2312" w:hAnsi="仿宋_GB2312" w:eastAsia="仿宋_GB2312" w:cs="仿宋_GB2312"/>
          <w:sz w:val="32"/>
          <w:szCs w:val="32"/>
        </w:rPr>
        <w:t>针对</w:t>
      </w:r>
      <w:r>
        <w:rPr>
          <w:rFonts w:hint="eastAsia" w:ascii="仿宋_GB2312" w:hAnsi="仿宋_GB2312" w:eastAsia="仿宋_GB2312" w:cs="仿宋_GB2312"/>
          <w:bCs/>
          <w:sz w:val="32"/>
          <w:szCs w:val="32"/>
        </w:rPr>
        <w:t>文化场馆重点项目，</w:t>
      </w:r>
      <w:r>
        <w:rPr>
          <w:rFonts w:hint="eastAsia" w:ascii="仿宋_GB2312" w:hAnsi="仿宋_GB2312" w:eastAsia="仿宋_GB2312" w:cs="仿宋_GB2312"/>
          <w:sz w:val="32"/>
          <w:szCs w:val="32"/>
        </w:rPr>
        <w:t>研究提出文化场馆项目建设时序、</w:t>
      </w:r>
      <w:r>
        <w:rPr>
          <w:rFonts w:hint="eastAsia" w:ascii="仿宋_GB2312" w:eastAsia="仿宋_GB2312" w:cs="仿宋_GB2312" w:hAnsiTheme="majorEastAsia"/>
          <w:bCs/>
          <w:sz w:val="32"/>
          <w:szCs w:val="32"/>
        </w:rPr>
        <w:t>空间布局、</w:t>
      </w:r>
      <w:r>
        <w:rPr>
          <w:rFonts w:hint="eastAsia" w:ascii="仿宋_GB2312" w:hAnsi="仿宋_GB2312" w:eastAsia="仿宋_GB2312" w:cs="仿宋_GB2312"/>
          <w:sz w:val="32"/>
          <w:szCs w:val="32"/>
        </w:rPr>
        <w:t>投融资模式、运营管理模式等方面具体建议</w:t>
      </w:r>
      <w:r>
        <w:rPr>
          <w:rFonts w:hint="eastAsia" w:ascii="仿宋_GB2312" w:hAnsi="Times New Roman" w:eastAsia="仿宋_GB2312"/>
          <w:sz w:val="32"/>
          <w:szCs w:val="24"/>
        </w:rPr>
        <w:t>。</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三、项目技术要求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（三）研究成果要具有前瞻性，面向未来、视野开阔，把握全球发展大势；具有系统性，研究成果要体系完整、内容全面、材料丰富；具有实用性，研究成果符合深圳实际，针对性和可操作性强。</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仿宋_GB2312" w:eastAsia="仿宋_GB2312" w:hAnsiTheme="majorEastAsia"/>
          <w:sz w:val="32"/>
          <w:szCs w:val="24"/>
        </w:rPr>
        <w:t>提交研究成果纸</w:t>
      </w:r>
      <w:r>
        <w:rPr>
          <w:rFonts w:hint="eastAsia" w:ascii="仿宋_GB2312" w:eastAsia="仿宋_GB2312" w:cs="仿宋_GB2312" w:hAnsiTheme="majorEastAsia"/>
          <w:sz w:val="32"/>
          <w:szCs w:val="24"/>
        </w:rPr>
        <w:t>质版</w:t>
      </w:r>
      <w:r>
        <w:rPr>
          <w:rFonts w:ascii="仿宋_GB2312" w:eastAsia="仿宋_GB2312" w:cs="仿宋_GB2312" w:hAnsiTheme="majorEastAsia"/>
          <w:sz w:val="32"/>
          <w:szCs w:val="24"/>
        </w:rPr>
        <w:t>5</w:t>
      </w:r>
      <w:r>
        <w:rPr>
          <w:rFonts w:hint="eastAsia" w:ascii="仿宋_GB2312" w:eastAsia="仿宋_GB2312" w:cs="仿宋_GB2312" w:hAnsiTheme="majorEastAsia"/>
          <w:sz w:val="32"/>
          <w:szCs w:val="24"/>
        </w:rPr>
        <w:t>份</w:t>
      </w:r>
      <w:r>
        <w:rPr>
          <w:rFonts w:hint="eastAsia" w:ascii="仿宋_GB2312" w:eastAsia="仿宋_GB2312" w:hAnsiTheme="majorEastAsia"/>
          <w:sz w:val="32"/>
          <w:szCs w:val="24"/>
        </w:rPr>
        <w:t>和电子版，文件能够简明扼要介绍成果核心内容与主要结论</w:t>
      </w:r>
      <w:r>
        <w:rPr>
          <w:rFonts w:hint="eastAsia" w:ascii="Times New Roman" w:hAnsi="Times New Roman" w:eastAsia="仿宋_GB2312"/>
          <w:sz w:val="32"/>
          <w:szCs w:val="24"/>
        </w:rPr>
        <w:t>。</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六、投标时间、方式及联系人</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（一）投标时间：</w:t>
      </w:r>
      <w:r>
        <w:rPr>
          <w:rFonts w:ascii="仿宋_GB2312" w:hAnsi="Times New Roman" w:eastAsia="仿宋_GB2312"/>
          <w:bCs/>
          <w:sz w:val="32"/>
          <w:szCs w:val="32"/>
        </w:rPr>
        <w:t>2022年5</w:t>
      </w:r>
      <w:r>
        <w:rPr>
          <w:rFonts w:hint="eastAsia" w:ascii="仿宋_GB2312" w:hAnsi="Times New Roman" w:eastAsia="仿宋_GB2312"/>
          <w:bCs/>
          <w:sz w:val="32"/>
          <w:szCs w:val="32"/>
        </w:rPr>
        <w:t>月</w:t>
      </w:r>
      <w:r>
        <w:rPr>
          <w:rFonts w:hint="eastAsia" w:ascii="仿宋_GB2312" w:hAnsi="Times New Roman" w:eastAsia="仿宋_GB2312"/>
          <w:bCs/>
          <w:sz w:val="32"/>
          <w:szCs w:val="32"/>
          <w:lang w:val="en-US" w:eastAsia="zh-CN"/>
        </w:rPr>
        <w:t>11</w:t>
      </w:r>
      <w:r>
        <w:rPr>
          <w:rFonts w:hint="eastAsia" w:ascii="仿宋_GB2312" w:hAnsi="Times New Roman" w:eastAsia="仿宋_GB2312"/>
          <w:bCs/>
          <w:sz w:val="32"/>
          <w:szCs w:val="32"/>
        </w:rPr>
        <w:t>日至</w:t>
      </w:r>
      <w:r>
        <w:rPr>
          <w:rFonts w:ascii="仿宋_GB2312" w:hAnsi="Times New Roman" w:eastAsia="仿宋_GB2312"/>
          <w:bCs/>
          <w:sz w:val="32"/>
          <w:szCs w:val="32"/>
        </w:rPr>
        <w:t>2022</w:t>
      </w:r>
      <w:bookmarkStart w:id="0" w:name="_GoBack"/>
      <w:bookmarkEnd w:id="0"/>
      <w:r>
        <w:rPr>
          <w:rFonts w:hint="eastAsia" w:ascii="仿宋_GB2312" w:hAnsi="Times New Roman" w:eastAsia="仿宋_GB2312"/>
          <w:bCs/>
          <w:sz w:val="32"/>
          <w:szCs w:val="32"/>
        </w:rPr>
        <w:t>年</w:t>
      </w:r>
      <w:r>
        <w:rPr>
          <w:rFonts w:ascii="仿宋_GB2312" w:hAnsi="Times New Roman" w:eastAsia="仿宋_GB2312"/>
          <w:bCs/>
          <w:sz w:val="32"/>
          <w:szCs w:val="32"/>
        </w:rPr>
        <w:t>5</w:t>
      </w:r>
      <w:r>
        <w:rPr>
          <w:rFonts w:hint="eastAsia" w:ascii="仿宋_GB2312" w:hAnsi="Times New Roman" w:eastAsia="仿宋_GB2312"/>
          <w:bCs/>
          <w:sz w:val="32"/>
          <w:szCs w:val="32"/>
        </w:rPr>
        <w:t>月</w:t>
      </w:r>
      <w:r>
        <w:rPr>
          <w:rFonts w:hint="eastAsia" w:ascii="仿宋_GB2312" w:hAnsi="Times New Roman" w:eastAsia="仿宋_GB2312"/>
          <w:bCs/>
          <w:sz w:val="32"/>
          <w:szCs w:val="32"/>
          <w:lang w:val="en-US" w:eastAsia="zh-CN"/>
        </w:rPr>
        <w:t>23</w:t>
      </w:r>
      <w:r>
        <w:rPr>
          <w:rFonts w:hint="eastAsia" w:ascii="仿宋_GB2312" w:hAnsi="Times New Roman" w:eastAsia="仿宋_GB2312"/>
          <w:bCs/>
          <w:sz w:val="32"/>
          <w:szCs w:val="32"/>
        </w:rPr>
        <w:t>日，每日上午9:00-12:00，下午2:00-5:45（节假日除外）。逾期未投标将不再受理</w:t>
      </w:r>
      <w:r>
        <w:rPr>
          <w:rFonts w:ascii="仿宋_GB2312" w:hAnsi="Times New Roman" w:eastAsia="仿宋_GB2312"/>
          <w:bCs/>
          <w:sz w:val="32"/>
          <w:szCs w:val="32"/>
        </w:rPr>
        <w:t>。</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（二）投标地点：深圳市福田区福中三路市民中心B区行政服务大厅2号市发展和改革委卡座（可邮寄，以送达日期为投标日期）。</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（三）联系人：</w:t>
      </w:r>
      <w:r>
        <w:rPr>
          <w:rFonts w:hint="eastAsia" w:ascii="仿宋_GB2312" w:hAnsi="Times New Roman" w:eastAsia="仿宋_GB2312"/>
          <w:bCs/>
          <w:sz w:val="32"/>
          <w:szCs w:val="32"/>
          <w:lang w:eastAsia="zh-CN"/>
        </w:rPr>
        <w:t>杨淑姝，</w:t>
      </w:r>
      <w:r>
        <w:rPr>
          <w:rFonts w:hint="eastAsia" w:ascii="仿宋_GB2312" w:hAnsi="Times New Roman" w:eastAsia="仿宋_GB2312"/>
          <w:bCs/>
          <w:sz w:val="32"/>
          <w:szCs w:val="32"/>
          <w:lang w:val="en-US" w:eastAsia="zh-CN"/>
        </w:rPr>
        <w:t>0755-88121935</w:t>
      </w:r>
      <w:r>
        <w:rPr>
          <w:rFonts w:hint="eastAsia" w:ascii="仿宋_GB2312" w:hAnsi="Times New Roman" w:eastAsia="仿宋_GB2312"/>
          <w:bCs/>
          <w:sz w:val="32"/>
          <w:szCs w:val="32"/>
        </w:rPr>
        <w:t>。</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（四）项目方案及报价单（原件加盖公章）。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（六）投标人无重大违法记录声明函（原件加盖公章，格式自拟）。</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（七）投标及履约承诺函原件（格式见附件）。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（八）住所地不在深圳的投标人应提供营业场所证明原件。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（九）投标人认为有必要提供的其它材料。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投标文件一式六份（另附光盘拷贝电子版），整套材料密封并加盖骑缝章，封面注明投标人的名称、地址、联系人及手机号码。</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（三）投标文件未按规定密封、签字、盖章。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（九）法律、法规规定的其他情形。</w:t>
      </w: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九、评标方法</w:t>
      </w:r>
    </w:p>
    <w:p>
      <w:pPr>
        <w:adjustRightInd w:val="0"/>
        <w:snapToGrid w:val="0"/>
        <w:spacing w:line="560" w:lineRule="exact"/>
        <w:ind w:firstLine="640" w:firstLineChars="200"/>
        <w:outlineLvl w:val="0"/>
        <w:rPr>
          <w:rFonts w:ascii="仿宋_GB2312" w:hAnsi="仿宋" w:eastAsia="仿宋" w:cs="仿宋_GB2312"/>
          <w:sz w:val="32"/>
          <w:szCs w:val="32"/>
        </w:rPr>
      </w:pPr>
      <w:r>
        <w:rPr>
          <w:rFonts w:hint="eastAsia" w:ascii="仿宋_GB2312"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_GB2312" w:hAnsi="仿宋" w:eastAsia="仿宋" w:cs="仿宋_GB2312"/>
          <w:sz w:val="32"/>
          <w:szCs w:val="32"/>
        </w:rPr>
      </w:pPr>
      <w:r>
        <w:rPr>
          <w:rFonts w:hint="eastAsia" w:ascii="仿宋_GB2312" w:hAnsi="仿宋" w:eastAsia="仿宋" w:cs="仿宋_GB2312"/>
          <w:sz w:val="32"/>
          <w:szCs w:val="32"/>
        </w:rPr>
        <w:t>（二）综合评分表</w:t>
      </w:r>
    </w:p>
    <w:tbl>
      <w:tblPr>
        <w:tblStyle w:val="8"/>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819"/>
        <w:gridCol w:w="70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tcBorders>
              <w:top w:val="single" w:color="auto" w:sz="8" w:space="0"/>
              <w:left w:val="single" w:color="auto" w:sz="8" w:space="0"/>
              <w:bottom w:val="single" w:color="auto" w:sz="8" w:space="0"/>
              <w:right w:val="single" w:color="auto" w:sz="8" w:space="0"/>
            </w:tcBorders>
            <w:vAlign w:val="center"/>
          </w:tcPr>
          <w:p>
            <w:pPr>
              <w:rPr>
                <w:rFonts w:ascii="仿宋_GB2312" w:hAnsi="宋体" w:cs="宋体"/>
                <w:b/>
                <w:sz w:val="22"/>
                <w:szCs w:val="24"/>
              </w:rPr>
            </w:pPr>
            <w:r>
              <w:rPr>
                <w:rFonts w:hint="eastAsia" w:ascii="仿宋_GB2312" w:hAnsi="宋体" w:cs="宋体"/>
                <w:b/>
                <w:sz w:val="22"/>
                <w:szCs w:val="24"/>
              </w:rPr>
              <w:t>评审部分</w:t>
            </w:r>
          </w:p>
        </w:tc>
        <w:tc>
          <w:tcPr>
            <w:tcW w:w="1202" w:type="dxa"/>
            <w:tcBorders>
              <w:top w:val="single" w:color="auto" w:sz="8" w:space="0"/>
              <w:left w:val="single" w:color="auto" w:sz="8" w:space="0"/>
              <w:bottom w:val="single" w:color="auto" w:sz="8" w:space="0"/>
              <w:right w:val="single" w:color="auto" w:sz="8" w:space="0"/>
            </w:tcBorders>
            <w:vAlign w:val="center"/>
          </w:tcPr>
          <w:p>
            <w:pPr>
              <w:rPr>
                <w:rFonts w:ascii="仿宋_GB2312" w:hAnsi="宋体" w:cs="宋体"/>
                <w:b/>
                <w:sz w:val="22"/>
                <w:szCs w:val="24"/>
              </w:rPr>
            </w:pPr>
            <w:r>
              <w:rPr>
                <w:rFonts w:hint="eastAsia" w:ascii="仿宋_GB2312" w:hAnsi="宋体" w:cs="宋体"/>
                <w:b/>
                <w:sz w:val="22"/>
                <w:szCs w:val="24"/>
              </w:rPr>
              <w:t>评审因素</w:t>
            </w:r>
          </w:p>
        </w:tc>
        <w:tc>
          <w:tcPr>
            <w:tcW w:w="4819" w:type="dxa"/>
            <w:tcBorders>
              <w:top w:val="single" w:color="auto" w:sz="8" w:space="0"/>
              <w:left w:val="single" w:color="auto" w:sz="8" w:space="0"/>
              <w:bottom w:val="single" w:color="auto" w:sz="8" w:space="0"/>
              <w:right w:val="single" w:color="auto" w:sz="8" w:space="0"/>
            </w:tcBorders>
            <w:vAlign w:val="center"/>
          </w:tcPr>
          <w:p>
            <w:pPr>
              <w:rPr>
                <w:rFonts w:ascii="仿宋_GB2312" w:hAnsi="宋体" w:cs="宋体"/>
                <w:b/>
                <w:sz w:val="22"/>
                <w:szCs w:val="24"/>
              </w:rPr>
            </w:pPr>
            <w:r>
              <w:rPr>
                <w:rFonts w:hint="eastAsia" w:ascii="仿宋_GB2312" w:hAnsi="宋体" w:cs="宋体"/>
                <w:b/>
                <w:sz w:val="22"/>
                <w:szCs w:val="24"/>
              </w:rPr>
              <w:t>评分细则</w:t>
            </w:r>
          </w:p>
        </w:tc>
        <w:tc>
          <w:tcPr>
            <w:tcW w:w="709" w:type="dxa"/>
            <w:tcBorders>
              <w:top w:val="single" w:color="auto" w:sz="8" w:space="0"/>
              <w:left w:val="single" w:color="auto" w:sz="8" w:space="0"/>
              <w:bottom w:val="single" w:color="auto" w:sz="8" w:space="0"/>
              <w:right w:val="single" w:color="auto" w:sz="4" w:space="0"/>
            </w:tcBorders>
            <w:vAlign w:val="center"/>
          </w:tcPr>
          <w:p>
            <w:pPr>
              <w:rPr>
                <w:rFonts w:ascii="仿宋_GB2312" w:hAnsi="宋体" w:cs="宋体"/>
                <w:b/>
                <w:sz w:val="22"/>
                <w:szCs w:val="24"/>
              </w:rPr>
            </w:pPr>
            <w:r>
              <w:rPr>
                <w:rFonts w:hint="eastAsia" w:ascii="仿宋_GB2312" w:hAnsi="宋体" w:cs="宋体"/>
                <w:b/>
                <w:sz w:val="22"/>
                <w:szCs w:val="24"/>
              </w:rPr>
              <w:t>权重（%）</w:t>
            </w:r>
          </w:p>
        </w:tc>
        <w:tc>
          <w:tcPr>
            <w:tcW w:w="851" w:type="dxa"/>
            <w:tcBorders>
              <w:top w:val="single" w:color="auto" w:sz="8" w:space="0"/>
              <w:left w:val="single" w:color="auto" w:sz="4" w:space="0"/>
              <w:bottom w:val="single" w:color="auto" w:sz="8" w:space="0"/>
              <w:right w:val="single" w:color="auto" w:sz="8" w:space="0"/>
            </w:tcBorders>
            <w:vAlign w:val="center"/>
          </w:tcPr>
          <w:p>
            <w:pPr>
              <w:rPr>
                <w:rFonts w:ascii="仿宋_GB2312" w:hAnsi="宋体" w:cs="宋体"/>
                <w:b/>
                <w:sz w:val="22"/>
                <w:szCs w:val="24"/>
              </w:rPr>
            </w:pPr>
            <w:r>
              <w:rPr>
                <w:rFonts w:hint="eastAsia" w:ascii="仿宋_GB2312"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trPr>
        <w:tc>
          <w:tcPr>
            <w:tcW w:w="680" w:type="dxa"/>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一</w:t>
            </w:r>
          </w:p>
        </w:tc>
        <w:tc>
          <w:tcPr>
            <w:tcW w:w="7581" w:type="dxa"/>
            <w:gridSpan w:val="4"/>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b/>
                <w:sz w:val="22"/>
                <w:szCs w:val="24"/>
              </w:rPr>
              <w:t>技术部分（合计</w:t>
            </w:r>
            <w:r>
              <w:rPr>
                <w:rFonts w:ascii="仿宋_GB2312" w:hAnsi="宋体" w:eastAsia="仿宋_GB2312"/>
                <w:b/>
                <w:sz w:val="22"/>
                <w:szCs w:val="24"/>
              </w:rPr>
              <w:t>40</w:t>
            </w:r>
            <w:r>
              <w:rPr>
                <w:rFonts w:hint="eastAsia" w:ascii="仿宋_GB2312" w:hAnsi="宋体" w:eastAsia="仿宋_GB2312"/>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08" w:hRule="atLeast"/>
        </w:trPr>
        <w:tc>
          <w:tcPr>
            <w:tcW w:w="680" w:type="dxa"/>
            <w:tcBorders>
              <w:bottom w:val="single" w:color="auto" w:sz="4" w:space="0"/>
            </w:tcBorders>
            <w:vAlign w:val="center"/>
          </w:tcPr>
          <w:p>
            <w:pPr>
              <w:numPr>
                <w:ilvl w:val="0"/>
                <w:numId w:val="1"/>
              </w:numPr>
              <w:jc w:val="right"/>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实施方案</w:t>
            </w:r>
          </w:p>
        </w:tc>
        <w:tc>
          <w:tcPr>
            <w:tcW w:w="4819" w:type="dxa"/>
            <w:vAlign w:val="center"/>
          </w:tcPr>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根据投标人提供的项目实施方案的全面性、针对性、可操作性等进行分档评审：</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1.评价为优，得100%；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2.评价为良，得70%；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3.评价为中，得40%；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4.评价为差，得10%；</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2</w:t>
            </w:r>
            <w:r>
              <w:rPr>
                <w:rFonts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2</w:t>
            </w:r>
            <w:r>
              <w:rPr>
                <w:rFonts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1"/>
              </w:numPr>
              <w:jc w:val="right"/>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质量保障措施及方案</w:t>
            </w:r>
          </w:p>
        </w:tc>
        <w:tc>
          <w:tcPr>
            <w:tcW w:w="4819" w:type="dxa"/>
          </w:tcPr>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根据投标人对项目进度计划和人员安排、质量和进度保障措施是否合理、可行等进行分档评审：</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1.评价为优，得100%；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2.评价为良，得70%；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3.评价为中，得40%；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4.评价为差，得10%；</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10</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1"/>
              </w:numPr>
              <w:jc w:val="right"/>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违约承诺</w:t>
            </w:r>
          </w:p>
        </w:tc>
        <w:tc>
          <w:tcPr>
            <w:tcW w:w="4819" w:type="dxa"/>
          </w:tcPr>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提供违约承诺，承诺满足招标文件要求，保证措施合理且有针对性，有具体的违约责任承诺。</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投标人提供违约承诺得100%。要求提供承诺（格式自定）作为得分依据，未提供承诺或承诺内容不满足要求不得分。</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二</w:t>
            </w:r>
          </w:p>
        </w:tc>
        <w:tc>
          <w:tcPr>
            <w:tcW w:w="7581" w:type="dxa"/>
            <w:gridSpan w:val="4"/>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综合实力部分</w:t>
            </w:r>
            <w:r>
              <w:rPr>
                <w:rFonts w:hint="eastAsia" w:ascii="仿宋_GB2312" w:hAnsi="宋体" w:eastAsia="仿宋_GB2312"/>
                <w:b/>
                <w:sz w:val="22"/>
                <w:szCs w:val="24"/>
              </w:rPr>
              <w:t>（合计50分）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2"/>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投标人</w:t>
            </w:r>
          </w:p>
          <w:p>
            <w:pPr>
              <w:jc w:val="center"/>
              <w:rPr>
                <w:rFonts w:ascii="仿宋_GB2312" w:hAnsi="Arial" w:eastAsia="仿宋_GB2312"/>
                <w:b/>
                <w:bCs/>
                <w:sz w:val="22"/>
                <w:szCs w:val="32"/>
              </w:rPr>
            </w:pPr>
            <w:r>
              <w:rPr>
                <w:rFonts w:hint="eastAsia" w:ascii="仿宋_GB2312" w:hAnsi="宋体" w:eastAsia="仿宋_GB2312"/>
                <w:sz w:val="22"/>
                <w:szCs w:val="24"/>
              </w:rPr>
              <w:t>经验</w:t>
            </w:r>
          </w:p>
        </w:tc>
        <w:tc>
          <w:tcPr>
            <w:tcW w:w="4819" w:type="dxa"/>
            <w:vAlign w:val="center"/>
          </w:tcPr>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牵头承担过国家、省或市级综合规划、公共服务、政策创新等相关领域政府课题的，按国家级每项20%、省级每项15%、市级每项10%进行计分，最高得分不超过100%。</w:t>
            </w:r>
          </w:p>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b/>
                <w:kern w:val="0"/>
                <w:sz w:val="22"/>
                <w:szCs w:val="24"/>
              </w:rPr>
            </w:pPr>
            <w:r>
              <w:rPr>
                <w:rFonts w:hint="eastAsia" w:ascii="仿宋_GB2312" w:hAnsi="宋体" w:eastAsia="仿宋_GB2312" w:cs="宋体"/>
                <w:kern w:val="0"/>
                <w:sz w:val="22"/>
                <w:szCs w:val="24"/>
              </w:rPr>
              <w:t>（1）要求提供中标通知书、合同关键页或其他证明文件。</w:t>
            </w:r>
          </w:p>
          <w:p>
            <w:pPr>
              <w:widowControl/>
              <w:ind w:left="-63" w:leftChars="-30" w:right="-88" w:rightChars="-42"/>
              <w:rPr>
                <w:rFonts w:ascii="仿宋_GB2312" w:hAnsi="宋体" w:eastAsia="仿宋_GB2312" w:cs="宋体"/>
                <w:kern w:val="0"/>
                <w:sz w:val="22"/>
                <w:szCs w:val="24"/>
              </w:rPr>
            </w:pPr>
            <w:r>
              <w:rPr>
                <w:rFonts w:hint="eastAsia" w:ascii="仿宋_GB2312" w:hAnsi="宋体" w:eastAsia="仿宋_GB2312" w:cs="宋体"/>
                <w:kern w:val="0"/>
                <w:sz w:val="22"/>
                <w:szCs w:val="24"/>
              </w:rPr>
              <w:t>（2）以上资料均要求提供扫描件（或官方网站截图）。评分中出现无证明资料或专家无法凭所提供资料判断是否得分的情况，一律作不得分处理。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highlight w:val="yellow"/>
              </w:rPr>
            </w:pPr>
            <w:r>
              <w:rPr>
                <w:rFonts w:hint="eastAsia" w:ascii="仿宋_GB2312" w:hAnsi="宋体" w:eastAsia="仿宋_GB2312"/>
                <w:sz w:val="22"/>
                <w:szCs w:val="24"/>
              </w:rPr>
              <w:t>15</w:t>
            </w:r>
          </w:p>
        </w:tc>
        <w:tc>
          <w:tcPr>
            <w:tcW w:w="851" w:type="dxa"/>
            <w:tcBorders>
              <w:left w:val="single" w:color="auto" w:sz="4" w:space="0"/>
            </w:tcBorders>
            <w:vAlign w:val="center"/>
          </w:tcPr>
          <w:p>
            <w:pPr>
              <w:jc w:val="center"/>
              <w:rPr>
                <w:rFonts w:ascii="仿宋_GB2312" w:hAnsi="宋体" w:eastAsia="仿宋_GB2312"/>
                <w:sz w:val="22"/>
                <w:szCs w:val="24"/>
                <w:highlight w:val="yellow"/>
              </w:rPr>
            </w:pPr>
            <w:r>
              <w:rPr>
                <w:rFonts w:hint="eastAsia" w:ascii="仿宋_GB2312" w:hAnsi="宋体" w:eastAsia="仿宋_GB2312"/>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trPr>
        <w:tc>
          <w:tcPr>
            <w:tcW w:w="680" w:type="dxa"/>
            <w:tcBorders>
              <w:top w:val="single" w:color="auto" w:sz="4" w:space="0"/>
              <w:bottom w:val="single" w:color="auto" w:sz="4" w:space="0"/>
            </w:tcBorders>
            <w:vAlign w:val="center"/>
          </w:tcPr>
          <w:p>
            <w:pPr>
              <w:numPr>
                <w:ilvl w:val="0"/>
                <w:numId w:val="2"/>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投标人</w:t>
            </w:r>
          </w:p>
          <w:p>
            <w:pPr>
              <w:jc w:val="center"/>
              <w:rPr>
                <w:rFonts w:ascii="仿宋_GB2312" w:hAnsi="宋体" w:eastAsia="仿宋_GB2312"/>
                <w:sz w:val="22"/>
                <w:szCs w:val="24"/>
              </w:rPr>
            </w:pPr>
            <w:r>
              <w:rPr>
                <w:rFonts w:hint="eastAsia" w:ascii="仿宋_GB2312" w:hAnsi="宋体" w:eastAsia="仿宋_GB2312"/>
                <w:sz w:val="22"/>
                <w:szCs w:val="24"/>
              </w:rPr>
              <w:t>获奖情况</w:t>
            </w:r>
          </w:p>
        </w:tc>
        <w:tc>
          <w:tcPr>
            <w:tcW w:w="4819" w:type="dxa"/>
          </w:tcPr>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投标人承担的相关领域研究课题，获得市级及以上级别的荣誉奖励，每提供1个得</w:t>
            </w:r>
            <w:r>
              <w:rPr>
                <w:rFonts w:ascii="仿宋_GB2312" w:hAnsi="宋体" w:eastAsia="仿宋_GB2312" w:cs="宋体"/>
                <w:kern w:val="0"/>
                <w:sz w:val="22"/>
                <w:szCs w:val="24"/>
              </w:rPr>
              <w:t>25</w:t>
            </w:r>
            <w:r>
              <w:rPr>
                <w:rFonts w:hint="eastAsia" w:ascii="仿宋_GB2312" w:hAnsi="宋体" w:eastAsia="仿宋_GB2312" w:cs="宋体"/>
                <w:kern w:val="0"/>
                <w:sz w:val="22"/>
                <w:szCs w:val="24"/>
              </w:rPr>
              <w:t>%，最高得分不超过100%。</w:t>
            </w:r>
          </w:p>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（1）要求提供相关证明文件。</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w:t>
            </w:r>
            <w:r>
              <w:rPr>
                <w:rFonts w:hint="eastAsia"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w:t>
            </w:r>
            <w:r>
              <w:rPr>
                <w:rFonts w:hint="eastAsia"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highlight w:val="yellow"/>
              </w:rPr>
            </w:pPr>
            <w:r>
              <w:rPr>
                <w:rFonts w:hint="eastAsia" w:ascii="仿宋_GB2312" w:hAnsi="宋体" w:eastAsia="仿宋_GB2312"/>
                <w:sz w:val="22"/>
                <w:szCs w:val="24"/>
              </w:rPr>
              <w:t>拟安排的项目负责人情况（仅限一人）</w:t>
            </w:r>
          </w:p>
        </w:tc>
        <w:tc>
          <w:tcPr>
            <w:tcW w:w="4819" w:type="dxa"/>
          </w:tcPr>
          <w:p>
            <w:pPr>
              <w:widowControl/>
              <w:jc w:val="left"/>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（1）项目负责人具有中高级职称或博士学位，得25%，否则不得分；</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（2）项目负责人主持或参与过相关领域市级以上政府课题的，每提供1个得25%，最高得分不超过75%。</w:t>
            </w:r>
          </w:p>
          <w:p>
            <w:pPr>
              <w:widowControl/>
              <w:jc w:val="left"/>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widowControl/>
              <w:rPr>
                <w:rFonts w:ascii="仿宋_GB2312" w:hAnsi="宋体" w:eastAsia="仿宋_GB2312" w:cs="宋体"/>
                <w:kern w:val="0"/>
                <w:sz w:val="22"/>
                <w:szCs w:val="24"/>
                <w:highlight w:val="yellow"/>
              </w:rPr>
            </w:pPr>
            <w:r>
              <w:rPr>
                <w:rFonts w:hint="eastAsia" w:ascii="仿宋_GB2312" w:hAnsi="宋体" w:eastAsia="仿宋_GB2312" w:cs="宋体"/>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10</w:t>
            </w:r>
          </w:p>
        </w:tc>
        <w:tc>
          <w:tcPr>
            <w:tcW w:w="851" w:type="dxa"/>
            <w:tcBorders>
              <w:lef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拟安排的项目主要团队成员（主要技术人员）情况（项目负责人除外）</w:t>
            </w:r>
          </w:p>
        </w:tc>
        <w:tc>
          <w:tcPr>
            <w:tcW w:w="4819" w:type="dxa"/>
          </w:tcPr>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项目团队中每提供1位中高级职称或博士学位人员得50%，每提供1位有硕士学位人员得25%，最高得分不超过100%。</w:t>
            </w:r>
          </w:p>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（1）要求提供通过投标人购买的团队成员近三个月社保，学位或职称文件等。</w:t>
            </w:r>
          </w:p>
          <w:p>
            <w:pPr>
              <w:widowControl/>
              <w:rPr>
                <w:rFonts w:ascii="仿宋_GB2312" w:hAnsi="宋体" w:eastAsia="仿宋_GB2312" w:cs="宋体"/>
                <w:kern w:val="0"/>
                <w:sz w:val="22"/>
                <w:szCs w:val="24"/>
                <w:highlight w:val="yellow"/>
              </w:rPr>
            </w:pPr>
            <w:r>
              <w:rPr>
                <w:rFonts w:hint="eastAsia" w:ascii="仿宋_GB2312" w:hAnsi="宋体" w:eastAsia="仿宋_GB2312" w:cs="宋体"/>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10</w:t>
            </w:r>
          </w:p>
        </w:tc>
        <w:tc>
          <w:tcPr>
            <w:tcW w:w="851" w:type="dxa"/>
            <w:tcBorders>
              <w:lef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仿宋_GB2312" w:hAnsi="宋体" w:eastAsia="仿宋_GB2312"/>
                <w:b/>
                <w:sz w:val="22"/>
                <w:szCs w:val="24"/>
              </w:rPr>
            </w:pPr>
            <w:r>
              <w:rPr>
                <w:rFonts w:hint="eastAsia" w:ascii="仿宋_GB2312" w:hAnsi="宋体" w:eastAsia="仿宋_GB2312"/>
                <w:b/>
                <w:sz w:val="22"/>
                <w:szCs w:val="24"/>
              </w:rPr>
              <w:t>三</w:t>
            </w:r>
          </w:p>
        </w:tc>
        <w:tc>
          <w:tcPr>
            <w:tcW w:w="7581" w:type="dxa"/>
            <w:gridSpan w:val="4"/>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b/>
                <w:sz w:val="22"/>
                <w:szCs w:val="24"/>
              </w:rPr>
              <w:t>价格部分（合计1</w:t>
            </w:r>
            <w:r>
              <w:rPr>
                <w:rFonts w:ascii="仿宋_GB2312" w:hAnsi="宋体" w:eastAsia="仿宋_GB2312"/>
                <w:b/>
                <w:sz w:val="22"/>
                <w:szCs w:val="24"/>
              </w:rPr>
              <w:t>0</w:t>
            </w:r>
            <w:r>
              <w:rPr>
                <w:rFonts w:hint="eastAsia" w:ascii="仿宋_GB2312" w:hAnsi="宋体" w:eastAsia="仿宋_GB2312"/>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3"/>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投标报价</w:t>
            </w:r>
          </w:p>
        </w:tc>
        <w:tc>
          <w:tcPr>
            <w:tcW w:w="4819" w:type="dxa"/>
            <w:vAlign w:val="center"/>
          </w:tcPr>
          <w:p>
            <w:pPr>
              <w:autoSpaceDE w:val="0"/>
              <w:autoSpaceDN w:val="0"/>
              <w:adjustRightInd w:val="0"/>
              <w:snapToGrid w:val="0"/>
              <w:rPr>
                <w:rFonts w:ascii="仿宋_GB2312" w:hAnsi="宋体" w:eastAsia="仿宋_GB2312" w:cs="宋体"/>
                <w:kern w:val="0"/>
                <w:sz w:val="22"/>
                <w:szCs w:val="24"/>
                <w:highlight w:val="yellow"/>
              </w:rPr>
            </w:pPr>
            <w:r>
              <w:rPr>
                <w:rFonts w:hint="eastAsia" w:ascii="仿宋_GB2312" w:hAnsi="宋体" w:eastAsia="仿宋_GB2312" w:cs="宋体"/>
                <w:kern w:val="0"/>
                <w:sz w:val="22"/>
                <w:szCs w:val="24"/>
              </w:rPr>
              <w:t>价格分应当采用低价优先法计算，即满足招标文件要求且投标价格最低的投标报价为评标基准价，其价格分为满分。其他投标人的价格分统一按照下列公式计算：</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投标报价得分=(评标基准价／投标报价)×100×权重</w:t>
            </w:r>
          </w:p>
          <w:p>
            <w:pPr>
              <w:widowControl/>
              <w:rPr>
                <w:rFonts w:ascii="仿宋_GB2312" w:hAnsi="宋体" w:eastAsia="仿宋_GB2312"/>
                <w:bCs/>
                <w:sz w:val="22"/>
                <w:szCs w:val="24"/>
              </w:rPr>
            </w:pPr>
            <w:r>
              <w:rPr>
                <w:rFonts w:hint="eastAsia" w:ascii="仿宋_GB2312" w:hAnsi="宋体" w:eastAsia="仿宋_GB2312"/>
                <w:bCs/>
                <w:sz w:val="22"/>
                <w:szCs w:val="24"/>
              </w:rPr>
              <w:t>备注：</w:t>
            </w:r>
          </w:p>
          <w:p>
            <w:pPr>
              <w:widowControl/>
              <w:rPr>
                <w:rFonts w:ascii="仿宋_GB2312" w:hAnsi="宋体" w:eastAsia="仿宋_GB2312" w:cs="宋体"/>
                <w:sz w:val="22"/>
                <w:szCs w:val="24"/>
              </w:rPr>
            </w:pPr>
            <w:r>
              <w:rPr>
                <w:rFonts w:ascii="仿宋_GB2312" w:hAnsi="宋体" w:eastAsia="仿宋_GB2312"/>
                <w:bCs/>
                <w:sz w:val="22"/>
                <w:szCs w:val="24"/>
              </w:rPr>
              <w:t>1.</w:t>
            </w:r>
            <w:r>
              <w:rPr>
                <w:rFonts w:hint="eastAsia" w:ascii="仿宋_GB2312" w:hAnsi="宋体" w:eastAsia="仿宋_GB2312"/>
                <w:bCs/>
                <w:sz w:val="22"/>
                <w:szCs w:val="24"/>
              </w:rPr>
              <w:t>因落实政府采购政策进行价格调整的，以调整后的价格计算评标基准价和投标报价</w:t>
            </w:r>
            <w:r>
              <w:rPr>
                <w:rFonts w:hint="eastAsia" w:ascii="仿宋_GB2312" w:hAnsi="宋体" w:eastAsia="仿宋_GB2312" w:cs="宋体"/>
                <w:sz w:val="22"/>
                <w:szCs w:val="24"/>
              </w:rPr>
              <w:t>,详见“价格扣除”。</w:t>
            </w:r>
          </w:p>
          <w:p>
            <w:pPr>
              <w:rPr>
                <w:rFonts w:ascii="仿宋_GB2312" w:hAnsi="宋体" w:eastAsia="仿宋_GB2312"/>
                <w:b/>
                <w:bCs/>
                <w:sz w:val="22"/>
                <w:szCs w:val="24"/>
                <w:u w:val="double"/>
              </w:rPr>
            </w:pPr>
            <w:r>
              <w:rPr>
                <w:rFonts w:ascii="仿宋_GB2312" w:hAnsi="宋体" w:eastAsia="仿宋_GB2312"/>
                <w:bCs/>
                <w:sz w:val="22"/>
                <w:szCs w:val="24"/>
              </w:rPr>
              <w:t>2.</w:t>
            </w:r>
            <w:r>
              <w:rPr>
                <w:rFonts w:hint="eastAsia" w:ascii="仿宋_GB2312" w:hAnsi="宋体" w:eastAsia="仿宋_GB2312"/>
                <w:bCs/>
                <w:sz w:val="22"/>
                <w:szCs w:val="24"/>
              </w:rPr>
              <w:t>投标报价得分四舍五入后，</w:t>
            </w:r>
            <w:r>
              <w:rPr>
                <w:rFonts w:hint="eastAsia" w:ascii="仿宋_GB2312" w:hAnsi="宋体" w:eastAsia="仿宋_GB2312" w:cs="Arial"/>
                <w:sz w:val="22"/>
                <w:szCs w:val="24"/>
              </w:rPr>
              <w:t>小数点后保留两位有效数</w:t>
            </w:r>
            <w:r>
              <w:rPr>
                <w:rFonts w:hint="eastAsia" w:ascii="仿宋_GB2312" w:hAnsi="宋体" w:eastAsia="仿宋_GB2312"/>
                <w:bCs/>
                <w:sz w:val="22"/>
                <w:szCs w:val="24"/>
              </w:rPr>
              <w:t>。</w:t>
            </w:r>
          </w:p>
        </w:tc>
        <w:tc>
          <w:tcPr>
            <w:tcW w:w="709" w:type="dxa"/>
            <w:tcBorders>
              <w:righ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w:t>
            </w:r>
            <w:r>
              <w:rPr>
                <w:rFonts w:ascii="仿宋_GB2312" w:hAnsi="宋体" w:eastAsia="仿宋_GB2312" w:cs="宋体"/>
                <w:sz w:val="22"/>
                <w:szCs w:val="24"/>
              </w:rPr>
              <w:t>0</w:t>
            </w:r>
          </w:p>
        </w:tc>
        <w:tc>
          <w:tcPr>
            <w:tcW w:w="851" w:type="dxa"/>
            <w:tcBorders>
              <w:lef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sz w:val="22"/>
                <w:szCs w:val="24"/>
              </w:rPr>
              <w:t>1</w:t>
            </w:r>
            <w:r>
              <w:rPr>
                <w:rFonts w:ascii="仿宋_GB2312" w:hAnsi="宋体" w:eastAsia="仿宋_GB2312"/>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atLeast"/>
        </w:trPr>
        <w:tc>
          <w:tcPr>
            <w:tcW w:w="6701" w:type="dxa"/>
            <w:gridSpan w:val="3"/>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sz w:val="22"/>
                <w:szCs w:val="24"/>
              </w:rPr>
              <w:t>合计</w:t>
            </w:r>
          </w:p>
        </w:tc>
        <w:tc>
          <w:tcPr>
            <w:tcW w:w="709" w:type="dxa"/>
            <w:tcBorders>
              <w:righ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100</w:t>
            </w:r>
          </w:p>
        </w:tc>
        <w:tc>
          <w:tcPr>
            <w:tcW w:w="851" w:type="dxa"/>
            <w:tcBorders>
              <w:lef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100</w:t>
            </w:r>
          </w:p>
        </w:tc>
      </w:tr>
    </w:tbl>
    <w:p>
      <w:pPr>
        <w:outlineLvl w:val="0"/>
        <w:rPr>
          <w:rFonts w:ascii="仿宋_GB2312" w:hAnsi="宋体" w:eastAsia="仿宋_GB2312"/>
          <w:b/>
          <w:sz w:val="24"/>
          <w:szCs w:val="24"/>
        </w:rPr>
      </w:pPr>
      <w:r>
        <w:rPr>
          <w:rFonts w:hint="eastAsia" w:ascii="仿宋_GB2312" w:hAnsi="宋体" w:eastAsia="仿宋_GB2312"/>
          <w:b/>
          <w:sz w:val="24"/>
          <w:szCs w:val="24"/>
        </w:rPr>
        <w:t>备注：</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1.评标信息内评分方法的说明：</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（1）权重：按百分比进行设置；</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（2）评分准则：按照评标系统设置要求，每项“评分准则”皆按百分制打分；</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（3）每项“评分因素”的得分=对应“评分准则”的分值×对应权重%。</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2.价格扣除</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（1）根据财政部、工业和信息化部印发的《政府采购促进中小企业发展管理办法》（财库〔2020〕46号）的规定，对小型和微型企业产品的价格给予6%的扣除，用扣除后的价格参与评审。</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（2）组成联合体（如允许）或者接受分包的小微企业与联合体内其他企业、分包企业之间存在直接控股、管理关系的，不享受价格扣除优惠政策。</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（3）监狱企业产品价格扣除：监狱企业视同小微企业，按上述第（1）、（2）条款享受评审中价格扣除。</w:t>
      </w:r>
    </w:p>
    <w:p>
      <w:pPr>
        <w:ind w:firstLine="480" w:firstLineChars="200"/>
        <w:rPr>
          <w:rFonts w:ascii="仿宋_GB2312" w:hAnsi="宋体" w:cs="宋体"/>
          <w:kern w:val="0"/>
          <w:sz w:val="24"/>
          <w:szCs w:val="24"/>
        </w:rPr>
      </w:pPr>
      <w:r>
        <w:rPr>
          <w:rFonts w:hint="eastAsia" w:ascii="仿宋_GB2312" w:hAnsi="宋体" w:eastAsia="仿宋_GB2312" w:cs="宋体"/>
          <w:kern w:val="0"/>
          <w:sz w:val="24"/>
          <w:szCs w:val="24"/>
        </w:rPr>
        <w:t>（4）残疾人福利性单位产品价格扣除：残疾人福利性单位视同小微企业，按上述第（1）、（2）条款享受评审中价格扣除。</w:t>
      </w:r>
    </w:p>
    <w:p>
      <w:pPr>
        <w:ind w:firstLine="480" w:firstLineChars="20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857164"/>
    <w:rsid w:val="000C2F70"/>
    <w:rsid w:val="000D1E44"/>
    <w:rsid w:val="000E5F46"/>
    <w:rsid w:val="001203F2"/>
    <w:rsid w:val="00156AA8"/>
    <w:rsid w:val="001B21B1"/>
    <w:rsid w:val="00242AE8"/>
    <w:rsid w:val="00257058"/>
    <w:rsid w:val="00296A35"/>
    <w:rsid w:val="002C2C0E"/>
    <w:rsid w:val="00307B3F"/>
    <w:rsid w:val="00320CFB"/>
    <w:rsid w:val="00356684"/>
    <w:rsid w:val="00357E01"/>
    <w:rsid w:val="00361673"/>
    <w:rsid w:val="00386E5D"/>
    <w:rsid w:val="00413B8B"/>
    <w:rsid w:val="0045508A"/>
    <w:rsid w:val="00467189"/>
    <w:rsid w:val="00482187"/>
    <w:rsid w:val="004C6B55"/>
    <w:rsid w:val="004D11CF"/>
    <w:rsid w:val="00525672"/>
    <w:rsid w:val="00552937"/>
    <w:rsid w:val="005855F9"/>
    <w:rsid w:val="005911F1"/>
    <w:rsid w:val="00593E61"/>
    <w:rsid w:val="00595BD3"/>
    <w:rsid w:val="005A2E18"/>
    <w:rsid w:val="005B6C64"/>
    <w:rsid w:val="005C5807"/>
    <w:rsid w:val="005E4D32"/>
    <w:rsid w:val="00606FDD"/>
    <w:rsid w:val="00613FA7"/>
    <w:rsid w:val="0065456D"/>
    <w:rsid w:val="006D1433"/>
    <w:rsid w:val="006E5914"/>
    <w:rsid w:val="00702DF4"/>
    <w:rsid w:val="00737D26"/>
    <w:rsid w:val="00740500"/>
    <w:rsid w:val="00767C9D"/>
    <w:rsid w:val="00774584"/>
    <w:rsid w:val="007A6F51"/>
    <w:rsid w:val="007A7970"/>
    <w:rsid w:val="007B29CA"/>
    <w:rsid w:val="008337BE"/>
    <w:rsid w:val="00843980"/>
    <w:rsid w:val="00857164"/>
    <w:rsid w:val="008C6BEC"/>
    <w:rsid w:val="008D38D0"/>
    <w:rsid w:val="008E32B5"/>
    <w:rsid w:val="009002B9"/>
    <w:rsid w:val="00911ACE"/>
    <w:rsid w:val="00926B16"/>
    <w:rsid w:val="0093393E"/>
    <w:rsid w:val="00957E71"/>
    <w:rsid w:val="00993D85"/>
    <w:rsid w:val="009B31AE"/>
    <w:rsid w:val="009F00CE"/>
    <w:rsid w:val="00A21A6A"/>
    <w:rsid w:val="00A25F12"/>
    <w:rsid w:val="00A32800"/>
    <w:rsid w:val="00A37D56"/>
    <w:rsid w:val="00A64E6D"/>
    <w:rsid w:val="00A83392"/>
    <w:rsid w:val="00AB5409"/>
    <w:rsid w:val="00AD14F9"/>
    <w:rsid w:val="00AD4994"/>
    <w:rsid w:val="00B00ADF"/>
    <w:rsid w:val="00B12D4A"/>
    <w:rsid w:val="00B153A9"/>
    <w:rsid w:val="00B347EE"/>
    <w:rsid w:val="00B66097"/>
    <w:rsid w:val="00B73EC9"/>
    <w:rsid w:val="00B87847"/>
    <w:rsid w:val="00BD7A0F"/>
    <w:rsid w:val="00BE57B7"/>
    <w:rsid w:val="00C01D00"/>
    <w:rsid w:val="00C16D2A"/>
    <w:rsid w:val="00C310A6"/>
    <w:rsid w:val="00C55D47"/>
    <w:rsid w:val="00C62B6E"/>
    <w:rsid w:val="00C7386A"/>
    <w:rsid w:val="00C76727"/>
    <w:rsid w:val="00CD778F"/>
    <w:rsid w:val="00D62DE8"/>
    <w:rsid w:val="00D824A9"/>
    <w:rsid w:val="00D82823"/>
    <w:rsid w:val="00DA1CB0"/>
    <w:rsid w:val="00DC6ED5"/>
    <w:rsid w:val="00DD4376"/>
    <w:rsid w:val="00DE47CA"/>
    <w:rsid w:val="00DE6411"/>
    <w:rsid w:val="00E07DB1"/>
    <w:rsid w:val="00E153DD"/>
    <w:rsid w:val="00E24258"/>
    <w:rsid w:val="00E4314E"/>
    <w:rsid w:val="00EC3F38"/>
    <w:rsid w:val="00F07DF0"/>
    <w:rsid w:val="00F226FA"/>
    <w:rsid w:val="00F47A5E"/>
    <w:rsid w:val="00F50F4D"/>
    <w:rsid w:val="00F5119A"/>
    <w:rsid w:val="00F9325F"/>
    <w:rsid w:val="00F957E1"/>
    <w:rsid w:val="00FA46A6"/>
    <w:rsid w:val="00FC7DE8"/>
    <w:rsid w:val="00FD006B"/>
    <w:rsid w:val="01794B73"/>
    <w:rsid w:val="05FF4F70"/>
    <w:rsid w:val="06527E62"/>
    <w:rsid w:val="06853EFB"/>
    <w:rsid w:val="0C095527"/>
    <w:rsid w:val="0D957BE4"/>
    <w:rsid w:val="0FE92F6B"/>
    <w:rsid w:val="110A4333"/>
    <w:rsid w:val="1A613215"/>
    <w:rsid w:val="1BC755CA"/>
    <w:rsid w:val="1C493851"/>
    <w:rsid w:val="1E0740D4"/>
    <w:rsid w:val="1EE2069D"/>
    <w:rsid w:val="20BD6FBF"/>
    <w:rsid w:val="27417D7B"/>
    <w:rsid w:val="27C27884"/>
    <w:rsid w:val="282B3EA3"/>
    <w:rsid w:val="28770568"/>
    <w:rsid w:val="2916793B"/>
    <w:rsid w:val="2CA46C90"/>
    <w:rsid w:val="35A86FA2"/>
    <w:rsid w:val="3CB054DF"/>
    <w:rsid w:val="3E2F1A13"/>
    <w:rsid w:val="3F9C3D59"/>
    <w:rsid w:val="40662BC2"/>
    <w:rsid w:val="41381347"/>
    <w:rsid w:val="4515281C"/>
    <w:rsid w:val="47256D5A"/>
    <w:rsid w:val="47AC6F41"/>
    <w:rsid w:val="48320511"/>
    <w:rsid w:val="49B16E10"/>
    <w:rsid w:val="49BE1C2C"/>
    <w:rsid w:val="4CCB6C1A"/>
    <w:rsid w:val="4E4837C9"/>
    <w:rsid w:val="4F534BF8"/>
    <w:rsid w:val="525F7F08"/>
    <w:rsid w:val="52FE4D9E"/>
    <w:rsid w:val="55C139E8"/>
    <w:rsid w:val="5862192B"/>
    <w:rsid w:val="5A6846CF"/>
    <w:rsid w:val="5BC8444B"/>
    <w:rsid w:val="601B0D3D"/>
    <w:rsid w:val="64850E7B"/>
    <w:rsid w:val="6721456B"/>
    <w:rsid w:val="67504059"/>
    <w:rsid w:val="67905589"/>
    <w:rsid w:val="6BBC12F5"/>
    <w:rsid w:val="6CF43BBC"/>
    <w:rsid w:val="6E9E58DE"/>
    <w:rsid w:val="73173854"/>
    <w:rsid w:val="735B7F50"/>
    <w:rsid w:val="76941E86"/>
    <w:rsid w:val="7AE80A19"/>
    <w:rsid w:val="7AFB58BD"/>
    <w:rsid w:val="FFFF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link w:val="1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标题 3 Char"/>
    <w:basedOn w:val="9"/>
    <w:link w:val="2"/>
    <w:qFormat/>
    <w:uiPriority w:val="0"/>
    <w:rPr>
      <w:rFonts w:ascii="Calibri" w:hAnsi="Calibri" w:eastAsia="宋体" w:cs="Times New Roman"/>
      <w:b/>
      <w:bCs/>
      <w:sz w:val="32"/>
      <w:szCs w:val="32"/>
    </w:rPr>
  </w:style>
  <w:style w:type="character" w:customStyle="1" w:styleId="12">
    <w:name w:val="页脚 Char"/>
    <w:basedOn w:val="9"/>
    <w:link w:val="5"/>
    <w:qFormat/>
    <w:uiPriority w:val="0"/>
    <w:rPr>
      <w:rFonts w:ascii="Calibri" w:hAnsi="Calibri" w:eastAsia="宋体" w:cs="Times New Roman"/>
      <w:sz w:val="18"/>
      <w:szCs w:val="18"/>
    </w:rPr>
  </w:style>
  <w:style w:type="character" w:customStyle="1" w:styleId="13">
    <w:name w:val="页眉 Char"/>
    <w:basedOn w:val="9"/>
    <w:link w:val="6"/>
    <w:qFormat/>
    <w:uiPriority w:val="99"/>
    <w:rPr>
      <w:rFonts w:ascii="Calibri" w:hAnsi="Calibri" w:eastAsia="宋体" w:cs="Times New Roman"/>
      <w:sz w:val="18"/>
      <w:szCs w:val="18"/>
    </w:rPr>
  </w:style>
  <w:style w:type="character" w:customStyle="1" w:styleId="14">
    <w:name w:val="批注框文本 Char"/>
    <w:basedOn w:val="9"/>
    <w:link w:val="4"/>
    <w:semiHidden/>
    <w:qFormat/>
    <w:uiPriority w:val="99"/>
    <w:rPr>
      <w:rFonts w:ascii="Calibri" w:hAnsi="Calibri" w:eastAsia="宋体" w:cs="Times New Roman"/>
      <w:sz w:val="18"/>
      <w:szCs w:val="18"/>
    </w:rPr>
  </w:style>
  <w:style w:type="character" w:customStyle="1" w:styleId="15">
    <w:name w:val="批注文字 Char"/>
    <w:basedOn w:val="9"/>
    <w:link w:val="3"/>
    <w:semiHidden/>
    <w:qFormat/>
    <w:uiPriority w:val="99"/>
    <w:rPr>
      <w:rFonts w:ascii="Calibri" w:hAnsi="Calibri"/>
      <w:kern w:val="2"/>
      <w:sz w:val="21"/>
      <w:szCs w:val="21"/>
    </w:rPr>
  </w:style>
  <w:style w:type="character" w:customStyle="1" w:styleId="16">
    <w:name w:val="批注主题 Char"/>
    <w:basedOn w:val="15"/>
    <w:link w:val="7"/>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3834</Words>
  <Characters>3979</Characters>
  <Lines>29</Lines>
  <Paragraphs>8</Paragraphs>
  <TotalTime>13</TotalTime>
  <ScaleCrop>false</ScaleCrop>
  <LinksUpToDate>false</LinksUpToDate>
  <CharactersWithSpaces>3992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2022-05-09T14:43:00Z</dcterms:created>
  <dc:creator>Microsoft 帐户</dc:creator>
  <cp:lastModifiedBy>小陈</cp:lastModifiedBy>
  <dcterms:modified xsi:type="dcterms:W3CDTF">2022-05-11T09:24:28Z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8BDBB4BF48354C8B8E7CE3F07888F0C7</vt:lpwstr>
  </property>
</Properties>
</file>