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深圳科技特色会展场馆建设研究课题项目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二</w:t>
      </w:r>
      <w:r>
        <w:rPr>
          <w:rFonts w:ascii="宋体" w:hAnsi="宋体"/>
          <w:b/>
          <w:bCs/>
          <w:sz w:val="32"/>
          <w:szCs w:val="32"/>
        </w:rPr>
        <w:t>〇二二</w:t>
      </w:r>
      <w:r>
        <w:rPr>
          <w:rFonts w:hint="eastAsia" w:ascii="宋体" w:hAnsi="宋体"/>
          <w:b/>
          <w:bCs/>
          <w:sz w:val="32"/>
          <w:szCs w:val="32"/>
        </w:rPr>
        <w:t>年一月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深圳科技特色会展场馆建设研究课题</w:t>
      </w:r>
    </w:p>
    <w:p>
      <w:pPr>
        <w:adjustRightInd w:val="0"/>
        <w:snapToGrid w:val="0"/>
        <w:jc w:val="center"/>
        <w:rPr>
          <w:rFonts w:ascii="宋体" w:hAnsi="宋体" w:cs="Arial"/>
          <w:b/>
          <w:bCs/>
          <w:sz w:val="44"/>
          <w:szCs w:val="44"/>
        </w:rPr>
      </w:pPr>
      <w:r>
        <w:rPr>
          <w:rFonts w:hint="eastAsia" w:ascii="宋体" w:hAnsi="宋体" w:cs="Arial"/>
          <w:b/>
          <w:bCs/>
          <w:sz w:val="44"/>
          <w:szCs w:val="44"/>
        </w:rPr>
        <w:t>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（一）项目名称：深圳科技特色会展场馆建设研究课题。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100</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（一）把握项目建设宏观背景。在精准</w:t>
      </w:r>
      <w:r>
        <w:rPr>
          <w:rFonts w:hint="eastAsia" w:eastAsia="仿宋_GB2312"/>
          <w:kern w:val="0"/>
          <w:sz w:val="32"/>
          <w:szCs w:val="32"/>
        </w:rPr>
        <w:t>研判全球会展行业发展趋势、国内会展政策导向的基础上，聚焦会展场馆主题，</w:t>
      </w:r>
      <w:r>
        <w:rPr>
          <w:rFonts w:hint="eastAsia" w:ascii="仿宋_GB2312" w:hAnsi="仿宋_GB2312" w:eastAsia="仿宋_GB2312" w:cs="仿宋_GB2312"/>
          <w:bCs/>
          <w:sz w:val="32"/>
          <w:szCs w:val="32"/>
        </w:rPr>
        <w:t>分析国内外会展场馆建设形势</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剖析深圳会展场馆建设需求。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（二）论证深圳科技特色会展场馆项目必要性</w:t>
      </w:r>
      <w:r>
        <w:rPr>
          <w:rFonts w:ascii="仿宋_GB2312" w:hAnsi="仿宋_GB2312" w:eastAsia="仿宋_GB2312" w:cs="仿宋_GB2312"/>
          <w:bCs/>
          <w:sz w:val="32"/>
          <w:szCs w:val="32"/>
        </w:rPr>
        <w:t>。</w:t>
      </w:r>
      <w:r>
        <w:rPr>
          <w:rFonts w:hint="eastAsia" w:eastAsia="仿宋_GB2312"/>
          <w:kern w:val="0"/>
          <w:sz w:val="32"/>
          <w:szCs w:val="32"/>
        </w:rPr>
        <w:t>基于全球行业发展趋势、会展场馆建设需求研究，从国家战略导向、城市发展重点、行业发展需求等多维度，论证项目建设的时机和迫切性、项目规划符合性</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（三）研究提出深圳科技特色会展场馆建设总体思路。</w:t>
      </w:r>
      <w:r>
        <w:rPr>
          <w:rFonts w:eastAsia="仿宋_GB2312"/>
          <w:kern w:val="0"/>
          <w:sz w:val="32"/>
          <w:szCs w:val="32"/>
        </w:rPr>
        <w:t>充分借鉴汉诺威展览中心、</w:t>
      </w:r>
      <w:r>
        <w:rPr>
          <w:rFonts w:hint="eastAsia" w:eastAsia="仿宋_GB2312"/>
          <w:kern w:val="0"/>
          <w:sz w:val="32"/>
          <w:szCs w:val="32"/>
        </w:rPr>
        <w:t>国家会展中心（上海）</w:t>
      </w:r>
      <w:r>
        <w:rPr>
          <w:rFonts w:eastAsia="仿宋_GB2312"/>
          <w:kern w:val="0"/>
          <w:sz w:val="32"/>
          <w:szCs w:val="32"/>
        </w:rPr>
        <w:t>等国内外展馆建设先进经验，</w:t>
      </w:r>
      <w:r>
        <w:rPr>
          <w:rFonts w:hint="eastAsia" w:eastAsia="仿宋_GB2312"/>
          <w:kern w:val="0"/>
          <w:sz w:val="32"/>
          <w:szCs w:val="32"/>
        </w:rPr>
        <w:t>结合当前科技企业发展需求，前瞻谋划项目发展定位、功能布局，科学预测建设规模。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（四）分析深圳科技特色会展场馆建设可行性。在确定项目发展定位、功能布局及建设规模的基础上，重点从经济、社会、环境等方面对项目长远效益和影响进行预测和分析。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（五）研究提出深圳科技特色会展场馆项目实施建议。在明确建设内容的基础上，重点从项目建设时序、投融资模式、资源配套保障、运营管理模式等维度研究提出项目实施具体建议。</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（二）研究过程中应当进行深入调查研究，充分把握深圳现有基础条件、发展需求等相关信息和基础资料。</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（三）研究成果要具有前瞻性，面向未来、视野开阔，把握全球发展大势；具有系统性，研究成果要体系完整、内容全面、材料丰富；具有实用性，研究成果符合深圳实际，针对性和可操作性强。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六、投标时间、地点及联系人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ascii="仿宋_GB2312" w:hAnsi="仿宋_GB2312" w:eastAsia="仿宋_GB2312" w:cs="仿宋_GB2312"/>
          <w:sz w:val="32"/>
          <w:szCs w:val="24"/>
        </w:rPr>
        <w:t>2</w:t>
      </w:r>
      <w:r>
        <w:rPr>
          <w:rFonts w:hint="eastAsia" w:ascii="仿宋_GB2312" w:hAnsi="仿宋_GB2312" w:eastAsia="仿宋_GB2312" w:cs="仿宋_GB2312"/>
          <w:sz w:val="32"/>
          <w:szCs w:val="24"/>
        </w:rPr>
        <w:t>年1月</w:t>
      </w:r>
      <w:r>
        <w:rPr>
          <w:rFonts w:ascii="仿宋_GB2312" w:hAnsi="仿宋_GB2312" w:eastAsia="仿宋_GB2312" w:cs="仿宋_GB2312"/>
          <w:sz w:val="32"/>
          <w:szCs w:val="24"/>
          <w:lang w:val="en"/>
        </w:rPr>
        <w:t>7</w:t>
      </w:r>
      <w:r>
        <w:rPr>
          <w:rFonts w:hint="eastAsia" w:ascii="仿宋_GB2312" w:hAnsi="仿宋_GB2312" w:eastAsia="仿宋_GB2312" w:cs="仿宋_GB2312"/>
          <w:sz w:val="32"/>
          <w:szCs w:val="24"/>
        </w:rPr>
        <w:t>日至202</w:t>
      </w:r>
      <w:r>
        <w:rPr>
          <w:rFonts w:ascii="仿宋_GB2312" w:hAnsi="仿宋_GB2312" w:eastAsia="仿宋_GB2312" w:cs="仿宋_GB2312"/>
          <w:sz w:val="32"/>
          <w:szCs w:val="24"/>
        </w:rPr>
        <w:t>2</w:t>
      </w:r>
      <w:r>
        <w:rPr>
          <w:rFonts w:hint="eastAsia" w:ascii="仿宋_GB2312" w:hAnsi="仿宋_GB2312" w:eastAsia="仿宋_GB2312" w:cs="仿宋_GB2312"/>
          <w:sz w:val="32"/>
          <w:szCs w:val="24"/>
        </w:rPr>
        <w:t>年</w:t>
      </w:r>
      <w:r>
        <w:rPr>
          <w:rFonts w:ascii="仿宋_GB2312" w:hAnsi="仿宋_GB2312" w:eastAsia="仿宋_GB2312" w:cs="仿宋_GB2312"/>
          <w:sz w:val="32"/>
          <w:szCs w:val="24"/>
        </w:rPr>
        <w:t>1</w:t>
      </w:r>
      <w:r>
        <w:rPr>
          <w:rFonts w:hint="eastAsia" w:ascii="仿宋_GB2312" w:hAnsi="仿宋_GB2312" w:eastAsia="仿宋_GB2312" w:cs="仿宋_GB2312"/>
          <w:sz w:val="32"/>
          <w:szCs w:val="24"/>
        </w:rPr>
        <w:t>月</w:t>
      </w:r>
      <w:r>
        <w:rPr>
          <w:rFonts w:ascii="仿宋_GB2312" w:hAnsi="仿宋_GB2312" w:eastAsia="仿宋_GB2312" w:cs="仿宋_GB2312"/>
          <w:sz w:val="32"/>
          <w:szCs w:val="24"/>
          <w:lang w:val="en"/>
        </w:rPr>
        <w:t>20</w:t>
      </w:r>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仿宋_GB2312" w:hAnsi="仿宋_GB2312" w:eastAsia="仿宋_GB2312" w:cs="仿宋_GB2312"/>
          <w:sz w:val="32"/>
          <w:szCs w:val="24"/>
        </w:rPr>
        <w:t>（二）提交地点：深圳市福田区福中三路市民中心B区行政服务大厅2号市发展改革委卡座（提交可选择现场或邮寄等方式，以送达日期为投标日期）。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（三）联系人：郭</w:t>
      </w:r>
      <w:r>
        <w:rPr>
          <w:rFonts w:ascii="Times New Roman" w:hAnsi="Times New Roman" w:eastAsia="仿宋_GB2312"/>
          <w:sz w:val="32"/>
          <w:szCs w:val="24"/>
        </w:rPr>
        <w:t>振山</w:t>
      </w:r>
      <w:r>
        <w:rPr>
          <w:rFonts w:hint="eastAsia" w:ascii="仿宋_GB2312" w:hAnsi="仿宋_GB2312" w:eastAsia="仿宋_GB2312" w:cs="仿宋_GB2312"/>
          <w:sz w:val="32"/>
          <w:szCs w:val="24"/>
        </w:rPr>
        <w:t xml:space="preserve">，88127332 </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6"/>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牵头承担过国家、省或市级政策研究、规划编制、会展研究等政府课题的，按国家级每项20%、省级每项15%、市级每项10%进行计分，最高得分不超过100%。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（2）项目负责人主持或参与过国家、省或市级政策研究、规划编制、会展研究等政府课题的，每提供1个得2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3"/>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jc w:val="left"/>
              <w:rPr>
                <w:rFonts w:ascii="宋体" w:hAnsi="宋体"/>
                <w:bCs/>
                <w:sz w:val="22"/>
                <w:szCs w:val="24"/>
              </w:rPr>
            </w:pPr>
            <w:r>
              <w:rPr>
                <w:rFonts w:hint="eastAsia" w:ascii="宋体" w:hAnsi="宋体"/>
                <w:bCs/>
                <w:sz w:val="22"/>
                <w:szCs w:val="24"/>
              </w:rPr>
              <w:t>备注：</w:t>
            </w:r>
          </w:p>
          <w:p>
            <w:pPr>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b/>
          <w:sz w:val="24"/>
          <w:szCs w:val="24"/>
        </w:rPr>
      </w:pPr>
    </w:p>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4"/>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64"/>
    <w:rsid w:val="00076904"/>
    <w:rsid w:val="0008203D"/>
    <w:rsid w:val="001465DC"/>
    <w:rsid w:val="00146E41"/>
    <w:rsid w:val="00230A31"/>
    <w:rsid w:val="00386E5D"/>
    <w:rsid w:val="004211BD"/>
    <w:rsid w:val="00442AE3"/>
    <w:rsid w:val="00463715"/>
    <w:rsid w:val="004C3DED"/>
    <w:rsid w:val="004C54E0"/>
    <w:rsid w:val="006E5914"/>
    <w:rsid w:val="00740500"/>
    <w:rsid w:val="008277C0"/>
    <w:rsid w:val="00857164"/>
    <w:rsid w:val="00876244"/>
    <w:rsid w:val="00AA3634"/>
    <w:rsid w:val="00AC378D"/>
    <w:rsid w:val="00AD4994"/>
    <w:rsid w:val="00B153A9"/>
    <w:rsid w:val="00C16D2A"/>
    <w:rsid w:val="00C8283D"/>
    <w:rsid w:val="00CB6B82"/>
    <w:rsid w:val="00D12012"/>
    <w:rsid w:val="00DF7B08"/>
    <w:rsid w:val="00E07DB1"/>
    <w:rsid w:val="00E4314E"/>
    <w:rsid w:val="00E548DA"/>
    <w:rsid w:val="00EE136F"/>
    <w:rsid w:val="00F226FA"/>
    <w:rsid w:val="2B534C2D"/>
    <w:rsid w:val="7DFA98B6"/>
    <w:rsid w:val="F6FDF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link w:val="8"/>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link w:val="2"/>
    <w:qFormat/>
    <w:uiPriority w:val="0"/>
    <w:rPr>
      <w:rFonts w:ascii="Calibri" w:hAnsi="Calibri" w:eastAsia="宋体" w:cs="Times New Roman"/>
      <w:b/>
      <w:bCs/>
      <w:sz w:val="32"/>
      <w:szCs w:val="32"/>
    </w:rPr>
  </w:style>
  <w:style w:type="character" w:customStyle="1" w:styleId="9">
    <w:name w:val="页脚 字符"/>
    <w:basedOn w:val="7"/>
    <w:link w:val="4"/>
    <w:qFormat/>
    <w:uiPriority w:val="0"/>
    <w:rPr>
      <w:rFonts w:ascii="Calibri" w:hAnsi="Calibri" w:eastAsia="宋体" w:cs="Times New Roman"/>
      <w:sz w:val="18"/>
      <w:szCs w:val="18"/>
    </w:rPr>
  </w:style>
  <w:style w:type="character" w:customStyle="1" w:styleId="10">
    <w:name w:val="页眉 字符"/>
    <w:basedOn w:val="7"/>
    <w:link w:val="5"/>
    <w:qFormat/>
    <w:uiPriority w:val="99"/>
    <w:rPr>
      <w:rFonts w:ascii="Calibri" w:hAnsi="Calibri" w:eastAsia="宋体" w:cs="Times New Roman"/>
      <w:sz w:val="18"/>
      <w:szCs w:val="18"/>
    </w:rPr>
  </w:style>
  <w:style w:type="character" w:customStyle="1" w:styleId="11">
    <w:name w:val="批注框文本 字符"/>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630</Words>
  <Characters>3593</Characters>
  <Lines>29</Lines>
  <Paragraphs>8</Paragraphs>
  <TotalTime>153</TotalTime>
  <ScaleCrop>false</ScaleCrop>
  <LinksUpToDate>false</LinksUpToDate>
  <CharactersWithSpaces>4215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2022-01-05T00:24:00Z</dcterms:created>
  <dc:creator>Microsoft 帐户</dc:creator>
  <cp:lastModifiedBy>张晋玮</cp:lastModifiedBy>
  <dcterms:modified xsi:type="dcterms:W3CDTF">2022-01-07T16:15:24Z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