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p>
    <w:p>
      <w:pPr>
        <w:adjustRightInd w:val="0"/>
        <w:snapToGrid w:val="0"/>
        <w:rPr>
          <w:rFonts w:ascii="宋体" w:hAnsi="宋体" w:cs="Arial"/>
          <w:b/>
          <w:bCs/>
          <w:sz w:val="44"/>
          <w:szCs w:val="44"/>
        </w:rPr>
      </w:pPr>
    </w:p>
    <w:p>
      <w:pPr>
        <w:adjustRightInd w:val="0"/>
        <w:snapToGrid w:val="0"/>
        <w:jc w:val="center"/>
        <w:outlineLvl w:val="0"/>
        <w:rPr>
          <w:rFonts w:ascii="宋体" w:hAnsi="宋体" w:cs="Arial"/>
          <w:b/>
          <w:bCs/>
          <w:sz w:val="48"/>
          <w:szCs w:val="44"/>
        </w:rPr>
      </w:pPr>
      <w:r>
        <w:rPr>
          <w:rFonts w:hint="eastAsia" w:ascii="宋体" w:hAnsi="宋体" w:cs="Arial"/>
          <w:b/>
          <w:bCs/>
          <w:sz w:val="48"/>
          <w:szCs w:val="44"/>
        </w:rPr>
        <w:t>深圳市第六轮市区政府投资事权划分</w:t>
      </w:r>
    </w:p>
    <w:p>
      <w:pPr>
        <w:adjustRightInd w:val="0"/>
        <w:snapToGrid w:val="0"/>
        <w:jc w:val="center"/>
        <w:outlineLvl w:val="0"/>
        <w:rPr>
          <w:rFonts w:ascii="宋体" w:hAnsi="宋体" w:cs="Arial"/>
          <w:b/>
          <w:bCs/>
          <w:sz w:val="48"/>
          <w:szCs w:val="44"/>
        </w:rPr>
      </w:pPr>
      <w:r>
        <w:rPr>
          <w:rFonts w:hint="eastAsia" w:ascii="宋体" w:hAnsi="宋体" w:cs="Arial"/>
          <w:b/>
          <w:bCs/>
          <w:sz w:val="48"/>
          <w:szCs w:val="44"/>
        </w:rPr>
        <w:t>研究课题项目</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before="156" w:beforeLines="50" w:after="156" w:afterLines="50" w:line="360" w:lineRule="auto"/>
        <w:jc w:val="center"/>
        <w:outlineLvl w:val="0"/>
        <w:rPr>
          <w:rFonts w:ascii="黑体" w:hAnsi="宋体" w:eastAsia="黑体"/>
          <w:bCs/>
          <w:sz w:val="72"/>
          <w:szCs w:val="72"/>
        </w:rPr>
      </w:pPr>
      <w:r>
        <w:rPr>
          <w:rFonts w:hint="eastAsia" w:ascii="黑体" w:hAnsi="黑体" w:eastAsia="黑体"/>
          <w:bCs/>
          <w:sz w:val="72"/>
          <w:szCs w:val="72"/>
        </w:rPr>
        <w:t>招</w:t>
      </w:r>
    </w:p>
    <w:p>
      <w:pPr>
        <w:spacing w:before="156" w:beforeLines="50" w:after="156" w:afterLines="50" w:line="360" w:lineRule="auto"/>
        <w:jc w:val="center"/>
        <w:rPr>
          <w:rFonts w:ascii="黑体" w:hAnsi="宋体" w:eastAsia="黑体"/>
          <w:bCs/>
          <w:sz w:val="72"/>
          <w:szCs w:val="72"/>
        </w:rPr>
      </w:pPr>
    </w:p>
    <w:p>
      <w:pPr>
        <w:spacing w:before="156" w:beforeLines="50" w:after="156" w:afterLines="50" w:line="360" w:lineRule="auto"/>
        <w:jc w:val="center"/>
        <w:outlineLvl w:val="0"/>
        <w:rPr>
          <w:rFonts w:ascii="黑体" w:hAnsi="宋体" w:eastAsia="黑体"/>
          <w:bCs/>
          <w:sz w:val="72"/>
          <w:szCs w:val="72"/>
        </w:rPr>
      </w:pPr>
      <w:r>
        <w:rPr>
          <w:rFonts w:hint="eastAsia" w:ascii="黑体" w:hAnsi="黑体" w:eastAsia="黑体"/>
          <w:bCs/>
          <w:sz w:val="72"/>
          <w:szCs w:val="72"/>
        </w:rPr>
        <w:t>标</w:t>
      </w:r>
    </w:p>
    <w:p>
      <w:pPr>
        <w:spacing w:before="156" w:beforeLines="50" w:after="156" w:afterLines="50" w:line="360" w:lineRule="auto"/>
        <w:jc w:val="center"/>
        <w:rPr>
          <w:rFonts w:ascii="黑体" w:hAnsi="宋体" w:eastAsia="黑体"/>
          <w:bCs/>
          <w:sz w:val="48"/>
          <w:szCs w:val="48"/>
        </w:rPr>
      </w:pPr>
    </w:p>
    <w:p>
      <w:pPr>
        <w:spacing w:before="156" w:beforeLines="50" w:after="156" w:afterLines="50" w:line="360" w:lineRule="auto"/>
        <w:jc w:val="center"/>
        <w:outlineLvl w:val="0"/>
        <w:rPr>
          <w:rFonts w:ascii="黑体" w:hAnsi="宋体" w:eastAsia="黑体"/>
          <w:bCs/>
          <w:sz w:val="72"/>
          <w:szCs w:val="72"/>
        </w:rPr>
      </w:pPr>
      <w:r>
        <w:rPr>
          <w:rFonts w:hint="eastAsia" w:ascii="黑体" w:hAnsi="黑体" w:eastAsia="黑体"/>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360" w:lineRule="auto"/>
        <w:ind w:left="420" w:leftChars="200"/>
        <w:jc w:val="center"/>
        <w:rPr>
          <w:rFonts w:ascii="方正小标宋简体" w:hAnsi="宋体" w:cs="Arial"/>
          <w:sz w:val="48"/>
          <w:szCs w:val="48"/>
        </w:rPr>
      </w:pPr>
    </w:p>
    <w:p>
      <w:pPr>
        <w:spacing w:line="600" w:lineRule="exact"/>
        <w:jc w:val="center"/>
        <w:outlineLvl w:val="0"/>
        <w:rPr>
          <w:rFonts w:ascii="宋体" w:hAnsi="宋体"/>
          <w:b/>
          <w:bCs/>
          <w:sz w:val="32"/>
          <w:szCs w:val="32"/>
        </w:rPr>
      </w:pPr>
      <w:r>
        <w:rPr>
          <w:rFonts w:hint="eastAsia" w:ascii="宋体" w:hAnsi="宋体"/>
          <w:b/>
          <w:bCs/>
          <w:sz w:val="32"/>
          <w:szCs w:val="32"/>
        </w:rPr>
        <w:t>深圳市发展和改革委员会</w:t>
      </w:r>
    </w:p>
    <w:p>
      <w:pPr>
        <w:spacing w:line="600" w:lineRule="exact"/>
        <w:jc w:val="center"/>
        <w:outlineLvl w:val="0"/>
        <w:rPr>
          <w:b/>
        </w:rPr>
      </w:pPr>
      <w:r>
        <w:rPr>
          <w:rFonts w:hint="eastAsia" w:ascii="宋体" w:hAnsi="宋体"/>
          <w:b/>
          <w:bCs/>
          <w:sz w:val="32"/>
          <w:szCs w:val="32"/>
        </w:rPr>
        <w:t>二〇二一年</w:t>
      </w:r>
      <w:r>
        <w:rPr>
          <w:rFonts w:hint="eastAsia" w:ascii="宋体" w:hAnsi="宋体"/>
          <w:b/>
          <w:bCs/>
          <w:sz w:val="32"/>
          <w:szCs w:val="32"/>
          <w:lang w:eastAsia="zh-CN"/>
        </w:rPr>
        <w:t>十</w:t>
      </w:r>
      <w:r>
        <w:rPr>
          <w:rFonts w:hint="eastAsia" w:ascii="宋体" w:hAnsi="宋体"/>
          <w:b/>
          <w:bCs/>
          <w:sz w:val="32"/>
          <w:szCs w:val="32"/>
        </w:rPr>
        <w:t>月</w:t>
      </w:r>
    </w:p>
    <w:p>
      <w:pPr>
        <w:widowControl/>
        <w:jc w:val="left"/>
        <w:rPr>
          <w:rFonts w:ascii="宋体" w:hAnsi="宋体" w:cs="宋体"/>
          <w:b/>
          <w:bCs/>
          <w:sz w:val="44"/>
          <w:szCs w:val="44"/>
        </w:rPr>
        <w:sectPr>
          <w:pgSz w:w="11906" w:h="16838"/>
          <w:pgMar w:top="1871" w:right="1474" w:bottom="1758" w:left="1588"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outlineLvl w:val="0"/>
        <w:rPr>
          <w:rFonts w:ascii="宋体" w:hAnsi="宋体" w:cs="Arial"/>
          <w:b/>
          <w:bCs/>
          <w:sz w:val="44"/>
          <w:szCs w:val="44"/>
        </w:rPr>
      </w:pPr>
      <w:r>
        <w:rPr>
          <w:rFonts w:hint="eastAsia" w:ascii="宋体" w:hAnsi="宋体" w:cs="Arial"/>
          <w:b/>
          <w:bCs/>
          <w:sz w:val="44"/>
          <w:szCs w:val="44"/>
        </w:rPr>
        <w:t>深圳市第六轮市区政府投资事权划分</w:t>
      </w:r>
    </w:p>
    <w:p>
      <w:pPr>
        <w:adjustRightInd w:val="0"/>
        <w:snapToGrid w:val="0"/>
        <w:jc w:val="center"/>
        <w:outlineLvl w:val="0"/>
        <w:rPr>
          <w:rFonts w:ascii="宋体" w:hAnsi="宋体" w:cs="Arial"/>
          <w:b/>
          <w:bCs/>
          <w:sz w:val="44"/>
          <w:szCs w:val="44"/>
        </w:rPr>
      </w:pPr>
      <w:r>
        <w:rPr>
          <w:rFonts w:hint="eastAsia" w:ascii="宋体" w:hAnsi="宋体" w:cs="Arial"/>
          <w:b/>
          <w:bCs/>
          <w:sz w:val="44"/>
          <w:szCs w:val="44"/>
        </w:rPr>
        <w:t>研究课题项目招标书</w:t>
      </w:r>
    </w:p>
    <w:p>
      <w:pPr>
        <w:adjustRightInd w:val="0"/>
        <w:snapToGrid w:val="0"/>
        <w:spacing w:line="560" w:lineRule="exact"/>
        <w:ind w:firstLine="642" w:firstLineChars="200"/>
        <w:rPr>
          <w:rFonts w:ascii="黑体" w:hAnsi="黑体" w:eastAsia="黑体"/>
          <w:b/>
          <w:bCs/>
          <w:sz w:val="32"/>
          <w:szCs w:val="32"/>
        </w:rPr>
      </w:pP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一、项目概况</w:t>
      </w:r>
    </w:p>
    <w:p>
      <w:pPr>
        <w:adjustRightInd w:val="0"/>
        <w:snapToGrid w:val="0"/>
        <w:spacing w:line="560" w:lineRule="exact"/>
        <w:ind w:firstLine="640" w:firstLineChars="200"/>
        <w:outlineLvl w:val="1"/>
        <w:rPr>
          <w:rFonts w:ascii="仿宋_GB2312" w:hAnsi="仿宋" w:eastAsia="仿宋_GB2312" w:cs="仿宋_GB2312"/>
          <w:sz w:val="32"/>
          <w:szCs w:val="32"/>
        </w:rPr>
      </w:pPr>
      <w:r>
        <w:rPr>
          <w:rFonts w:hint="eastAsia" w:ascii="仿宋_GB2312" w:hAnsi="仿宋" w:eastAsia="仿宋_GB2312" w:cs="仿宋_GB2312"/>
          <w:sz w:val="32"/>
          <w:szCs w:val="32"/>
        </w:rPr>
        <w:t>（一）项目名称：</w:t>
      </w:r>
      <w:r>
        <w:rPr>
          <w:rFonts w:hint="eastAsia" w:ascii="仿宋_GB2312" w:eastAsia="仿宋_GB2312"/>
          <w:sz w:val="32"/>
          <w:szCs w:val="32"/>
        </w:rPr>
        <w:t>深圳市第六轮市区政府投资事权划分研究课题</w:t>
      </w:r>
    </w:p>
    <w:p>
      <w:pPr>
        <w:adjustRightInd w:val="0"/>
        <w:snapToGrid w:val="0"/>
        <w:spacing w:line="560" w:lineRule="exact"/>
        <w:ind w:firstLine="640" w:firstLineChars="200"/>
        <w:outlineLvl w:val="1"/>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（二）服务期限：自合同签订之日起5个月</w:t>
      </w:r>
    </w:p>
    <w:p>
      <w:pPr>
        <w:adjustRightInd w:val="0"/>
        <w:snapToGrid w:val="0"/>
        <w:spacing w:line="560" w:lineRule="exact"/>
        <w:ind w:firstLine="640" w:firstLineChars="200"/>
        <w:outlineLvl w:val="1"/>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ascii="仿宋_GB2312" w:hAnsi="仿宋" w:eastAsia="仿宋_GB2312" w:cs="仿宋_GB2312"/>
          <w:sz w:val="32"/>
          <w:szCs w:val="32"/>
        </w:rPr>
        <w:t>70</w:t>
      </w:r>
      <w:r>
        <w:rPr>
          <w:rFonts w:hint="eastAsia" w:ascii="仿宋_GB2312" w:hAnsi="仿宋" w:eastAsia="仿宋_GB2312" w:cs="仿宋_GB2312"/>
          <w:sz w:val="32"/>
          <w:szCs w:val="32"/>
        </w:rPr>
        <w:t>万元以下</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二、项目内容</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调研分析深圳“十三五”期间市、区两级政府投资的完成情况，总结评价深圳第五轮市区政府投资事权划分成效和不足；系统梳理政府投资事权划分相关理论基础，调研比较国内重点城市政府投资事权划分管理情况；结合深圳“十四五”规划纲要、相关专项规划以及第六轮市区财政体制改革工作等，测算深圳“十四五”期间市、区两级政府投资项目资金需求；研究分析深圳第六轮市、区两级政府投资事权划分的基本思路、总体原则、具体调整建议、对资金保障的影响、组织实施保障机制等，形成调整方案，合理预测调整后的预期效果。</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三、项目技术要求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（一）项目成果应遵循国家颁布的有关法律、法规及政策要求，符合相关的技术规范和标准。</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（二）研究过程中应当进行深入调查研究，搜集整理深圳各委办局、各区政府投资的基础性数据和资料。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（三）研究成果要具有前瞻性，面向未来、视野开阔；具有系统性，研究成果要体系完整、内容全面、材料丰富；具有实用性，研究成果符合深圳政府投资实际情况，针对性和可操作性强。</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四、项目成果交付要求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提交研究成果纸质版2份和电子版，文件能够简明扼要介绍成果核心内容与主要结论。</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五、投标资格要求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（一）具有独立承担民事责任能力的在中华人民共和国境内注册的法人。</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（二）投标人必须具备相关经营范围（咨询服务等），具备开展本项目研究的基本条件和研究能力。</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（三）参加本次政府采购活动前3年内在经营活动中没有重大违法记录（提供声明函，格式自拟）。</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六、投标时间、方式及联系人</w:t>
      </w:r>
    </w:p>
    <w:p>
      <w:pPr>
        <w:pStyle w:val="38"/>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（一）投标时间：2021年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日至2021年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bookmarkStart w:id="0" w:name="_GoBack"/>
      <w:bookmarkEnd w:id="0"/>
      <w:r>
        <w:rPr>
          <w:rFonts w:hint="eastAsia" w:ascii="仿宋_GB2312" w:hAnsi="仿宋_GB2312" w:eastAsia="仿宋_GB2312" w:cs="仿宋_GB2312"/>
          <w:sz w:val="32"/>
          <w:szCs w:val="32"/>
        </w:rPr>
        <w:t>日，每日上午9:00-12:00，下午2:00-6:00（节假日除外）。逾期未投标将不再受理。</w:t>
      </w:r>
    </w:p>
    <w:p>
      <w:pPr>
        <w:pStyle w:val="38"/>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（二）投标地点：深圳市福田区福中三路市民中心B区行政服务大厅2号市发展改革委卡座（可邮寄，以送达日期为投标日期）。</w:t>
      </w:r>
    </w:p>
    <w:p>
      <w:pPr>
        <w:pStyle w:val="38"/>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（三）联系人：彭海城，0755-8812</w:t>
      </w:r>
      <w:r>
        <w:rPr>
          <w:rFonts w:ascii="仿宋_GB2312" w:hAnsi="仿宋_GB2312" w:eastAsia="仿宋_GB2312" w:cs="仿宋_GB2312"/>
          <w:sz w:val="32"/>
          <w:szCs w:val="32"/>
        </w:rPr>
        <w:t>8952</w:t>
      </w:r>
      <w:r>
        <w:rPr>
          <w:rFonts w:hint="eastAsia" w:ascii="仿宋_GB2312" w:hAnsi="仿宋_GB2312" w:eastAsia="仿宋_GB2312" w:cs="仿宋_GB2312"/>
          <w:sz w:val="32"/>
          <w:szCs w:val="32"/>
        </w:rPr>
        <w:t>。</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七、投标文件递交内容</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（一）投标单位简介、投标人营业执照及相关证照（提供加盖公章的复印件，原件备查）。</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（二）法定代表人证明书及授权委托书（原件加盖公章）。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（三）法定代表人及受委托人身份证复印件（复印件加盖公章）。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（四）项目方案及报价单（原件加盖公章）。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（五）投标人相关领域/项目经验证明材料（复印件加盖公章）。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（六）投标人无重大违法记录声明函（原件加盖公章）。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（七）投标及履约承诺函原件（格式见附件）。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（八）住所地不在深圳的投标人应提供营业场所证明原件。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（九）投标人认为有必要提供的其它材料。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投标文件一式三份，整套材料密封并加盖骑缝，封面注明投标人的名称、地址、联系人及手机号码。</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八、重要提示</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投标单位有下列情况之一的，其投标将被拒绝或作无效投标处理：</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（一）未在规定时间内将投标文件送达规定地点的。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（二）投标人不具备投标资格要求，或未提交相应资格证明材料。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（三）投标文件未按规定密封、签字、盖章。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（四）投标文件无法定代表人签字或无法定代表人有效授权委托的。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（五）分项报价或投标总价高于预算金额（最高投标限价）的。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（六）同一项目出现两个及以上报价，且按规定无法确定哪个是有效报价。</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（八）所投服务在质量、技术、方案等方面没有实质性满足招标文件要求。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（九）法律、法规规定的其他情形。</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九、评标方法</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（一）评标方法为综合评分法，具体评分标准和规则为：投标文件从技术、综合实力和价格等三个评审因素进行评分，总分最高的投标人中标；出现总分相同的，则总分相等投标人中最低价者中标。</w:t>
      </w:r>
    </w:p>
    <w:p>
      <w:pPr>
        <w:adjustRightInd w:val="0"/>
        <w:snapToGrid w:val="0"/>
        <w:spacing w:after="156" w:afterLines="50"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819"/>
        <w:gridCol w:w="709"/>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2" w:hRule="atLeast"/>
          <w:tblHeader/>
        </w:trPr>
        <w:tc>
          <w:tcPr>
            <w:tcW w:w="680" w:type="dxa"/>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评审部分</w:t>
            </w:r>
          </w:p>
        </w:tc>
        <w:tc>
          <w:tcPr>
            <w:tcW w:w="1202" w:type="dxa"/>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评审因素</w:t>
            </w:r>
          </w:p>
        </w:tc>
        <w:tc>
          <w:tcPr>
            <w:tcW w:w="4819" w:type="dxa"/>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评分细则</w:t>
            </w:r>
          </w:p>
        </w:tc>
        <w:tc>
          <w:tcPr>
            <w:tcW w:w="709" w:type="dxa"/>
            <w:tcBorders>
              <w:right w:val="single" w:color="auto" w:sz="4" w:space="0"/>
            </w:tcBorders>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权重（%）</w:t>
            </w:r>
          </w:p>
        </w:tc>
        <w:tc>
          <w:tcPr>
            <w:tcW w:w="851" w:type="dxa"/>
            <w:tcBorders>
              <w:left w:val="single" w:color="auto" w:sz="4" w:space="0"/>
            </w:tcBorders>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trPr>
        <w:tc>
          <w:tcPr>
            <w:tcW w:w="680" w:type="dxa"/>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一</w:t>
            </w:r>
          </w:p>
        </w:tc>
        <w:tc>
          <w:tcPr>
            <w:tcW w:w="7581" w:type="dxa"/>
            <w:gridSpan w:val="4"/>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b/>
                <w:sz w:val="22"/>
                <w:szCs w:val="24"/>
              </w:rPr>
              <w:t>技术部分（合计</w:t>
            </w:r>
            <w:r>
              <w:rPr>
                <w:rFonts w:ascii="仿宋_GB2312" w:hAnsi="宋体" w:eastAsia="仿宋_GB2312"/>
                <w:b/>
                <w:sz w:val="22"/>
                <w:szCs w:val="24"/>
              </w:rPr>
              <w:t>50</w:t>
            </w:r>
            <w:r>
              <w:rPr>
                <w:rFonts w:hint="eastAsia" w:ascii="仿宋_GB2312" w:hAnsi="宋体" w:eastAsia="仿宋_GB2312"/>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08" w:hRule="atLeast"/>
        </w:trPr>
        <w:tc>
          <w:tcPr>
            <w:tcW w:w="680" w:type="dxa"/>
            <w:tcBorders>
              <w:bottom w:val="single" w:color="auto" w:sz="4" w:space="0"/>
            </w:tcBorders>
            <w:vAlign w:val="center"/>
          </w:tcPr>
          <w:p>
            <w:pPr>
              <w:numPr>
                <w:ilvl w:val="0"/>
                <w:numId w:val="5"/>
              </w:numPr>
              <w:jc w:val="right"/>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实施方案</w:t>
            </w:r>
          </w:p>
        </w:tc>
        <w:tc>
          <w:tcPr>
            <w:tcW w:w="4819" w:type="dxa"/>
            <w:vAlign w:val="center"/>
          </w:tcPr>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根据投标人提供的项目实施方案的全面性、针对性、可操作性等进行分档评审：</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1.评价为优，得100%；</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2.评价为良，得70%；</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3.评价为中，得40%；</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4.评价为差，得10%；</w:t>
            </w:r>
          </w:p>
        </w:tc>
        <w:tc>
          <w:tcPr>
            <w:tcW w:w="709" w:type="dxa"/>
            <w:tcBorders>
              <w:righ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30</w:t>
            </w:r>
          </w:p>
        </w:tc>
        <w:tc>
          <w:tcPr>
            <w:tcW w:w="851" w:type="dxa"/>
            <w:tcBorders>
              <w:lef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质量保障措施及方案</w:t>
            </w:r>
          </w:p>
        </w:tc>
        <w:tc>
          <w:tcPr>
            <w:tcW w:w="4819" w:type="dxa"/>
          </w:tcPr>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根据投标人对项目进度计划和人员安排、质量和进度保障措施是否合理、可行等进行分档评审：</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1.评价为优，得100%；</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2.评价为良，得70%；</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3.评价为中，得40%；</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4.评价为差，得10%；</w:t>
            </w:r>
          </w:p>
        </w:tc>
        <w:tc>
          <w:tcPr>
            <w:tcW w:w="709" w:type="dxa"/>
            <w:tcBorders>
              <w:righ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1</w:t>
            </w:r>
            <w:r>
              <w:rPr>
                <w:rFonts w:ascii="仿宋_GB2312" w:hAnsi="宋体" w:eastAsia="仿宋_GB2312"/>
                <w:sz w:val="22"/>
                <w:szCs w:val="24"/>
              </w:rPr>
              <w:t>5</w:t>
            </w:r>
          </w:p>
        </w:tc>
        <w:tc>
          <w:tcPr>
            <w:tcW w:w="851" w:type="dxa"/>
            <w:tcBorders>
              <w:lef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1</w:t>
            </w:r>
            <w:r>
              <w:rPr>
                <w:rFonts w:ascii="仿宋_GB2312" w:hAnsi="宋体" w:eastAsia="仿宋_GB2312"/>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违约承诺</w:t>
            </w:r>
          </w:p>
        </w:tc>
        <w:tc>
          <w:tcPr>
            <w:tcW w:w="4819" w:type="dxa"/>
          </w:tcPr>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提供违约承诺，承诺满足招标文件要求，保证措施合理且有针对性，有具体的违约责任承诺。</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投标人提供违约承诺得100%。要求提供承诺（格式自定）作为得分依据，未提供承诺或承诺内容不满足要求不得分。</w:t>
            </w:r>
          </w:p>
        </w:tc>
        <w:tc>
          <w:tcPr>
            <w:tcW w:w="709" w:type="dxa"/>
            <w:tcBorders>
              <w:righ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5</w:t>
            </w:r>
          </w:p>
        </w:tc>
        <w:tc>
          <w:tcPr>
            <w:tcW w:w="851" w:type="dxa"/>
            <w:tcBorders>
              <w:lef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二</w:t>
            </w:r>
          </w:p>
        </w:tc>
        <w:tc>
          <w:tcPr>
            <w:tcW w:w="7581" w:type="dxa"/>
            <w:gridSpan w:val="4"/>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综合实力部分</w:t>
            </w:r>
            <w:r>
              <w:rPr>
                <w:rFonts w:hint="eastAsia" w:ascii="仿宋_GB2312" w:hAnsi="宋体" w:eastAsia="仿宋_GB2312"/>
                <w:b/>
                <w:sz w:val="22"/>
                <w:szCs w:val="24"/>
              </w:rPr>
              <w:t>（合计4</w:t>
            </w:r>
            <w:r>
              <w:rPr>
                <w:rFonts w:ascii="仿宋_GB2312" w:hAnsi="宋体" w:eastAsia="仿宋_GB2312"/>
                <w:b/>
                <w:sz w:val="22"/>
                <w:szCs w:val="24"/>
              </w:rPr>
              <w:t>0</w:t>
            </w:r>
            <w:r>
              <w:rPr>
                <w:rFonts w:hint="eastAsia" w:ascii="仿宋_GB2312" w:hAnsi="宋体" w:eastAsia="仿宋_GB2312"/>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投标人</w:t>
            </w:r>
          </w:p>
          <w:p>
            <w:pPr>
              <w:jc w:val="center"/>
              <w:rPr>
                <w:rFonts w:ascii="仿宋_GB2312" w:hAnsi="Arial" w:eastAsia="仿宋_GB2312"/>
                <w:b/>
                <w:bCs/>
                <w:sz w:val="22"/>
                <w:szCs w:val="32"/>
              </w:rPr>
            </w:pPr>
            <w:r>
              <w:rPr>
                <w:rFonts w:hint="eastAsia" w:ascii="仿宋_GB2312" w:hAnsi="宋体" w:eastAsia="仿宋_GB2312"/>
                <w:sz w:val="22"/>
                <w:szCs w:val="24"/>
              </w:rPr>
              <w:t>经验</w:t>
            </w:r>
          </w:p>
        </w:tc>
        <w:tc>
          <w:tcPr>
            <w:tcW w:w="4819" w:type="dxa"/>
            <w:vAlign w:val="center"/>
          </w:tcPr>
          <w:p>
            <w:pPr>
              <w:widowControl/>
              <w:rPr>
                <w:rFonts w:ascii="仿宋_GB2312" w:hAnsi="宋体" w:eastAsia="仿宋_GB2312" w:cs="宋体"/>
                <w:b/>
                <w:kern w:val="0"/>
                <w:sz w:val="22"/>
                <w:szCs w:val="24"/>
              </w:rPr>
            </w:pPr>
            <w:r>
              <w:rPr>
                <w:rFonts w:hint="eastAsia" w:ascii="仿宋_GB2312" w:hAnsi="宋体" w:eastAsia="仿宋_GB2312" w:cs="宋体"/>
                <w:b/>
                <w:kern w:val="0"/>
                <w:sz w:val="22"/>
                <w:szCs w:val="24"/>
              </w:rPr>
              <w:t>1.评分内容：</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牵头承担过国家、省或市级政策研究、规划编制、制度评估等政府课题的，按国家级每项20%、省级每项15%、市级每项10%进行计分，最高得分不超过100%。</w:t>
            </w:r>
          </w:p>
          <w:p>
            <w:pPr>
              <w:widowControl/>
              <w:rPr>
                <w:rFonts w:ascii="仿宋_GB2312" w:hAnsi="宋体" w:eastAsia="仿宋_GB2312" w:cs="宋体"/>
                <w:b/>
                <w:kern w:val="0"/>
                <w:sz w:val="22"/>
                <w:szCs w:val="24"/>
              </w:rPr>
            </w:pPr>
            <w:r>
              <w:rPr>
                <w:rFonts w:hint="eastAsia" w:ascii="仿宋_GB2312" w:hAnsi="宋体" w:eastAsia="仿宋_GB2312" w:cs="宋体"/>
                <w:b/>
                <w:kern w:val="0"/>
                <w:sz w:val="22"/>
                <w:szCs w:val="24"/>
              </w:rPr>
              <w:t>2.评分依据：</w:t>
            </w:r>
          </w:p>
          <w:p>
            <w:pPr>
              <w:widowControl/>
              <w:rPr>
                <w:rFonts w:ascii="仿宋_GB2312" w:hAnsi="宋体" w:eastAsia="仿宋_GB2312" w:cs="宋体"/>
                <w:b/>
                <w:kern w:val="0"/>
                <w:sz w:val="22"/>
                <w:szCs w:val="24"/>
              </w:rPr>
            </w:pPr>
            <w:r>
              <w:rPr>
                <w:rFonts w:hint="eastAsia" w:ascii="仿宋_GB2312" w:hAnsi="宋体" w:eastAsia="仿宋_GB2312" w:cs="宋体"/>
                <w:kern w:val="0"/>
                <w:sz w:val="22"/>
                <w:szCs w:val="24"/>
              </w:rPr>
              <w:t>（1）要求提供中标通知书、合同关键页或其他证明文件。</w:t>
            </w:r>
          </w:p>
          <w:p>
            <w:pPr>
              <w:widowControl/>
              <w:ind w:left="-63" w:leftChars="-30" w:right="-88" w:rightChars="-42"/>
              <w:rPr>
                <w:rFonts w:ascii="仿宋_GB2312" w:hAnsi="宋体" w:eastAsia="仿宋_GB2312" w:cs="宋体"/>
                <w:kern w:val="0"/>
                <w:sz w:val="22"/>
                <w:szCs w:val="24"/>
              </w:rPr>
            </w:pPr>
            <w:r>
              <w:rPr>
                <w:rFonts w:hint="eastAsia" w:ascii="仿宋_GB2312" w:hAnsi="宋体" w:eastAsia="仿宋_GB2312" w:cs="宋体"/>
                <w:kern w:val="0"/>
                <w:sz w:val="22"/>
                <w:szCs w:val="24"/>
              </w:rPr>
              <w:t>（2）以上资料均要求提供扫描件（或官方网站截图）。评分中出现无证明资料或专家无法凭所提供资料判断是否得分的情况，一律作不得分处理。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ascii="仿宋_GB2312" w:hAnsi="宋体" w:eastAsia="仿宋_GB2312"/>
                <w:sz w:val="22"/>
                <w:szCs w:val="24"/>
                <w:highlight w:val="yellow"/>
              </w:rPr>
            </w:pPr>
            <w:r>
              <w:rPr>
                <w:rFonts w:hint="eastAsia" w:ascii="仿宋_GB2312" w:hAnsi="宋体" w:eastAsia="仿宋_GB2312"/>
                <w:sz w:val="22"/>
                <w:szCs w:val="24"/>
              </w:rPr>
              <w:t>1</w:t>
            </w:r>
            <w:r>
              <w:rPr>
                <w:rFonts w:ascii="仿宋_GB2312" w:hAnsi="宋体" w:eastAsia="仿宋_GB2312"/>
                <w:sz w:val="22"/>
                <w:szCs w:val="24"/>
              </w:rPr>
              <w:t>0</w:t>
            </w:r>
          </w:p>
        </w:tc>
        <w:tc>
          <w:tcPr>
            <w:tcW w:w="851" w:type="dxa"/>
            <w:tcBorders>
              <w:left w:val="single" w:color="auto" w:sz="4" w:space="0"/>
            </w:tcBorders>
            <w:vAlign w:val="center"/>
          </w:tcPr>
          <w:p>
            <w:pPr>
              <w:jc w:val="center"/>
              <w:rPr>
                <w:rFonts w:ascii="仿宋_GB2312" w:hAnsi="宋体" w:eastAsia="仿宋_GB2312"/>
                <w:sz w:val="22"/>
                <w:szCs w:val="24"/>
                <w:highlight w:val="yellow"/>
              </w:rPr>
            </w:pPr>
            <w:r>
              <w:rPr>
                <w:rFonts w:hint="eastAsia" w:ascii="仿宋_GB2312" w:hAnsi="宋体" w:eastAsia="仿宋_GB2312"/>
                <w:sz w:val="22"/>
                <w:szCs w:val="24"/>
              </w:rPr>
              <w:t>1</w:t>
            </w:r>
            <w:r>
              <w:rPr>
                <w:rFonts w:ascii="仿宋_GB2312" w:hAnsi="宋体" w:eastAsia="仿宋_GB2312"/>
                <w:sz w:val="22"/>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投标人</w:t>
            </w:r>
          </w:p>
          <w:p>
            <w:pPr>
              <w:jc w:val="center"/>
              <w:rPr>
                <w:rFonts w:ascii="仿宋_GB2312" w:hAnsi="宋体" w:eastAsia="仿宋_GB2312"/>
                <w:sz w:val="22"/>
                <w:szCs w:val="24"/>
              </w:rPr>
            </w:pPr>
            <w:r>
              <w:rPr>
                <w:rFonts w:hint="eastAsia" w:ascii="仿宋_GB2312" w:hAnsi="宋体" w:eastAsia="仿宋_GB2312"/>
                <w:sz w:val="22"/>
                <w:szCs w:val="24"/>
              </w:rPr>
              <w:t>获奖情况</w:t>
            </w:r>
          </w:p>
        </w:tc>
        <w:tc>
          <w:tcPr>
            <w:tcW w:w="4819" w:type="dxa"/>
          </w:tcPr>
          <w:p>
            <w:pPr>
              <w:widowControl/>
              <w:rPr>
                <w:rFonts w:ascii="仿宋_GB2312" w:hAnsi="宋体" w:eastAsia="仿宋_GB2312" w:cs="宋体"/>
                <w:b/>
                <w:kern w:val="0"/>
                <w:sz w:val="22"/>
                <w:szCs w:val="24"/>
              </w:rPr>
            </w:pPr>
            <w:r>
              <w:rPr>
                <w:rFonts w:hint="eastAsia" w:ascii="仿宋_GB2312" w:hAnsi="宋体" w:eastAsia="仿宋_GB2312" w:cs="宋体"/>
                <w:b/>
                <w:kern w:val="0"/>
                <w:sz w:val="22"/>
                <w:szCs w:val="24"/>
              </w:rPr>
              <w:t>1.评分内容：</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投标人承担的研究课题，获得市级及以上级别的奖励，或作为市级及以上级别政策文件进行公开发布的，每提供1个得50%，最高得分不超过100%。</w:t>
            </w:r>
          </w:p>
          <w:p>
            <w:pPr>
              <w:widowControl/>
              <w:rPr>
                <w:rFonts w:ascii="仿宋_GB2312" w:hAnsi="宋体" w:eastAsia="仿宋_GB2312" w:cs="宋体"/>
                <w:b/>
                <w:kern w:val="0"/>
                <w:sz w:val="22"/>
                <w:szCs w:val="24"/>
              </w:rPr>
            </w:pPr>
            <w:r>
              <w:rPr>
                <w:rFonts w:hint="eastAsia" w:ascii="仿宋_GB2312" w:hAnsi="宋体" w:eastAsia="仿宋_GB2312" w:cs="宋体"/>
                <w:b/>
                <w:kern w:val="0"/>
                <w:sz w:val="22"/>
                <w:szCs w:val="24"/>
              </w:rPr>
              <w:t>2.评分依据：</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（1）要求提供相关证明文件。</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（2）以上资料均要求提供扫描件（或官方网站截图），原件备查。评分中出现无证明资料或专家无法凭所提供资料判断是否得分的情况，一律作不得分处理。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ascii="仿宋_GB2312" w:hAnsi="宋体" w:eastAsia="仿宋_GB2312"/>
                <w:sz w:val="22"/>
                <w:szCs w:val="24"/>
              </w:rPr>
            </w:pPr>
            <w:r>
              <w:rPr>
                <w:rFonts w:ascii="仿宋_GB2312" w:hAnsi="宋体" w:eastAsia="仿宋_GB2312"/>
                <w:sz w:val="22"/>
                <w:szCs w:val="24"/>
              </w:rPr>
              <w:t>10</w:t>
            </w:r>
          </w:p>
        </w:tc>
        <w:tc>
          <w:tcPr>
            <w:tcW w:w="851" w:type="dxa"/>
            <w:tcBorders>
              <w:left w:val="single" w:color="auto" w:sz="4" w:space="0"/>
            </w:tcBorders>
            <w:vAlign w:val="center"/>
          </w:tcPr>
          <w:p>
            <w:pPr>
              <w:jc w:val="center"/>
              <w:rPr>
                <w:rFonts w:ascii="仿宋_GB2312" w:hAnsi="宋体" w:eastAsia="仿宋_GB2312"/>
                <w:sz w:val="22"/>
                <w:szCs w:val="24"/>
              </w:rPr>
            </w:pPr>
            <w:r>
              <w:rPr>
                <w:rFonts w:ascii="仿宋_GB2312" w:hAnsi="宋体" w:eastAsia="仿宋_GB2312"/>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highlight w:val="yellow"/>
              </w:rPr>
            </w:pPr>
            <w:r>
              <w:rPr>
                <w:rFonts w:hint="eastAsia" w:ascii="仿宋_GB2312" w:hAnsi="宋体" w:eastAsia="仿宋_GB2312"/>
                <w:sz w:val="22"/>
                <w:szCs w:val="24"/>
              </w:rPr>
              <w:t>拟安排的项目负责人情况（仅限一人）</w:t>
            </w:r>
          </w:p>
        </w:tc>
        <w:tc>
          <w:tcPr>
            <w:tcW w:w="4819" w:type="dxa"/>
          </w:tcPr>
          <w:p>
            <w:pPr>
              <w:widowControl/>
              <w:jc w:val="left"/>
              <w:rPr>
                <w:rFonts w:ascii="仿宋_GB2312" w:hAnsi="宋体" w:eastAsia="仿宋_GB2312" w:cs="宋体"/>
                <w:b/>
                <w:kern w:val="0"/>
                <w:sz w:val="22"/>
                <w:szCs w:val="24"/>
              </w:rPr>
            </w:pPr>
            <w:r>
              <w:rPr>
                <w:rFonts w:hint="eastAsia" w:ascii="仿宋_GB2312" w:hAnsi="宋体" w:eastAsia="仿宋_GB2312" w:cs="宋体"/>
                <w:b/>
                <w:kern w:val="0"/>
                <w:sz w:val="22"/>
                <w:szCs w:val="24"/>
              </w:rPr>
              <w:t>1.评分内容：</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（1）项目负责人具有中级及以上职称或博士学位，得25%，否则不得分；</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（2）项目负责人主持或参与过国家、省或市级政策研究、规划编制、制度评估等政府课题的，每提供1个得25%，最高得分不超过75%。</w:t>
            </w:r>
          </w:p>
          <w:p>
            <w:pPr>
              <w:widowControl/>
              <w:jc w:val="left"/>
              <w:rPr>
                <w:rFonts w:ascii="仿宋_GB2312" w:hAnsi="宋体" w:eastAsia="仿宋_GB2312" w:cs="宋体"/>
                <w:b/>
                <w:kern w:val="0"/>
                <w:sz w:val="22"/>
                <w:szCs w:val="24"/>
              </w:rPr>
            </w:pPr>
            <w:r>
              <w:rPr>
                <w:rFonts w:hint="eastAsia" w:ascii="仿宋_GB2312" w:hAnsi="宋体" w:eastAsia="仿宋_GB2312" w:cs="宋体"/>
                <w:b/>
                <w:kern w:val="0"/>
                <w:sz w:val="22"/>
                <w:szCs w:val="24"/>
              </w:rPr>
              <w:t>2.评分依据：</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widowControl/>
              <w:rPr>
                <w:rFonts w:ascii="仿宋_GB2312" w:hAnsi="宋体" w:eastAsia="仿宋_GB2312" w:cs="宋体"/>
                <w:kern w:val="0"/>
                <w:sz w:val="22"/>
                <w:szCs w:val="24"/>
                <w:highlight w:val="yellow"/>
              </w:rPr>
            </w:pPr>
            <w:r>
              <w:rPr>
                <w:rFonts w:hint="eastAsia" w:ascii="仿宋_GB2312" w:hAnsi="宋体" w:eastAsia="仿宋_GB2312" w:cs="宋体"/>
                <w:kern w:val="0"/>
                <w:sz w:val="22"/>
                <w:szCs w:val="24"/>
              </w:rPr>
              <w:t>（2）以上资料均要求提供扫描件（或官方网站截图），原件备查。评分中出现无证明资料或专家无法凭所提供资料判断是否得分的情况，一律作不得分处理。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ascii="仿宋_GB2312" w:hAnsi="宋体" w:eastAsia="仿宋_GB2312"/>
                <w:sz w:val="22"/>
                <w:szCs w:val="24"/>
              </w:rPr>
            </w:pPr>
            <w:r>
              <w:rPr>
                <w:rFonts w:ascii="仿宋_GB2312" w:hAnsi="宋体" w:eastAsia="仿宋_GB2312"/>
                <w:sz w:val="22"/>
                <w:szCs w:val="24"/>
              </w:rPr>
              <w:t>10</w:t>
            </w:r>
          </w:p>
        </w:tc>
        <w:tc>
          <w:tcPr>
            <w:tcW w:w="851" w:type="dxa"/>
            <w:tcBorders>
              <w:left w:val="single" w:color="auto" w:sz="4" w:space="0"/>
            </w:tcBorders>
            <w:vAlign w:val="center"/>
          </w:tcPr>
          <w:p>
            <w:pPr>
              <w:jc w:val="center"/>
              <w:rPr>
                <w:rFonts w:ascii="仿宋_GB2312" w:hAnsi="宋体" w:eastAsia="仿宋_GB2312"/>
                <w:sz w:val="22"/>
                <w:szCs w:val="24"/>
              </w:rPr>
            </w:pPr>
            <w:r>
              <w:rPr>
                <w:rFonts w:ascii="仿宋_GB2312" w:hAnsi="宋体" w:eastAsia="仿宋_GB2312"/>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拟安排的项目主要团队成员（主要技术人员）情况（项目负责人除外）</w:t>
            </w:r>
          </w:p>
        </w:tc>
        <w:tc>
          <w:tcPr>
            <w:tcW w:w="4819" w:type="dxa"/>
          </w:tcPr>
          <w:p>
            <w:pPr>
              <w:widowControl/>
              <w:rPr>
                <w:rFonts w:ascii="仿宋_GB2312" w:hAnsi="宋体" w:eastAsia="仿宋_GB2312" w:cs="宋体"/>
                <w:b/>
                <w:kern w:val="0"/>
                <w:sz w:val="22"/>
                <w:szCs w:val="24"/>
              </w:rPr>
            </w:pPr>
            <w:r>
              <w:rPr>
                <w:rFonts w:hint="eastAsia" w:ascii="仿宋_GB2312" w:hAnsi="宋体" w:eastAsia="仿宋_GB2312" w:cs="宋体"/>
                <w:b/>
                <w:kern w:val="0"/>
                <w:sz w:val="22"/>
                <w:szCs w:val="24"/>
              </w:rPr>
              <w:t>1.评分内容：</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项目团队中每提供1位有高级职称或博士学位人员得50%，每提供1位有中级职称或硕士学位人员得25%，最高得分不超过100%。</w:t>
            </w:r>
          </w:p>
          <w:p>
            <w:pPr>
              <w:widowControl/>
              <w:rPr>
                <w:rFonts w:ascii="仿宋_GB2312" w:hAnsi="宋体" w:eastAsia="仿宋_GB2312" w:cs="宋体"/>
                <w:b/>
                <w:kern w:val="0"/>
                <w:sz w:val="22"/>
                <w:szCs w:val="24"/>
              </w:rPr>
            </w:pPr>
            <w:r>
              <w:rPr>
                <w:rFonts w:hint="eastAsia" w:ascii="仿宋_GB2312" w:hAnsi="宋体" w:eastAsia="仿宋_GB2312" w:cs="宋体"/>
                <w:b/>
                <w:kern w:val="0"/>
                <w:sz w:val="22"/>
                <w:szCs w:val="24"/>
              </w:rPr>
              <w:t>2.评分依据：</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（1）要求提供通过投标人购买的团队成员近三个月社保，学位或职称文件等。</w:t>
            </w:r>
          </w:p>
          <w:p>
            <w:pPr>
              <w:widowControl/>
              <w:rPr>
                <w:rFonts w:ascii="仿宋_GB2312" w:hAnsi="宋体" w:eastAsia="仿宋_GB2312" w:cs="宋体"/>
                <w:kern w:val="0"/>
                <w:sz w:val="22"/>
                <w:szCs w:val="24"/>
                <w:highlight w:val="yellow"/>
              </w:rPr>
            </w:pPr>
            <w:r>
              <w:rPr>
                <w:rFonts w:hint="eastAsia" w:ascii="仿宋_GB2312" w:hAnsi="宋体" w:eastAsia="仿宋_GB2312" w:cs="宋体"/>
                <w:kern w:val="0"/>
                <w:sz w:val="22"/>
                <w:szCs w:val="24"/>
              </w:rPr>
              <w:t>（2）以上资料均要求提供扫描件（或官方网站截图），原件备查。评分中出现无证明资料或专家无法凭所提供资料判断是否得分的情况，一律作不得分处理。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ascii="仿宋_GB2312" w:hAnsi="宋体" w:eastAsia="仿宋_GB2312"/>
                <w:sz w:val="22"/>
                <w:szCs w:val="24"/>
              </w:rPr>
            </w:pPr>
            <w:r>
              <w:rPr>
                <w:rFonts w:ascii="仿宋_GB2312" w:hAnsi="宋体" w:eastAsia="仿宋_GB2312"/>
                <w:sz w:val="22"/>
                <w:szCs w:val="24"/>
              </w:rPr>
              <w:t>10</w:t>
            </w:r>
          </w:p>
        </w:tc>
        <w:tc>
          <w:tcPr>
            <w:tcW w:w="851" w:type="dxa"/>
            <w:tcBorders>
              <w:left w:val="single" w:color="auto" w:sz="4" w:space="0"/>
            </w:tcBorders>
            <w:vAlign w:val="center"/>
          </w:tcPr>
          <w:p>
            <w:pPr>
              <w:jc w:val="center"/>
              <w:rPr>
                <w:rFonts w:ascii="仿宋_GB2312" w:hAnsi="宋体" w:eastAsia="仿宋_GB2312"/>
                <w:sz w:val="22"/>
                <w:szCs w:val="24"/>
              </w:rPr>
            </w:pPr>
            <w:r>
              <w:rPr>
                <w:rFonts w:ascii="仿宋_GB2312" w:hAnsi="宋体" w:eastAsia="仿宋_GB2312"/>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仿宋_GB2312" w:hAnsi="宋体" w:eastAsia="仿宋_GB2312"/>
                <w:b/>
                <w:sz w:val="22"/>
                <w:szCs w:val="24"/>
              </w:rPr>
            </w:pPr>
            <w:r>
              <w:rPr>
                <w:rFonts w:hint="eastAsia" w:ascii="仿宋_GB2312" w:hAnsi="宋体" w:eastAsia="仿宋_GB2312"/>
                <w:b/>
                <w:sz w:val="22"/>
                <w:szCs w:val="24"/>
              </w:rPr>
              <w:t>三</w:t>
            </w:r>
          </w:p>
        </w:tc>
        <w:tc>
          <w:tcPr>
            <w:tcW w:w="7581" w:type="dxa"/>
            <w:gridSpan w:val="4"/>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b/>
                <w:sz w:val="22"/>
                <w:szCs w:val="24"/>
              </w:rPr>
              <w:t>价格部分（合计1</w:t>
            </w:r>
            <w:r>
              <w:rPr>
                <w:rFonts w:ascii="仿宋_GB2312" w:hAnsi="宋体" w:eastAsia="仿宋_GB2312"/>
                <w:b/>
                <w:sz w:val="22"/>
                <w:szCs w:val="24"/>
              </w:rPr>
              <w:t>0</w:t>
            </w:r>
            <w:r>
              <w:rPr>
                <w:rFonts w:hint="eastAsia" w:ascii="仿宋_GB2312" w:hAnsi="宋体" w:eastAsia="仿宋_GB2312"/>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投标报价</w:t>
            </w:r>
          </w:p>
        </w:tc>
        <w:tc>
          <w:tcPr>
            <w:tcW w:w="4819" w:type="dxa"/>
            <w:vAlign w:val="center"/>
          </w:tcPr>
          <w:p>
            <w:pPr>
              <w:autoSpaceDE w:val="0"/>
              <w:autoSpaceDN w:val="0"/>
              <w:adjustRightInd w:val="0"/>
              <w:snapToGrid w:val="0"/>
              <w:rPr>
                <w:rFonts w:ascii="仿宋_GB2312" w:hAnsi="宋体" w:eastAsia="仿宋_GB2312" w:cs="宋体"/>
                <w:kern w:val="0"/>
                <w:sz w:val="22"/>
                <w:szCs w:val="24"/>
              </w:rPr>
            </w:pPr>
            <w:r>
              <w:rPr>
                <w:rFonts w:hint="eastAsia" w:ascii="仿宋_GB2312" w:hAnsi="宋体" w:eastAsia="仿宋_GB2312" w:cs="宋体"/>
                <w:kern w:val="0"/>
                <w:sz w:val="22"/>
                <w:szCs w:val="24"/>
              </w:rPr>
              <w:t>价格分应当采用低价优先法计算，即满足招标文件要求且投标价格最低的投标报价为评标基准价，其价格分为满分。其他投标人的价格分统一按照下列公式计算：</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投标报价得分=(评标基准价／投标报价)×100×权重</w:t>
            </w:r>
          </w:p>
          <w:p>
            <w:pPr>
              <w:widowControl/>
              <w:rPr>
                <w:rFonts w:ascii="仿宋_GB2312" w:hAnsi="宋体" w:eastAsia="仿宋_GB2312"/>
                <w:bCs/>
                <w:sz w:val="22"/>
                <w:szCs w:val="24"/>
              </w:rPr>
            </w:pPr>
            <w:r>
              <w:rPr>
                <w:rFonts w:hint="eastAsia" w:ascii="仿宋_GB2312" w:hAnsi="宋体" w:eastAsia="仿宋_GB2312"/>
                <w:bCs/>
                <w:sz w:val="22"/>
                <w:szCs w:val="24"/>
              </w:rPr>
              <w:t>备注：</w:t>
            </w:r>
          </w:p>
          <w:p>
            <w:pPr>
              <w:widowControl/>
              <w:rPr>
                <w:rFonts w:ascii="仿宋_GB2312" w:hAnsi="宋体" w:eastAsia="仿宋_GB2312" w:cs="宋体"/>
                <w:sz w:val="22"/>
                <w:szCs w:val="24"/>
              </w:rPr>
            </w:pPr>
            <w:r>
              <w:rPr>
                <w:rFonts w:hint="eastAsia" w:ascii="仿宋_GB2312" w:hAnsi="宋体" w:eastAsia="仿宋_GB2312"/>
                <w:bCs/>
                <w:sz w:val="22"/>
                <w:szCs w:val="24"/>
              </w:rPr>
              <w:t>1、因落实政府采购政策进行价格调整的，以调整后的价格计算评标基准价和投标报价</w:t>
            </w:r>
            <w:r>
              <w:rPr>
                <w:rFonts w:hint="eastAsia" w:ascii="仿宋_GB2312" w:hAnsi="宋体" w:eastAsia="仿宋_GB2312" w:cs="宋体"/>
                <w:sz w:val="22"/>
                <w:szCs w:val="24"/>
              </w:rPr>
              <w:t>,详见“价格扣除”。</w:t>
            </w:r>
          </w:p>
          <w:p>
            <w:pPr>
              <w:rPr>
                <w:rFonts w:ascii="仿宋_GB2312" w:hAnsi="宋体" w:eastAsia="仿宋_GB2312"/>
                <w:b/>
                <w:bCs/>
                <w:sz w:val="22"/>
                <w:szCs w:val="24"/>
                <w:u w:val="double"/>
              </w:rPr>
            </w:pPr>
            <w:r>
              <w:rPr>
                <w:rFonts w:hint="eastAsia" w:ascii="仿宋_GB2312" w:hAnsi="宋体" w:eastAsia="仿宋_GB2312"/>
                <w:bCs/>
                <w:sz w:val="22"/>
                <w:szCs w:val="24"/>
              </w:rPr>
              <w:t>2、投标报价得分四舍五入后，</w:t>
            </w:r>
            <w:r>
              <w:rPr>
                <w:rFonts w:hint="eastAsia" w:ascii="仿宋_GB2312" w:hAnsi="宋体" w:eastAsia="仿宋_GB2312" w:cs="Arial"/>
                <w:sz w:val="22"/>
                <w:szCs w:val="24"/>
              </w:rPr>
              <w:t>小数点后保留两位有效数</w:t>
            </w:r>
            <w:r>
              <w:rPr>
                <w:rFonts w:hint="eastAsia" w:ascii="仿宋_GB2312" w:hAnsi="宋体" w:eastAsia="仿宋_GB2312"/>
                <w:bCs/>
                <w:sz w:val="22"/>
                <w:szCs w:val="24"/>
              </w:rPr>
              <w:t>。</w:t>
            </w:r>
          </w:p>
        </w:tc>
        <w:tc>
          <w:tcPr>
            <w:tcW w:w="709" w:type="dxa"/>
            <w:tcBorders>
              <w:right w:val="single" w:color="auto" w:sz="4" w:space="0"/>
            </w:tcBorders>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cs="宋体"/>
                <w:sz w:val="22"/>
                <w:szCs w:val="24"/>
              </w:rPr>
              <w:t>1</w:t>
            </w:r>
            <w:r>
              <w:rPr>
                <w:rFonts w:ascii="仿宋_GB2312" w:hAnsi="宋体" w:eastAsia="仿宋_GB2312" w:cs="宋体"/>
                <w:sz w:val="22"/>
                <w:szCs w:val="24"/>
              </w:rPr>
              <w:t>0</w:t>
            </w:r>
          </w:p>
        </w:tc>
        <w:tc>
          <w:tcPr>
            <w:tcW w:w="851" w:type="dxa"/>
            <w:tcBorders>
              <w:left w:val="single" w:color="auto" w:sz="4" w:space="0"/>
            </w:tcBorders>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sz w:val="22"/>
                <w:szCs w:val="24"/>
              </w:rPr>
              <w:t>1</w:t>
            </w:r>
            <w:r>
              <w:rPr>
                <w:rFonts w:ascii="仿宋_GB2312" w:hAnsi="宋体" w:eastAsia="仿宋_GB2312"/>
                <w:sz w:val="22"/>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trPr>
        <w:tc>
          <w:tcPr>
            <w:tcW w:w="6701" w:type="dxa"/>
            <w:gridSpan w:val="3"/>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sz w:val="22"/>
                <w:szCs w:val="24"/>
              </w:rPr>
              <w:t>合计</w:t>
            </w:r>
          </w:p>
        </w:tc>
        <w:tc>
          <w:tcPr>
            <w:tcW w:w="709" w:type="dxa"/>
            <w:tcBorders>
              <w:right w:val="single" w:color="auto" w:sz="4" w:space="0"/>
            </w:tcBorders>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cs="宋体"/>
                <w:sz w:val="22"/>
                <w:szCs w:val="24"/>
              </w:rPr>
              <w:t>100</w:t>
            </w:r>
          </w:p>
        </w:tc>
        <w:tc>
          <w:tcPr>
            <w:tcW w:w="851" w:type="dxa"/>
            <w:tcBorders>
              <w:left w:val="single" w:color="auto" w:sz="4" w:space="0"/>
            </w:tcBorders>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cs="宋体"/>
                <w:sz w:val="22"/>
                <w:szCs w:val="24"/>
              </w:rPr>
              <w:t>100</w:t>
            </w:r>
          </w:p>
        </w:tc>
      </w:tr>
    </w:tbl>
    <w:p>
      <w:pPr>
        <w:outlineLvl w:val="0"/>
        <w:rPr>
          <w:rFonts w:ascii="仿宋_GB2312" w:hAnsi="宋体" w:eastAsia="仿宋_GB2312"/>
          <w:b/>
          <w:sz w:val="24"/>
          <w:szCs w:val="24"/>
        </w:rPr>
      </w:pPr>
      <w:r>
        <w:rPr>
          <w:rFonts w:hint="eastAsia" w:ascii="仿宋_GB2312" w:hAnsi="宋体" w:eastAsia="仿宋_GB2312"/>
          <w:b/>
          <w:sz w:val="24"/>
          <w:szCs w:val="24"/>
        </w:rPr>
        <w:t>备注：</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1.评标信息内评分方法的说明：</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（1）权重：按百分比进行设置；</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（2）评分准则：按照评标系统设置要求，每项“评分准则”皆按百分制打分；</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（3）每项“评分因素”的得分=对应“评分准则”的分值×对应权重%。</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2.价格扣除</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（1）根据财政部、工业和信息化部印发的《政府采购促进中小企业发展管理办法》（财库〔2020〕46号）的规定，对小型和微型企业产品的价格给予6%的扣除，用扣除后的价格参与评审。</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（2）组成联合体（如允许）或者接受分包的小微企业与联合体内其他企业、分包企业之间存在直接控股、管理关系的，不享受价格扣除优惠政策。</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（3）监狱企业产品价格扣除：监狱企业视同小微企业，按上述第（1）、（2）条款享受评审中价格扣除。</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附件：投标及履约承诺函</w:t>
      </w:r>
    </w:p>
    <w:p>
      <w:pPr>
        <w:widowControl/>
        <w:jc w:val="left"/>
        <w:rPr>
          <w:rFonts w:ascii="仿宋" w:hAnsi="仿宋" w:eastAsia="仿宋" w:cs="仿宋_GB2312"/>
          <w:sz w:val="32"/>
          <w:szCs w:val="32"/>
        </w:rPr>
      </w:pPr>
      <w:r>
        <w:rPr>
          <w:rFonts w:ascii="仿宋" w:hAnsi="仿宋" w:eastAsia="仿宋" w:cs="仿宋_GB2312"/>
          <w:sz w:val="32"/>
          <w:szCs w:val="32"/>
        </w:rPr>
        <w:br w:type="page"/>
      </w:r>
    </w:p>
    <w:p>
      <w:pPr>
        <w:adjustRightInd w:val="0"/>
        <w:snapToGrid w:val="0"/>
        <w:spacing w:line="560" w:lineRule="exact"/>
        <w:jc w:val="left"/>
        <w:rPr>
          <w:rFonts w:ascii="黑体" w:hAnsi="黑体" w:eastAsia="黑体" w:cs="仿宋_GB2312"/>
          <w:sz w:val="32"/>
          <w:szCs w:val="32"/>
        </w:rPr>
      </w:pPr>
      <w:r>
        <w:rPr>
          <w:rFonts w:hint="eastAsia" w:ascii="黑体" w:hAnsi="黑体" w:eastAsia="黑体" w:cs="仿宋_GB2312"/>
          <w:spacing w:val="10"/>
          <w:kern w:val="0"/>
          <w:sz w:val="32"/>
          <w:szCs w:val="32"/>
          <w:lang w:val="zh-CN"/>
        </w:rPr>
        <w:t>附件</w:t>
      </w:r>
    </w:p>
    <w:p>
      <w:pPr>
        <w:adjustRightInd w:val="0"/>
        <w:snapToGrid w:val="0"/>
        <w:spacing w:line="480" w:lineRule="exact"/>
        <w:jc w:val="center"/>
        <w:rPr>
          <w:rFonts w:ascii="宋体" w:hAnsi="宋体" w:cs="宋体"/>
          <w:b/>
          <w:bCs/>
          <w:sz w:val="44"/>
          <w:szCs w:val="44"/>
        </w:rPr>
      </w:pPr>
    </w:p>
    <w:p>
      <w:pPr>
        <w:adjustRightInd w:val="0"/>
        <w:snapToGrid w:val="0"/>
        <w:spacing w:line="480" w:lineRule="exact"/>
        <w:jc w:val="center"/>
        <w:outlineLvl w:val="0"/>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480" w:lineRule="exact"/>
        <w:jc w:val="center"/>
        <w:rPr>
          <w:rFonts w:ascii="宋体" w:hAnsi="宋体" w:cs="宋体"/>
          <w:b/>
          <w:bCs/>
          <w:sz w:val="44"/>
          <w:szCs w:val="44"/>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 xml:space="preserve">.我单位已认真阅读本项目需求，我单位承诺按时递交标书。 </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cs="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871" w:right="1474" w:bottom="1758" w:left="158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隶书">
    <w:altName w:val="方正隶书_GBK"/>
    <w:panose1 w:val="02010509060101010101"/>
    <w:charset w:val="86"/>
    <w:family w:val="modern"/>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长城仿宋">
    <w:altName w:val="方正仿宋_GBK"/>
    <w:panose1 w:val="00000000000000000000"/>
    <w:charset w:val="86"/>
    <w:family w:val="auto"/>
    <w:pitch w:val="default"/>
    <w:sig w:usb0="00000000" w:usb1="00000000" w:usb2="0000001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000101FF" w:csb1="00000000"/>
  </w:font>
  <w:font w:name="文鼎粗黑">
    <w:altName w:val="方正黑体_GBK"/>
    <w:panose1 w:val="00000000000000000000"/>
    <w:charset w:val="86"/>
    <w:family w:val="auto"/>
    <w:pitch w:val="default"/>
    <w:sig w:usb0="00000000" w:usb1="00000000" w:usb2="00000010" w:usb3="00000000" w:csb0="00040000" w:csb1="00000000"/>
  </w:font>
  <w:font w:name="Arial (W1)">
    <w:altName w:val="DejaVu Sans"/>
    <w:panose1 w:val="00000000000000000000"/>
    <w:charset w:val="00"/>
    <w:family w:val="auto"/>
    <w:pitch w:val="default"/>
    <w:sig w:usb0="00000000" w:usb1="00000000" w:usb2="00000008" w:usb3="00000000" w:csb0="000001FF" w:csb1="00000000"/>
  </w:font>
  <w:font w:name="ˎ̥">
    <w:altName w:val="华文仿宋"/>
    <w:panose1 w:val="00000000000000000000"/>
    <w:charset w:val="00"/>
    <w:family w:val="auto"/>
    <w:pitch w:val="default"/>
    <w:sig w:usb0="00000000" w:usb1="00000000" w:usb2="00000000" w:usb3="00000000" w:csb0="00040001" w:csb1="00000000"/>
  </w:font>
  <w:font w:name="汉仪细等线简">
    <w:altName w:val="华文仿宋"/>
    <w:panose1 w:val="00000000000000000000"/>
    <w:charset w:val="86"/>
    <w:family w:val="auto"/>
    <w:pitch w:val="default"/>
    <w:sig w:usb0="00000000" w:usb1="00000000" w:usb2="00000012" w:usb3="00000000" w:csb0="00040000" w:csb1="00000000"/>
  </w:font>
  <w:font w:name="H Yb 2gj">
    <w:altName w:val="华文仿宋"/>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
    <w:altName w:val="URW Book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0"/>
      </w:rPr>
      <w:id w:val="2032149217"/>
      <w:docPartObj>
        <w:docPartGallery w:val="autotext"/>
      </w:docPartObj>
    </w:sdtPr>
    <w:sdtEndPr>
      <w:rPr>
        <w:rFonts w:ascii="宋体" w:hAnsi="宋体"/>
        <w:sz w:val="20"/>
      </w:rPr>
    </w:sdtEndPr>
    <w:sdtContent>
      <w:p>
        <w:pPr>
          <w:pStyle w:val="27"/>
          <w:jc w:val="center"/>
          <w:rPr>
            <w:rFonts w:ascii="宋体" w:hAnsi="宋体"/>
            <w:sz w:val="20"/>
          </w:rPr>
        </w:pPr>
        <w:r>
          <w:rPr>
            <w:rFonts w:ascii="宋体" w:hAnsi="宋体"/>
            <w:sz w:val="20"/>
          </w:rPr>
          <w:fldChar w:fldCharType="begin"/>
        </w:r>
        <w:r>
          <w:rPr>
            <w:rFonts w:ascii="宋体" w:hAnsi="宋体"/>
            <w:sz w:val="20"/>
          </w:rPr>
          <w:instrText xml:space="preserve">PAGE   \* MERGEFORMAT</w:instrText>
        </w:r>
        <w:r>
          <w:rPr>
            <w:rFonts w:ascii="宋体" w:hAnsi="宋体"/>
            <w:sz w:val="20"/>
          </w:rPr>
          <w:fldChar w:fldCharType="separate"/>
        </w:r>
        <w:r>
          <w:rPr>
            <w:rFonts w:ascii="宋体" w:hAnsi="宋体"/>
            <w:sz w:val="20"/>
            <w:lang w:val="zh-CN"/>
          </w:rPr>
          <w:t>8</w:t>
        </w:r>
        <w:r>
          <w:rPr>
            <w:rFonts w:ascii="宋体" w:hAnsi="宋体"/>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0"/>
      </w:rPr>
      <w:id w:val="1840345557"/>
      <w:docPartObj>
        <w:docPartGallery w:val="autotext"/>
      </w:docPartObj>
    </w:sdtPr>
    <w:sdtEndPr>
      <w:rPr>
        <w:rFonts w:ascii="宋体" w:hAnsi="宋体"/>
        <w:sz w:val="20"/>
      </w:rPr>
    </w:sdtEndPr>
    <w:sdtContent>
      <w:p>
        <w:pPr>
          <w:pStyle w:val="27"/>
          <w:jc w:val="center"/>
          <w:rPr>
            <w:rFonts w:ascii="宋体" w:hAnsi="宋体"/>
            <w:sz w:val="20"/>
          </w:rPr>
        </w:pPr>
        <w:r>
          <w:rPr>
            <w:rFonts w:ascii="宋体" w:hAnsi="宋体"/>
            <w:sz w:val="20"/>
          </w:rPr>
          <w:fldChar w:fldCharType="begin"/>
        </w:r>
        <w:r>
          <w:rPr>
            <w:rFonts w:ascii="宋体" w:hAnsi="宋体"/>
            <w:sz w:val="20"/>
          </w:rPr>
          <w:instrText xml:space="preserve">PAGE   \* MERGEFORMAT</w:instrText>
        </w:r>
        <w:r>
          <w:rPr>
            <w:rFonts w:ascii="宋体" w:hAnsi="宋体"/>
            <w:sz w:val="20"/>
          </w:rPr>
          <w:fldChar w:fldCharType="separate"/>
        </w:r>
        <w:r>
          <w:rPr>
            <w:rFonts w:ascii="宋体" w:hAnsi="宋体"/>
            <w:sz w:val="20"/>
            <w:lang w:val="zh-CN"/>
          </w:rPr>
          <w:t>1</w:t>
        </w:r>
        <w:r>
          <w:rPr>
            <w:rFonts w:ascii="宋体" w:hAnsi="宋体"/>
            <w:sz w:val="20"/>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displayBackgroundShape w:val="true"/>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21F8A"/>
    <w:rsid w:val="00026FDC"/>
    <w:rsid w:val="00041678"/>
    <w:rsid w:val="0005286F"/>
    <w:rsid w:val="00057629"/>
    <w:rsid w:val="0007094F"/>
    <w:rsid w:val="000754C4"/>
    <w:rsid w:val="00087B33"/>
    <w:rsid w:val="0009025E"/>
    <w:rsid w:val="000943CB"/>
    <w:rsid w:val="00094808"/>
    <w:rsid w:val="000A122F"/>
    <w:rsid w:val="000A2ECD"/>
    <w:rsid w:val="000A460A"/>
    <w:rsid w:val="000B0357"/>
    <w:rsid w:val="000C24E4"/>
    <w:rsid w:val="000C4C90"/>
    <w:rsid w:val="000C72A3"/>
    <w:rsid w:val="000E057C"/>
    <w:rsid w:val="000E7D03"/>
    <w:rsid w:val="000F7ABB"/>
    <w:rsid w:val="000F7AD1"/>
    <w:rsid w:val="00102E73"/>
    <w:rsid w:val="00104E04"/>
    <w:rsid w:val="001124E6"/>
    <w:rsid w:val="00121A5C"/>
    <w:rsid w:val="001275A8"/>
    <w:rsid w:val="00142DE7"/>
    <w:rsid w:val="0014446E"/>
    <w:rsid w:val="001540CC"/>
    <w:rsid w:val="001544E0"/>
    <w:rsid w:val="00155FBC"/>
    <w:rsid w:val="001569AE"/>
    <w:rsid w:val="00161E92"/>
    <w:rsid w:val="0017605A"/>
    <w:rsid w:val="0017760C"/>
    <w:rsid w:val="00180298"/>
    <w:rsid w:val="0018063F"/>
    <w:rsid w:val="001816F2"/>
    <w:rsid w:val="00197FDE"/>
    <w:rsid w:val="001B20D4"/>
    <w:rsid w:val="001B35A8"/>
    <w:rsid w:val="001C71B0"/>
    <w:rsid w:val="001D3DDB"/>
    <w:rsid w:val="001D4BCF"/>
    <w:rsid w:val="001E3A97"/>
    <w:rsid w:val="001E510D"/>
    <w:rsid w:val="001E607C"/>
    <w:rsid w:val="001F2F3C"/>
    <w:rsid w:val="001F5348"/>
    <w:rsid w:val="001F6A98"/>
    <w:rsid w:val="001F7840"/>
    <w:rsid w:val="0021135C"/>
    <w:rsid w:val="002121C1"/>
    <w:rsid w:val="00212BC7"/>
    <w:rsid w:val="00214514"/>
    <w:rsid w:val="00226951"/>
    <w:rsid w:val="00236C21"/>
    <w:rsid w:val="00247CC0"/>
    <w:rsid w:val="00264B57"/>
    <w:rsid w:val="00264F3F"/>
    <w:rsid w:val="002726A4"/>
    <w:rsid w:val="00275B1E"/>
    <w:rsid w:val="00280085"/>
    <w:rsid w:val="0029255E"/>
    <w:rsid w:val="002933DE"/>
    <w:rsid w:val="002A4184"/>
    <w:rsid w:val="002A692D"/>
    <w:rsid w:val="002B2371"/>
    <w:rsid w:val="002B5A7D"/>
    <w:rsid w:val="002C23E7"/>
    <w:rsid w:val="002C410B"/>
    <w:rsid w:val="002C75A1"/>
    <w:rsid w:val="002D3E7B"/>
    <w:rsid w:val="002E3180"/>
    <w:rsid w:val="002F0A38"/>
    <w:rsid w:val="002F7D66"/>
    <w:rsid w:val="00302C1D"/>
    <w:rsid w:val="0030460A"/>
    <w:rsid w:val="00310166"/>
    <w:rsid w:val="003108AF"/>
    <w:rsid w:val="003109D9"/>
    <w:rsid w:val="00312DB9"/>
    <w:rsid w:val="003179F2"/>
    <w:rsid w:val="0032247C"/>
    <w:rsid w:val="00327683"/>
    <w:rsid w:val="00336A84"/>
    <w:rsid w:val="00342105"/>
    <w:rsid w:val="003443C6"/>
    <w:rsid w:val="00346AEE"/>
    <w:rsid w:val="00351547"/>
    <w:rsid w:val="00351C24"/>
    <w:rsid w:val="003614DA"/>
    <w:rsid w:val="00362DD6"/>
    <w:rsid w:val="00363DB3"/>
    <w:rsid w:val="0037512D"/>
    <w:rsid w:val="00386203"/>
    <w:rsid w:val="00387586"/>
    <w:rsid w:val="00397D57"/>
    <w:rsid w:val="003A5EBE"/>
    <w:rsid w:val="003A71FE"/>
    <w:rsid w:val="003B47C2"/>
    <w:rsid w:val="003B4C0C"/>
    <w:rsid w:val="003C0F0F"/>
    <w:rsid w:val="003C550C"/>
    <w:rsid w:val="003C7DC7"/>
    <w:rsid w:val="003D0615"/>
    <w:rsid w:val="003D57C1"/>
    <w:rsid w:val="003E1FF6"/>
    <w:rsid w:val="003E74A2"/>
    <w:rsid w:val="003E7BEF"/>
    <w:rsid w:val="003F7347"/>
    <w:rsid w:val="0040141D"/>
    <w:rsid w:val="00401F33"/>
    <w:rsid w:val="0040409B"/>
    <w:rsid w:val="00405519"/>
    <w:rsid w:val="00424A7B"/>
    <w:rsid w:val="0043284A"/>
    <w:rsid w:val="0043443C"/>
    <w:rsid w:val="004346D9"/>
    <w:rsid w:val="004527CD"/>
    <w:rsid w:val="00455A2D"/>
    <w:rsid w:val="00461339"/>
    <w:rsid w:val="0046505B"/>
    <w:rsid w:val="004747A9"/>
    <w:rsid w:val="00482C77"/>
    <w:rsid w:val="00490843"/>
    <w:rsid w:val="004A018F"/>
    <w:rsid w:val="004A1948"/>
    <w:rsid w:val="004A4844"/>
    <w:rsid w:val="004A5B12"/>
    <w:rsid w:val="004B3EFF"/>
    <w:rsid w:val="004B4044"/>
    <w:rsid w:val="004B72E2"/>
    <w:rsid w:val="004C23C1"/>
    <w:rsid w:val="004D140F"/>
    <w:rsid w:val="004D2A09"/>
    <w:rsid w:val="004D647F"/>
    <w:rsid w:val="004D69E2"/>
    <w:rsid w:val="004D7C84"/>
    <w:rsid w:val="004E6DC8"/>
    <w:rsid w:val="004F27B3"/>
    <w:rsid w:val="004F4EEB"/>
    <w:rsid w:val="00502316"/>
    <w:rsid w:val="00512272"/>
    <w:rsid w:val="005212B1"/>
    <w:rsid w:val="00522B7F"/>
    <w:rsid w:val="005236DE"/>
    <w:rsid w:val="005250D0"/>
    <w:rsid w:val="0053239E"/>
    <w:rsid w:val="005323FC"/>
    <w:rsid w:val="00533C56"/>
    <w:rsid w:val="00540773"/>
    <w:rsid w:val="00540D2F"/>
    <w:rsid w:val="00541A5D"/>
    <w:rsid w:val="00544137"/>
    <w:rsid w:val="00550544"/>
    <w:rsid w:val="00551C08"/>
    <w:rsid w:val="00551FCE"/>
    <w:rsid w:val="0055630F"/>
    <w:rsid w:val="00566FD7"/>
    <w:rsid w:val="00571748"/>
    <w:rsid w:val="005742E2"/>
    <w:rsid w:val="00574E9C"/>
    <w:rsid w:val="0057642D"/>
    <w:rsid w:val="005770EC"/>
    <w:rsid w:val="00581043"/>
    <w:rsid w:val="00582D82"/>
    <w:rsid w:val="00583E4C"/>
    <w:rsid w:val="00591F8A"/>
    <w:rsid w:val="00592178"/>
    <w:rsid w:val="0059695D"/>
    <w:rsid w:val="005B045A"/>
    <w:rsid w:val="005B1504"/>
    <w:rsid w:val="005C1EA1"/>
    <w:rsid w:val="005C6FBE"/>
    <w:rsid w:val="005D06B7"/>
    <w:rsid w:val="005D2DBD"/>
    <w:rsid w:val="005D5595"/>
    <w:rsid w:val="005F42B7"/>
    <w:rsid w:val="00603F35"/>
    <w:rsid w:val="00606C77"/>
    <w:rsid w:val="00614414"/>
    <w:rsid w:val="0061590B"/>
    <w:rsid w:val="00625492"/>
    <w:rsid w:val="00626F53"/>
    <w:rsid w:val="00633239"/>
    <w:rsid w:val="00633C39"/>
    <w:rsid w:val="00642642"/>
    <w:rsid w:val="00667D11"/>
    <w:rsid w:val="00675528"/>
    <w:rsid w:val="00680EC3"/>
    <w:rsid w:val="00693E4E"/>
    <w:rsid w:val="006A2133"/>
    <w:rsid w:val="006B6C77"/>
    <w:rsid w:val="006C170C"/>
    <w:rsid w:val="006C4AD8"/>
    <w:rsid w:val="006D34ED"/>
    <w:rsid w:val="006D43DB"/>
    <w:rsid w:val="006D7442"/>
    <w:rsid w:val="006E5EC1"/>
    <w:rsid w:val="006E64BB"/>
    <w:rsid w:val="0071108F"/>
    <w:rsid w:val="00713126"/>
    <w:rsid w:val="00713D58"/>
    <w:rsid w:val="007261F8"/>
    <w:rsid w:val="007271F7"/>
    <w:rsid w:val="007316C9"/>
    <w:rsid w:val="00737455"/>
    <w:rsid w:val="00741452"/>
    <w:rsid w:val="007414C6"/>
    <w:rsid w:val="00755554"/>
    <w:rsid w:val="00756219"/>
    <w:rsid w:val="00763343"/>
    <w:rsid w:val="00772977"/>
    <w:rsid w:val="00776FB1"/>
    <w:rsid w:val="00781E6C"/>
    <w:rsid w:val="0078257A"/>
    <w:rsid w:val="00785916"/>
    <w:rsid w:val="00792503"/>
    <w:rsid w:val="00796037"/>
    <w:rsid w:val="007962FF"/>
    <w:rsid w:val="007A27DD"/>
    <w:rsid w:val="007B3AC8"/>
    <w:rsid w:val="007C68AE"/>
    <w:rsid w:val="007D0575"/>
    <w:rsid w:val="007D629B"/>
    <w:rsid w:val="007D7579"/>
    <w:rsid w:val="007E4380"/>
    <w:rsid w:val="007F12AF"/>
    <w:rsid w:val="00800F5B"/>
    <w:rsid w:val="0080186E"/>
    <w:rsid w:val="00803DE1"/>
    <w:rsid w:val="008111D2"/>
    <w:rsid w:val="008166EE"/>
    <w:rsid w:val="008346B8"/>
    <w:rsid w:val="0084013A"/>
    <w:rsid w:val="00843442"/>
    <w:rsid w:val="00843C62"/>
    <w:rsid w:val="00856555"/>
    <w:rsid w:val="00870EC3"/>
    <w:rsid w:val="00876D92"/>
    <w:rsid w:val="008836FE"/>
    <w:rsid w:val="00883B31"/>
    <w:rsid w:val="008907C7"/>
    <w:rsid w:val="00893717"/>
    <w:rsid w:val="00897A19"/>
    <w:rsid w:val="008A79FD"/>
    <w:rsid w:val="008B4CAF"/>
    <w:rsid w:val="008D2D34"/>
    <w:rsid w:val="008D783E"/>
    <w:rsid w:val="008F443C"/>
    <w:rsid w:val="00903308"/>
    <w:rsid w:val="009107D4"/>
    <w:rsid w:val="00912182"/>
    <w:rsid w:val="00913B55"/>
    <w:rsid w:val="00917723"/>
    <w:rsid w:val="00920BB7"/>
    <w:rsid w:val="009245E2"/>
    <w:rsid w:val="009274B6"/>
    <w:rsid w:val="00933256"/>
    <w:rsid w:val="009351C9"/>
    <w:rsid w:val="00935C24"/>
    <w:rsid w:val="00937757"/>
    <w:rsid w:val="009417F2"/>
    <w:rsid w:val="0094689E"/>
    <w:rsid w:val="009515C6"/>
    <w:rsid w:val="009634AF"/>
    <w:rsid w:val="009719CF"/>
    <w:rsid w:val="00976494"/>
    <w:rsid w:val="00977802"/>
    <w:rsid w:val="009910FD"/>
    <w:rsid w:val="009920B2"/>
    <w:rsid w:val="0099769F"/>
    <w:rsid w:val="009A0980"/>
    <w:rsid w:val="009B1BCF"/>
    <w:rsid w:val="009B37E4"/>
    <w:rsid w:val="009B4668"/>
    <w:rsid w:val="009C378C"/>
    <w:rsid w:val="009C556B"/>
    <w:rsid w:val="009C5990"/>
    <w:rsid w:val="009D0E3F"/>
    <w:rsid w:val="009D520A"/>
    <w:rsid w:val="009E0008"/>
    <w:rsid w:val="009F39C4"/>
    <w:rsid w:val="009F6E16"/>
    <w:rsid w:val="00A002CE"/>
    <w:rsid w:val="00A03C2D"/>
    <w:rsid w:val="00A305F8"/>
    <w:rsid w:val="00A31463"/>
    <w:rsid w:val="00A44DD8"/>
    <w:rsid w:val="00A47B41"/>
    <w:rsid w:val="00A51B21"/>
    <w:rsid w:val="00A60F56"/>
    <w:rsid w:val="00A716A3"/>
    <w:rsid w:val="00A73054"/>
    <w:rsid w:val="00A75EAC"/>
    <w:rsid w:val="00A9093A"/>
    <w:rsid w:val="00A94D28"/>
    <w:rsid w:val="00A97A05"/>
    <w:rsid w:val="00AA62E8"/>
    <w:rsid w:val="00AA6594"/>
    <w:rsid w:val="00AB432C"/>
    <w:rsid w:val="00AB5B09"/>
    <w:rsid w:val="00AC012B"/>
    <w:rsid w:val="00AC5C00"/>
    <w:rsid w:val="00AD11F7"/>
    <w:rsid w:val="00AE74B1"/>
    <w:rsid w:val="00B01134"/>
    <w:rsid w:val="00B067EE"/>
    <w:rsid w:val="00B0798D"/>
    <w:rsid w:val="00B10467"/>
    <w:rsid w:val="00B25245"/>
    <w:rsid w:val="00B31182"/>
    <w:rsid w:val="00B36FF2"/>
    <w:rsid w:val="00B56D2F"/>
    <w:rsid w:val="00B57708"/>
    <w:rsid w:val="00B61BFE"/>
    <w:rsid w:val="00B67D61"/>
    <w:rsid w:val="00B74AC0"/>
    <w:rsid w:val="00B764AD"/>
    <w:rsid w:val="00B7696A"/>
    <w:rsid w:val="00B82F55"/>
    <w:rsid w:val="00B86F7E"/>
    <w:rsid w:val="00B9388B"/>
    <w:rsid w:val="00BA050C"/>
    <w:rsid w:val="00BA3A8C"/>
    <w:rsid w:val="00BB4B80"/>
    <w:rsid w:val="00BB4DA6"/>
    <w:rsid w:val="00BB7155"/>
    <w:rsid w:val="00BC680A"/>
    <w:rsid w:val="00BC6A39"/>
    <w:rsid w:val="00BD03C9"/>
    <w:rsid w:val="00BE3F02"/>
    <w:rsid w:val="00BF7D35"/>
    <w:rsid w:val="00C13C74"/>
    <w:rsid w:val="00C14F4C"/>
    <w:rsid w:val="00C173E6"/>
    <w:rsid w:val="00C23DC8"/>
    <w:rsid w:val="00C3092A"/>
    <w:rsid w:val="00C366AF"/>
    <w:rsid w:val="00C44FAE"/>
    <w:rsid w:val="00C5185F"/>
    <w:rsid w:val="00C51FB9"/>
    <w:rsid w:val="00C52D4D"/>
    <w:rsid w:val="00C53BC7"/>
    <w:rsid w:val="00C54474"/>
    <w:rsid w:val="00C57C32"/>
    <w:rsid w:val="00C655DD"/>
    <w:rsid w:val="00C9382F"/>
    <w:rsid w:val="00CB02DC"/>
    <w:rsid w:val="00CB7CA8"/>
    <w:rsid w:val="00CD16CE"/>
    <w:rsid w:val="00CE0F8E"/>
    <w:rsid w:val="00CE1F1E"/>
    <w:rsid w:val="00CF2012"/>
    <w:rsid w:val="00CF6F23"/>
    <w:rsid w:val="00D0062E"/>
    <w:rsid w:val="00D06210"/>
    <w:rsid w:val="00D12A2B"/>
    <w:rsid w:val="00D1589D"/>
    <w:rsid w:val="00D24698"/>
    <w:rsid w:val="00D25868"/>
    <w:rsid w:val="00D25C47"/>
    <w:rsid w:val="00D26425"/>
    <w:rsid w:val="00D2660C"/>
    <w:rsid w:val="00D30E9B"/>
    <w:rsid w:val="00D316F6"/>
    <w:rsid w:val="00D45768"/>
    <w:rsid w:val="00D45F2D"/>
    <w:rsid w:val="00D52A2E"/>
    <w:rsid w:val="00D55F1E"/>
    <w:rsid w:val="00D6072F"/>
    <w:rsid w:val="00D64D20"/>
    <w:rsid w:val="00D75ED0"/>
    <w:rsid w:val="00D76346"/>
    <w:rsid w:val="00D7776E"/>
    <w:rsid w:val="00D9607B"/>
    <w:rsid w:val="00DB45D2"/>
    <w:rsid w:val="00DB7BEE"/>
    <w:rsid w:val="00DC0350"/>
    <w:rsid w:val="00DC1D8B"/>
    <w:rsid w:val="00DC41A4"/>
    <w:rsid w:val="00DC543E"/>
    <w:rsid w:val="00DD0471"/>
    <w:rsid w:val="00DE41D0"/>
    <w:rsid w:val="00DE5F7D"/>
    <w:rsid w:val="00DF1F58"/>
    <w:rsid w:val="00DF466C"/>
    <w:rsid w:val="00E01A6E"/>
    <w:rsid w:val="00E03217"/>
    <w:rsid w:val="00E055A3"/>
    <w:rsid w:val="00E05EDB"/>
    <w:rsid w:val="00E07E9C"/>
    <w:rsid w:val="00E11A28"/>
    <w:rsid w:val="00E20EC4"/>
    <w:rsid w:val="00E22750"/>
    <w:rsid w:val="00E22EFA"/>
    <w:rsid w:val="00E239F3"/>
    <w:rsid w:val="00E250BB"/>
    <w:rsid w:val="00E30705"/>
    <w:rsid w:val="00E51826"/>
    <w:rsid w:val="00E5351E"/>
    <w:rsid w:val="00E65C2A"/>
    <w:rsid w:val="00E67748"/>
    <w:rsid w:val="00E70DE8"/>
    <w:rsid w:val="00E764AB"/>
    <w:rsid w:val="00E820A7"/>
    <w:rsid w:val="00E83BC8"/>
    <w:rsid w:val="00E850EA"/>
    <w:rsid w:val="00E909BD"/>
    <w:rsid w:val="00E96829"/>
    <w:rsid w:val="00EA373C"/>
    <w:rsid w:val="00EB2AB7"/>
    <w:rsid w:val="00EC0CD3"/>
    <w:rsid w:val="00EC337A"/>
    <w:rsid w:val="00EE0506"/>
    <w:rsid w:val="00EE2341"/>
    <w:rsid w:val="00EE23B4"/>
    <w:rsid w:val="00EE244A"/>
    <w:rsid w:val="00EE4616"/>
    <w:rsid w:val="00EF20EC"/>
    <w:rsid w:val="00F01E8C"/>
    <w:rsid w:val="00F02BFB"/>
    <w:rsid w:val="00F03D5C"/>
    <w:rsid w:val="00F07DB6"/>
    <w:rsid w:val="00F17CBD"/>
    <w:rsid w:val="00F20658"/>
    <w:rsid w:val="00F222DE"/>
    <w:rsid w:val="00F34F92"/>
    <w:rsid w:val="00F35096"/>
    <w:rsid w:val="00F3720F"/>
    <w:rsid w:val="00F51166"/>
    <w:rsid w:val="00F55583"/>
    <w:rsid w:val="00F55B09"/>
    <w:rsid w:val="00F64707"/>
    <w:rsid w:val="00F749D4"/>
    <w:rsid w:val="00F82281"/>
    <w:rsid w:val="00F824C9"/>
    <w:rsid w:val="00FA2F56"/>
    <w:rsid w:val="00FA6B2D"/>
    <w:rsid w:val="00FB2C4D"/>
    <w:rsid w:val="00FB2E08"/>
    <w:rsid w:val="00FC012F"/>
    <w:rsid w:val="00FC043D"/>
    <w:rsid w:val="00FD002B"/>
    <w:rsid w:val="00FD0E06"/>
    <w:rsid w:val="00FD3295"/>
    <w:rsid w:val="01FB42C6"/>
    <w:rsid w:val="02E52B28"/>
    <w:rsid w:val="03633F51"/>
    <w:rsid w:val="03D32EAA"/>
    <w:rsid w:val="06905EF8"/>
    <w:rsid w:val="0F1C3C95"/>
    <w:rsid w:val="12F96422"/>
    <w:rsid w:val="154C74B7"/>
    <w:rsid w:val="164963A5"/>
    <w:rsid w:val="195553E9"/>
    <w:rsid w:val="1D6614F4"/>
    <w:rsid w:val="227D1127"/>
    <w:rsid w:val="25ED7CFF"/>
    <w:rsid w:val="2616027D"/>
    <w:rsid w:val="2CE83633"/>
    <w:rsid w:val="2D560907"/>
    <w:rsid w:val="2E452FC9"/>
    <w:rsid w:val="2F2E417E"/>
    <w:rsid w:val="31EE4784"/>
    <w:rsid w:val="36587F7A"/>
    <w:rsid w:val="3B530682"/>
    <w:rsid w:val="3C6F180D"/>
    <w:rsid w:val="3CAA0266"/>
    <w:rsid w:val="40760AAC"/>
    <w:rsid w:val="473C25A1"/>
    <w:rsid w:val="48934F74"/>
    <w:rsid w:val="4C1676C1"/>
    <w:rsid w:val="4D4D1E47"/>
    <w:rsid w:val="571E4E32"/>
    <w:rsid w:val="5CEA8C89"/>
    <w:rsid w:val="68AC4A92"/>
    <w:rsid w:val="6BF02543"/>
    <w:rsid w:val="6CB64147"/>
    <w:rsid w:val="71C22B21"/>
    <w:rsid w:val="729C4002"/>
    <w:rsid w:val="73271770"/>
    <w:rsid w:val="734C7658"/>
    <w:rsid w:val="73DDE568"/>
    <w:rsid w:val="744051D9"/>
    <w:rsid w:val="7562283E"/>
    <w:rsid w:val="76141AED"/>
    <w:rsid w:val="76B65054"/>
    <w:rsid w:val="771C49A5"/>
    <w:rsid w:val="77B55F05"/>
    <w:rsid w:val="79856CB1"/>
    <w:rsid w:val="7A3D8B25"/>
    <w:rsid w:val="7B3B14E7"/>
    <w:rsid w:val="7BCF8700"/>
    <w:rsid w:val="7CEB3072"/>
    <w:rsid w:val="7D4B7D80"/>
    <w:rsid w:val="7DE7B626"/>
    <w:rsid w:val="7F5B63E7"/>
    <w:rsid w:val="BFDF9638"/>
    <w:rsid w:val="CCF719FA"/>
    <w:rsid w:val="E5FF27C7"/>
    <w:rsid w:val="EABE3C99"/>
    <w:rsid w:val="FAFE6976"/>
    <w:rsid w:val="FD5D02B2"/>
    <w:rsid w:val="FDB3827F"/>
    <w:rsid w:val="FF3F6991"/>
    <w:rsid w:val="FF6F97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99"/>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Char"/>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Char"/>
    <w:basedOn w:val="45"/>
    <w:link w:val="28"/>
    <w:qFormat/>
    <w:uiPriority w:val="0"/>
    <w:rPr>
      <w:rFonts w:ascii="Calibri" w:hAnsi="Calibri" w:eastAsia="宋体" w:cs="Times New Roman"/>
      <w:sz w:val="18"/>
      <w:szCs w:val="18"/>
    </w:rPr>
  </w:style>
  <w:style w:type="character" w:customStyle="1" w:styleId="58">
    <w:name w:val="页脚 Char"/>
    <w:basedOn w:val="45"/>
    <w:link w:val="27"/>
    <w:qFormat/>
    <w:uiPriority w:val="99"/>
    <w:rPr>
      <w:rFonts w:ascii="Calibri" w:hAnsi="Calibri" w:eastAsia="宋体" w:cs="Times New Roman"/>
      <w:sz w:val="18"/>
      <w:szCs w:val="18"/>
    </w:rPr>
  </w:style>
  <w:style w:type="character" w:customStyle="1" w:styleId="59">
    <w:name w:val="标题 3 Char"/>
    <w:basedOn w:val="45"/>
    <w:link w:val="3"/>
    <w:qFormat/>
    <w:uiPriority w:val="0"/>
    <w:rPr>
      <w:rFonts w:ascii="Calibri" w:hAnsi="Calibri" w:eastAsia="宋体" w:cs="Times New Roman"/>
      <w:b/>
      <w:bCs/>
      <w:sz w:val="32"/>
      <w:szCs w:val="32"/>
    </w:rPr>
  </w:style>
  <w:style w:type="character" w:customStyle="1" w:styleId="60">
    <w:name w:val="标题 1 Char"/>
    <w:basedOn w:val="45"/>
    <w:link w:val="2"/>
    <w:qFormat/>
    <w:uiPriority w:val="0"/>
    <w:rPr>
      <w:rFonts w:ascii="宋体" w:hAnsi="宋体" w:eastAsia="黑体" w:cs="Times New Roman"/>
      <w:b/>
      <w:bCs/>
      <w:kern w:val="44"/>
      <w:sz w:val="28"/>
      <w:szCs w:val="44"/>
    </w:rPr>
  </w:style>
  <w:style w:type="character" w:customStyle="1" w:styleId="61">
    <w:name w:val="标题 4 Char"/>
    <w:basedOn w:val="45"/>
    <w:link w:val="5"/>
    <w:qFormat/>
    <w:uiPriority w:val="0"/>
    <w:rPr>
      <w:rFonts w:ascii="Arial" w:hAnsi="Arial" w:eastAsia="黑体" w:cs="Times New Roman"/>
      <w:b/>
      <w:bCs/>
      <w:sz w:val="28"/>
      <w:szCs w:val="28"/>
    </w:rPr>
  </w:style>
  <w:style w:type="character" w:customStyle="1" w:styleId="62">
    <w:name w:val="标题 5 Char"/>
    <w:basedOn w:val="45"/>
    <w:link w:val="6"/>
    <w:qFormat/>
    <w:uiPriority w:val="0"/>
    <w:rPr>
      <w:rFonts w:ascii="Times New Roman" w:hAnsi="Times New Roman" w:eastAsia="宋体" w:cs="Times New Roman"/>
      <w:b/>
      <w:sz w:val="28"/>
      <w:szCs w:val="20"/>
    </w:rPr>
  </w:style>
  <w:style w:type="character" w:customStyle="1" w:styleId="63">
    <w:name w:val="标题 6 Char"/>
    <w:basedOn w:val="45"/>
    <w:link w:val="8"/>
    <w:qFormat/>
    <w:uiPriority w:val="0"/>
    <w:rPr>
      <w:rFonts w:ascii="Arial" w:hAnsi="Arial" w:eastAsia="黑体" w:cs="Times New Roman"/>
      <w:b/>
      <w:sz w:val="24"/>
      <w:szCs w:val="20"/>
    </w:rPr>
  </w:style>
  <w:style w:type="character" w:customStyle="1" w:styleId="64">
    <w:name w:val="标题 7 Char"/>
    <w:basedOn w:val="45"/>
    <w:link w:val="9"/>
    <w:qFormat/>
    <w:uiPriority w:val="0"/>
    <w:rPr>
      <w:rFonts w:ascii="Times New Roman" w:hAnsi="Times New Roman" w:eastAsia="宋体" w:cs="Times New Roman"/>
      <w:b/>
      <w:sz w:val="24"/>
      <w:szCs w:val="20"/>
    </w:rPr>
  </w:style>
  <w:style w:type="character" w:customStyle="1" w:styleId="65">
    <w:name w:val="标题 8 Char"/>
    <w:basedOn w:val="45"/>
    <w:link w:val="10"/>
    <w:qFormat/>
    <w:uiPriority w:val="0"/>
    <w:rPr>
      <w:rFonts w:ascii="Arial" w:hAnsi="Arial" w:eastAsia="黑体" w:cs="Times New Roman"/>
      <w:sz w:val="24"/>
      <w:szCs w:val="20"/>
    </w:rPr>
  </w:style>
  <w:style w:type="character" w:customStyle="1" w:styleId="66">
    <w:name w:val="标题 9 Char"/>
    <w:basedOn w:val="45"/>
    <w:link w:val="11"/>
    <w:qFormat/>
    <w:uiPriority w:val="0"/>
    <w:rPr>
      <w:rFonts w:ascii="Arial" w:hAnsi="Arial" w:eastAsia="黑体" w:cs="Times New Roman"/>
      <w:szCs w:val="20"/>
    </w:rPr>
  </w:style>
  <w:style w:type="character" w:customStyle="1" w:styleId="67">
    <w:name w:val="批注文字 Char"/>
    <w:basedOn w:val="45"/>
    <w:link w:val="16"/>
    <w:semiHidden/>
    <w:qFormat/>
    <w:uiPriority w:val="0"/>
    <w:rPr>
      <w:rFonts w:ascii="Calibri" w:hAnsi="Calibri" w:eastAsia="宋体" w:cs="Times New Roman"/>
      <w:szCs w:val="21"/>
    </w:rPr>
  </w:style>
  <w:style w:type="character" w:customStyle="1" w:styleId="68">
    <w:name w:val="批注主题 Char"/>
    <w:basedOn w:val="67"/>
    <w:link w:val="41"/>
    <w:qFormat/>
    <w:uiPriority w:val="0"/>
    <w:rPr>
      <w:rFonts w:ascii="宋体" w:hAnsi="Times New Roman" w:eastAsia="宋体" w:cs="Times New Roman"/>
      <w:kern w:val="0"/>
      <w:sz w:val="34"/>
      <w:szCs w:val="20"/>
    </w:rPr>
  </w:style>
  <w:style w:type="character" w:customStyle="1" w:styleId="69">
    <w:name w:val="正文文本 Char"/>
    <w:basedOn w:val="45"/>
    <w:link w:val="18"/>
    <w:qFormat/>
    <w:uiPriority w:val="0"/>
    <w:rPr>
      <w:rFonts w:ascii="Calibri" w:hAnsi="Calibri" w:eastAsia="宋体" w:cs="Times New Roman"/>
      <w:szCs w:val="21"/>
    </w:rPr>
  </w:style>
  <w:style w:type="character" w:customStyle="1" w:styleId="70">
    <w:name w:val="正文首行缩进 Char"/>
    <w:basedOn w:val="69"/>
    <w:link w:val="42"/>
    <w:qFormat/>
    <w:uiPriority w:val="0"/>
    <w:rPr>
      <w:rFonts w:ascii="Times New Roman" w:hAnsi="Times New Roman" w:eastAsia="宋体" w:cs="Times New Roman"/>
      <w:b/>
      <w:bCs/>
      <w:szCs w:val="24"/>
    </w:rPr>
  </w:style>
  <w:style w:type="character" w:customStyle="1" w:styleId="71">
    <w:name w:val="文档结构图 Char"/>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Char"/>
    <w:basedOn w:val="45"/>
    <w:link w:val="17"/>
    <w:qFormat/>
    <w:uiPriority w:val="0"/>
    <w:rPr>
      <w:rFonts w:ascii="Times New Roman" w:hAnsi="Times New Roman" w:eastAsia="宋体" w:cs="Times New Roman"/>
      <w:sz w:val="16"/>
      <w:szCs w:val="16"/>
    </w:rPr>
  </w:style>
  <w:style w:type="character" w:customStyle="1" w:styleId="73">
    <w:name w:val="正文文本缩进 Char"/>
    <w:basedOn w:val="45"/>
    <w:link w:val="19"/>
    <w:qFormat/>
    <w:uiPriority w:val="0"/>
    <w:rPr>
      <w:rFonts w:ascii="Times New Roman" w:hAnsi="Times New Roman" w:eastAsia="宋体" w:cs="Times New Roman"/>
      <w:szCs w:val="24"/>
    </w:rPr>
  </w:style>
  <w:style w:type="character" w:customStyle="1" w:styleId="74">
    <w:name w:val="纯文本 Char"/>
    <w:basedOn w:val="45"/>
    <w:link w:val="22"/>
    <w:qFormat/>
    <w:uiPriority w:val="0"/>
    <w:rPr>
      <w:rFonts w:ascii="宋体" w:hAnsi="Courier New" w:eastAsia="宋体" w:cs="Times New Roman"/>
      <w:szCs w:val="20"/>
    </w:rPr>
  </w:style>
  <w:style w:type="character" w:customStyle="1" w:styleId="75">
    <w:name w:val="日期 Char"/>
    <w:basedOn w:val="45"/>
    <w:link w:val="24"/>
    <w:qFormat/>
    <w:uiPriority w:val="0"/>
    <w:rPr>
      <w:rFonts w:ascii="宋体" w:hAnsi="Courier New" w:eastAsia="宋体" w:cs="Times New Roman"/>
      <w:sz w:val="32"/>
      <w:szCs w:val="20"/>
    </w:rPr>
  </w:style>
  <w:style w:type="character" w:customStyle="1" w:styleId="76">
    <w:name w:val="正文文本缩进 2 Char"/>
    <w:basedOn w:val="45"/>
    <w:link w:val="25"/>
    <w:qFormat/>
    <w:uiPriority w:val="0"/>
    <w:rPr>
      <w:rFonts w:ascii="宋体" w:hAnsi="宋体" w:eastAsia="宋体" w:cs="Times New Roman"/>
      <w:szCs w:val="24"/>
    </w:rPr>
  </w:style>
  <w:style w:type="character" w:customStyle="1" w:styleId="77">
    <w:name w:val="批注框文本 Char"/>
    <w:basedOn w:val="45"/>
    <w:link w:val="26"/>
    <w:semiHidden/>
    <w:qFormat/>
    <w:uiPriority w:val="0"/>
    <w:rPr>
      <w:rFonts w:ascii="Times New Roman" w:hAnsi="Times New Roman" w:eastAsia="宋体" w:cs="Times New Roman"/>
      <w:sz w:val="18"/>
      <w:szCs w:val="18"/>
    </w:rPr>
  </w:style>
  <w:style w:type="character" w:customStyle="1" w:styleId="78">
    <w:name w:val="正文文本缩进 3 Char"/>
    <w:basedOn w:val="45"/>
    <w:link w:val="33"/>
    <w:qFormat/>
    <w:uiPriority w:val="0"/>
    <w:rPr>
      <w:rFonts w:ascii="宋体" w:hAnsi="Times New Roman" w:eastAsia="宋体" w:cs="Times New Roman"/>
      <w:b/>
      <w:bCs/>
      <w:sz w:val="24"/>
      <w:szCs w:val="24"/>
    </w:rPr>
  </w:style>
  <w:style w:type="character" w:customStyle="1" w:styleId="79">
    <w:name w:val="正文文本 2 Char"/>
    <w:basedOn w:val="45"/>
    <w:link w:val="36"/>
    <w:qFormat/>
    <w:uiPriority w:val="0"/>
    <w:rPr>
      <w:rFonts w:ascii="Times New Roman" w:hAnsi="Times New Roman" w:eastAsia="宋体" w:cs="Times New Roman"/>
      <w:sz w:val="24"/>
      <w:szCs w:val="24"/>
    </w:rPr>
  </w:style>
  <w:style w:type="character" w:customStyle="1" w:styleId="80">
    <w:name w:val="HTML 预设格式 Char"/>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Char"/>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Char"/>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出段落 Char"/>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深圳市住房和建设局</Company>
  <Pages>9</Pages>
  <Words>604</Words>
  <Characters>3444</Characters>
  <Lines>28</Lines>
  <Paragraphs>8</Paragraphs>
  <TotalTime>9</TotalTime>
  <ScaleCrop>false</ScaleCrop>
  <LinksUpToDate>false</LinksUpToDate>
  <CharactersWithSpaces>4040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2021-09-28T05:29:00Z</dcterms:created>
  <dc:creator>李刚</dc:creator>
  <cp:lastModifiedBy>魏琼琼</cp:lastModifiedBy>
  <cp:lastPrinted>2019-04-25T01:57:00Z</cp:lastPrinted>
  <dcterms:modified xsi:type="dcterms:W3CDTF">2021-10-09T09:41:28Z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